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2D61B">
      <w:pPr>
        <w:jc w:val="center"/>
        <w:rPr>
          <w:rFonts w:hint="default" w:ascii="宋体" w:hAnsi="宋体" w:eastAsia="宋体"/>
          <w:b/>
          <w:sz w:val="72"/>
          <w:lang w:val="en-US" w:eastAsia="zh-CN"/>
        </w:rPr>
      </w:pPr>
      <w:r>
        <w:rPr>
          <w:rFonts w:hint="eastAsia"/>
          <w:b/>
          <w:sz w:val="72"/>
          <w:lang w:val="en-US" w:eastAsia="zh-CN"/>
        </w:rPr>
        <w:t xml:space="preserve">  </w:t>
      </w:r>
    </w:p>
    <w:p w14:paraId="2A3DD7E3">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宋体" w:hAnsi="宋体"/>
          <w:b/>
          <w:sz w:val="72"/>
        </w:rPr>
      </w:pPr>
      <w:r>
        <w:rPr>
          <w:rFonts w:hint="eastAsia" w:ascii="宋体" w:hAnsi="宋体"/>
          <w:b/>
          <w:sz w:val="72"/>
        </w:rPr>
        <w:t>龙 港 市 政 府 采 购</w:t>
      </w:r>
    </w:p>
    <w:p w14:paraId="162EED8F">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宋体" w:hAnsi="宋体"/>
          <w:b/>
          <w:sz w:val="72"/>
        </w:rPr>
      </w:pPr>
      <w:r>
        <w:rPr>
          <w:rFonts w:hint="eastAsia" w:ascii="宋体" w:hAnsi="宋体"/>
          <w:b/>
          <w:sz w:val="72"/>
        </w:rPr>
        <w:t>招 标 文 件</w:t>
      </w:r>
    </w:p>
    <w:p w14:paraId="6019C475">
      <w:pPr>
        <w:spacing w:line="440" w:lineRule="exact"/>
        <w:jc w:val="center"/>
        <w:rPr>
          <w:rFonts w:hint="eastAsia"/>
          <w:b/>
          <w:sz w:val="30"/>
        </w:rPr>
      </w:pPr>
      <w:r>
        <w:rPr>
          <w:rFonts w:hint="eastAsia"/>
          <w:b/>
          <w:sz w:val="30"/>
        </w:rPr>
        <w:t>（线上电子招投标）</w:t>
      </w:r>
    </w:p>
    <w:p w14:paraId="2A0EBA35">
      <w:pPr>
        <w:spacing w:line="440" w:lineRule="exact"/>
        <w:rPr>
          <w:rFonts w:ascii="宋体" w:hAnsi="宋体"/>
          <w:b/>
          <w:color w:val="000000"/>
          <w:sz w:val="30"/>
          <w:szCs w:val="30"/>
        </w:rPr>
      </w:pPr>
    </w:p>
    <w:p w14:paraId="0D5F5AF9">
      <w:pPr>
        <w:pStyle w:val="2"/>
      </w:pPr>
    </w:p>
    <w:p w14:paraId="340DF91B">
      <w:pPr>
        <w:keepNext w:val="0"/>
        <w:keepLines w:val="0"/>
        <w:pageBreakBefore w:val="0"/>
        <w:widowControl w:val="0"/>
        <w:kinsoku/>
        <w:wordWrap/>
        <w:overflowPunct/>
        <w:topLinePunct w:val="0"/>
        <w:autoSpaceDE w:val="0"/>
        <w:autoSpaceDN w:val="0"/>
        <w:bidi w:val="0"/>
        <w:adjustRightInd/>
        <w:snapToGrid/>
        <w:spacing w:line="440" w:lineRule="exact"/>
        <w:ind w:firstLine="2108" w:firstLineChars="700"/>
        <w:textAlignment w:val="auto"/>
        <w:rPr>
          <w:rFonts w:hint="eastAsia" w:ascii="宋体" w:hAnsi="宋体" w:eastAsia="宋体"/>
          <w:b/>
          <w:color w:val="000000"/>
          <w:sz w:val="30"/>
          <w:szCs w:val="30"/>
          <w:lang w:eastAsia="zh-CN"/>
        </w:rPr>
      </w:pPr>
      <w:r>
        <w:rPr>
          <w:rFonts w:hint="eastAsia" w:ascii="宋体" w:hAnsi="宋体"/>
          <w:b/>
          <w:color w:val="000000"/>
          <w:sz w:val="30"/>
          <w:szCs w:val="30"/>
        </w:rPr>
        <w:t>项目名称：</w:t>
      </w:r>
      <w:r>
        <w:rPr>
          <w:rFonts w:hint="eastAsia" w:ascii="宋体" w:hAnsi="宋体"/>
          <w:b/>
          <w:sz w:val="30"/>
          <w:szCs w:val="30"/>
          <w:lang w:eastAsia="zh-CN"/>
        </w:rPr>
        <w:t>龙港市世纪中学功能教室设备仪器采购项目</w:t>
      </w:r>
    </w:p>
    <w:p w14:paraId="0F1DA517">
      <w:pPr>
        <w:spacing w:line="440" w:lineRule="exact"/>
        <w:ind w:firstLine="2108" w:firstLineChars="700"/>
        <w:rPr>
          <w:rFonts w:hint="eastAsia" w:ascii="宋体" w:hAnsi="宋体"/>
          <w:b/>
          <w:color w:val="000000"/>
          <w:sz w:val="30"/>
          <w:szCs w:val="30"/>
        </w:rPr>
      </w:pPr>
    </w:p>
    <w:p w14:paraId="75FF22F9">
      <w:pPr>
        <w:spacing w:line="440" w:lineRule="exact"/>
        <w:ind w:firstLine="2108" w:firstLineChars="700"/>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14:paraId="5F12537E">
      <w:pPr>
        <w:spacing w:line="440" w:lineRule="exact"/>
        <w:ind w:left="-17" w:leftChars="-150" w:hanging="313" w:hangingChars="104"/>
        <w:jc w:val="center"/>
        <w:rPr>
          <w:rFonts w:ascii="宋体" w:hAnsi="宋体"/>
          <w:b/>
          <w:color w:val="000000"/>
          <w:sz w:val="30"/>
          <w:szCs w:val="30"/>
        </w:rPr>
      </w:pPr>
    </w:p>
    <w:p w14:paraId="0ED81E03">
      <w:pPr>
        <w:spacing w:line="440" w:lineRule="exact"/>
        <w:ind w:left="-17" w:leftChars="-150" w:hanging="313" w:hangingChars="104"/>
        <w:jc w:val="center"/>
        <w:rPr>
          <w:rFonts w:ascii="宋体" w:hAnsi="宋体"/>
          <w:b/>
          <w:color w:val="000000"/>
          <w:sz w:val="30"/>
          <w:szCs w:val="30"/>
        </w:rPr>
      </w:pPr>
    </w:p>
    <w:p w14:paraId="72AE883D">
      <w:pPr>
        <w:spacing w:line="440" w:lineRule="exact"/>
        <w:ind w:left="297" w:leftChars="135" w:firstLine="1795" w:firstLineChars="596"/>
        <w:rPr>
          <w:rFonts w:hint="eastAsia" w:ascii="宋体" w:hAnsi="宋体" w:eastAsia="宋体"/>
          <w:b/>
          <w:color w:val="000000"/>
          <w:sz w:val="30"/>
          <w:szCs w:val="30"/>
          <w:lang w:eastAsia="zh-CN"/>
        </w:rPr>
      </w:pPr>
      <w:r>
        <w:rPr>
          <w:rFonts w:hint="eastAsia" w:ascii="宋体" w:hAnsi="宋体"/>
          <w:b/>
          <w:color w:val="000000"/>
          <w:sz w:val="30"/>
          <w:szCs w:val="30"/>
        </w:rPr>
        <w:t>采 购 人：</w:t>
      </w:r>
      <w:r>
        <w:rPr>
          <w:rFonts w:hint="eastAsia"/>
          <w:b/>
          <w:color w:val="000000"/>
          <w:sz w:val="30"/>
          <w:szCs w:val="30"/>
          <w:lang w:eastAsia="zh-CN"/>
        </w:rPr>
        <w:t>龙港市世纪中学</w:t>
      </w:r>
    </w:p>
    <w:p w14:paraId="34C127AD">
      <w:pPr>
        <w:spacing w:line="440" w:lineRule="exact"/>
        <w:jc w:val="both"/>
        <w:rPr>
          <w:rFonts w:ascii="宋体" w:hAnsi="宋体"/>
          <w:b/>
          <w:color w:val="000000"/>
          <w:sz w:val="30"/>
          <w:szCs w:val="30"/>
          <w:vertAlign w:val="subscript"/>
        </w:rPr>
      </w:pPr>
    </w:p>
    <w:p w14:paraId="584EA3D6">
      <w:pPr>
        <w:pStyle w:val="5"/>
      </w:pPr>
    </w:p>
    <w:p w14:paraId="08F35A24">
      <w:pPr>
        <w:keepNext w:val="0"/>
        <w:keepLines w:val="0"/>
        <w:pageBreakBefore w:val="0"/>
        <w:widowControl w:val="0"/>
        <w:kinsoku/>
        <w:wordWrap/>
        <w:overflowPunct/>
        <w:topLinePunct w:val="0"/>
        <w:autoSpaceDE w:val="0"/>
        <w:autoSpaceDN w:val="0"/>
        <w:bidi w:val="0"/>
        <w:adjustRightInd/>
        <w:snapToGrid/>
        <w:spacing w:line="360" w:lineRule="auto"/>
        <w:ind w:firstLine="2108" w:firstLineChars="700"/>
        <w:textAlignment w:val="auto"/>
        <w:rPr>
          <w:rFonts w:hint="eastAsia" w:ascii="宋体" w:hAnsi="宋体" w:eastAsia="宋体"/>
          <w:b/>
          <w:color w:val="000000"/>
          <w:sz w:val="30"/>
          <w:szCs w:val="30"/>
          <w:lang w:eastAsia="zh-CN"/>
        </w:rPr>
      </w:pPr>
      <w:r>
        <w:rPr>
          <w:rFonts w:hint="eastAsia" w:ascii="宋体" w:hAnsi="宋体"/>
          <w:b/>
          <w:color w:val="000000"/>
          <w:sz w:val="30"/>
          <w:szCs w:val="30"/>
        </w:rPr>
        <w:t>代理机构：</w:t>
      </w:r>
      <w:r>
        <w:rPr>
          <w:rFonts w:hint="eastAsia" w:ascii="宋体" w:hAnsi="宋体"/>
          <w:b/>
          <w:color w:val="000000"/>
          <w:spacing w:val="0"/>
          <w:sz w:val="30"/>
          <w:szCs w:val="30"/>
          <w:lang w:eastAsia="zh-CN"/>
        </w:rPr>
        <w:t>浙江东瓯工程造价咨询有限公司</w:t>
      </w:r>
    </w:p>
    <w:p w14:paraId="6B66E01B">
      <w:pPr>
        <w:keepNext w:val="0"/>
        <w:keepLines w:val="0"/>
        <w:pageBreakBefore w:val="0"/>
        <w:widowControl w:val="0"/>
        <w:kinsoku/>
        <w:wordWrap/>
        <w:overflowPunct/>
        <w:topLinePunct w:val="0"/>
        <w:autoSpaceDE w:val="0"/>
        <w:autoSpaceDN w:val="0"/>
        <w:bidi w:val="0"/>
        <w:adjustRightInd/>
        <w:snapToGrid/>
        <w:spacing w:line="360" w:lineRule="auto"/>
        <w:ind w:firstLine="2108" w:firstLineChars="700"/>
        <w:textAlignment w:val="auto"/>
        <w:rPr>
          <w:rFonts w:hint="eastAsia" w:ascii="宋体" w:hAnsi="宋体" w:eastAsia="宋体"/>
          <w:b/>
          <w:color w:val="000000"/>
          <w:sz w:val="30"/>
          <w:szCs w:val="30"/>
          <w:lang w:eastAsia="zh-CN"/>
        </w:rPr>
      </w:pPr>
      <w:r>
        <w:rPr>
          <w:rFonts w:hint="eastAsia" w:ascii="宋体" w:hAnsi="宋体"/>
          <w:b/>
          <w:color w:val="000000"/>
          <w:sz w:val="30"/>
          <w:szCs w:val="30"/>
        </w:rPr>
        <w:t>联 系 人：</w:t>
      </w:r>
      <w:r>
        <w:rPr>
          <w:rFonts w:hint="eastAsia" w:ascii="宋体" w:hAnsi="宋体"/>
          <w:b/>
          <w:color w:val="000000"/>
          <w:sz w:val="30"/>
          <w:szCs w:val="30"/>
          <w:lang w:val="en-US" w:eastAsia="zh-CN"/>
        </w:rPr>
        <w:t>黄</w:t>
      </w:r>
      <w:r>
        <w:rPr>
          <w:rFonts w:hint="eastAsia" w:ascii="宋体" w:hAnsi="宋体"/>
          <w:b/>
          <w:color w:val="000000"/>
          <w:sz w:val="30"/>
          <w:szCs w:val="30"/>
          <w:lang w:eastAsia="zh-CN"/>
        </w:rPr>
        <w:t>先生</w:t>
      </w:r>
    </w:p>
    <w:p w14:paraId="1D75DC20">
      <w:pPr>
        <w:keepNext w:val="0"/>
        <w:keepLines w:val="0"/>
        <w:pageBreakBefore w:val="0"/>
        <w:widowControl w:val="0"/>
        <w:kinsoku/>
        <w:wordWrap/>
        <w:overflowPunct/>
        <w:topLinePunct w:val="0"/>
        <w:autoSpaceDE w:val="0"/>
        <w:autoSpaceDN w:val="0"/>
        <w:bidi w:val="0"/>
        <w:adjustRightInd/>
        <w:snapToGrid/>
        <w:spacing w:line="360" w:lineRule="auto"/>
        <w:ind w:firstLine="2108" w:firstLineChars="700"/>
        <w:textAlignment w:val="auto"/>
        <w:rPr>
          <w:rFonts w:hint="default" w:ascii="宋体" w:hAnsi="宋体" w:eastAsia="宋体"/>
          <w:b/>
          <w:color w:val="000000"/>
          <w:sz w:val="30"/>
          <w:szCs w:val="30"/>
          <w:lang w:val="en-US" w:eastAsia="zh-CN"/>
        </w:rPr>
      </w:pPr>
      <w:r>
        <w:rPr>
          <w:rFonts w:hint="eastAsia" w:ascii="宋体" w:hAnsi="宋体"/>
          <w:b/>
          <w:color w:val="000000"/>
          <w:sz w:val="30"/>
          <w:szCs w:val="30"/>
        </w:rPr>
        <w:t>联系电话：</w:t>
      </w:r>
      <w:r>
        <w:rPr>
          <w:rFonts w:hint="eastAsia" w:ascii="宋体" w:hAnsi="宋体"/>
          <w:b/>
          <w:color w:val="000000"/>
          <w:spacing w:val="0"/>
          <w:sz w:val="30"/>
          <w:szCs w:val="30"/>
          <w:lang w:val="en-US" w:eastAsia="zh-CN"/>
        </w:rPr>
        <w:t>0577-68898877</w:t>
      </w:r>
    </w:p>
    <w:p w14:paraId="4B7703E6">
      <w:pPr>
        <w:spacing w:line="440" w:lineRule="exact"/>
        <w:ind w:left="1320" w:leftChars="600" w:firstLine="904" w:firstLineChars="300"/>
        <w:jc w:val="center"/>
        <w:rPr>
          <w:rFonts w:ascii="宋体" w:hAnsi="宋体"/>
          <w:b/>
          <w:color w:val="000000"/>
          <w:sz w:val="30"/>
          <w:szCs w:val="30"/>
        </w:rPr>
      </w:pPr>
    </w:p>
    <w:p w14:paraId="41063C46">
      <w:pPr>
        <w:spacing w:line="440" w:lineRule="exact"/>
        <w:jc w:val="both"/>
        <w:rPr>
          <w:rFonts w:hint="eastAsia" w:ascii="宋体" w:hAnsi="宋体"/>
          <w:b/>
          <w:sz w:val="28"/>
          <w:szCs w:val="28"/>
        </w:rPr>
      </w:pPr>
    </w:p>
    <w:p w14:paraId="47CB4793">
      <w:pPr>
        <w:keepNext w:val="0"/>
        <w:keepLines w:val="0"/>
        <w:pageBreakBefore w:val="0"/>
        <w:widowControl w:val="0"/>
        <w:kinsoku/>
        <w:wordWrap/>
        <w:overflowPunct/>
        <w:topLinePunct w:val="0"/>
        <w:autoSpaceDE w:val="0"/>
        <w:autoSpaceDN w:val="0"/>
        <w:bidi w:val="0"/>
        <w:adjustRightInd/>
        <w:snapToGrid/>
        <w:spacing w:line="440" w:lineRule="exact"/>
        <w:ind w:firstLine="2108" w:firstLineChars="700"/>
        <w:jc w:val="both"/>
        <w:textAlignment w:val="auto"/>
        <w:rPr>
          <w:rFonts w:hint="eastAsia" w:ascii="宋体" w:hAnsi="宋体"/>
          <w:b/>
          <w:sz w:val="30"/>
          <w:szCs w:val="30"/>
        </w:rPr>
      </w:pPr>
      <w:r>
        <w:rPr>
          <w:rFonts w:hint="eastAsia" w:ascii="宋体" w:hAnsi="宋体"/>
          <w:b/>
          <w:sz w:val="30"/>
          <w:szCs w:val="30"/>
        </w:rPr>
        <w:t>监督机构: 龙港市财政局（浙江省政府采购行政裁决</w:t>
      </w:r>
    </w:p>
    <w:p w14:paraId="52F86A06">
      <w:pPr>
        <w:keepNext w:val="0"/>
        <w:keepLines w:val="0"/>
        <w:pageBreakBefore w:val="0"/>
        <w:widowControl w:val="0"/>
        <w:kinsoku/>
        <w:wordWrap/>
        <w:overflowPunct/>
        <w:topLinePunct w:val="0"/>
        <w:autoSpaceDE w:val="0"/>
        <w:autoSpaceDN w:val="0"/>
        <w:bidi w:val="0"/>
        <w:adjustRightInd/>
        <w:snapToGrid/>
        <w:spacing w:line="440" w:lineRule="exact"/>
        <w:ind w:firstLine="3614" w:firstLineChars="1200"/>
        <w:jc w:val="both"/>
        <w:textAlignment w:val="auto"/>
        <w:rPr>
          <w:rFonts w:ascii="宋体" w:hAnsi="宋体"/>
          <w:b/>
          <w:color w:val="000000"/>
          <w:sz w:val="30"/>
          <w:szCs w:val="30"/>
        </w:rPr>
      </w:pPr>
      <w:r>
        <w:rPr>
          <w:rFonts w:hint="eastAsia" w:ascii="宋体" w:hAnsi="宋体"/>
          <w:b/>
          <w:sz w:val="30"/>
          <w:szCs w:val="30"/>
        </w:rPr>
        <w:t>服务中心（温州））</w:t>
      </w:r>
    </w:p>
    <w:p w14:paraId="1495509B">
      <w:pPr>
        <w:spacing w:line="440" w:lineRule="exact"/>
        <w:rPr>
          <w:rFonts w:ascii="宋体" w:hAnsi="宋体"/>
          <w:b/>
          <w:color w:val="000000"/>
          <w:sz w:val="30"/>
          <w:szCs w:val="30"/>
        </w:rPr>
      </w:pPr>
    </w:p>
    <w:p w14:paraId="6E3A808B">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b/>
          <w:color w:val="000000"/>
          <w:sz w:val="30"/>
          <w:szCs w:val="30"/>
          <w:lang w:val="en-US" w:eastAsia="zh-CN"/>
        </w:rPr>
        <w:t>五</w:t>
      </w:r>
      <w:r>
        <w:rPr>
          <w:rFonts w:hint="eastAsia" w:ascii="宋体" w:hAnsi="宋体"/>
          <w:b/>
          <w:color w:val="000000"/>
          <w:sz w:val="30"/>
          <w:szCs w:val="30"/>
        </w:rPr>
        <w:t>年</w:t>
      </w:r>
      <w:r>
        <w:rPr>
          <w:rFonts w:hint="eastAsia"/>
          <w:b/>
          <w:color w:val="000000"/>
          <w:sz w:val="30"/>
          <w:szCs w:val="30"/>
          <w:lang w:eastAsia="zh-CN"/>
        </w:rPr>
        <w:t>四</w:t>
      </w:r>
      <w:r>
        <w:rPr>
          <w:rFonts w:hint="eastAsia" w:ascii="宋体" w:hAnsi="宋体"/>
          <w:b/>
          <w:color w:val="000000"/>
          <w:sz w:val="30"/>
          <w:szCs w:val="30"/>
        </w:rPr>
        <w:t>月</w:t>
      </w:r>
    </w:p>
    <w:p w14:paraId="57CC01FB">
      <w:pPr>
        <w:spacing w:line="360" w:lineRule="auto"/>
        <w:jc w:val="center"/>
        <w:rPr>
          <w:rFonts w:hint="eastAsia" w:ascii="宋体" w:hAnsi="宋体" w:eastAsia="宋体" w:cs="宋体"/>
          <w:b/>
          <w:bCs/>
          <w:color w:val="auto"/>
          <w:sz w:val="48"/>
          <w:szCs w:val="32"/>
        </w:rPr>
      </w:pPr>
    </w:p>
    <w:p w14:paraId="55C180B2">
      <w:pPr>
        <w:pStyle w:val="2"/>
        <w:spacing w:before="7"/>
        <w:jc w:val="center"/>
        <w:outlineLvl w:val="0"/>
        <w:rPr>
          <w:rFonts w:hint="eastAsia" w:ascii="仿宋" w:hAnsi="仿宋" w:eastAsia="仿宋" w:cs="仿宋"/>
          <w:b/>
          <w:bCs/>
          <w:color w:val="auto"/>
          <w:sz w:val="36"/>
          <w:szCs w:val="52"/>
          <w:lang w:val="en-US" w:eastAsia="zh-CN"/>
        </w:rPr>
      </w:pPr>
      <w:bookmarkStart w:id="0" w:name="_Toc7881"/>
    </w:p>
    <w:p w14:paraId="0942561B">
      <w:pPr>
        <w:pStyle w:val="2"/>
        <w:spacing w:before="7"/>
        <w:jc w:val="center"/>
        <w:outlineLvl w:val="0"/>
        <w:rPr>
          <w:rFonts w:hint="eastAsia" w:ascii="仿宋" w:hAnsi="仿宋" w:eastAsia="仿宋" w:cs="仿宋"/>
          <w:b/>
          <w:bCs/>
          <w:color w:val="auto"/>
          <w:sz w:val="36"/>
          <w:szCs w:val="52"/>
          <w:lang w:val="en-US" w:eastAsia="zh-CN"/>
        </w:rPr>
        <w:sectPr>
          <w:footerReference r:id="rId3" w:type="default"/>
          <w:pgSz w:w="11910" w:h="16840"/>
          <w:pgMar w:top="1134" w:right="1134" w:bottom="1134" w:left="1134" w:header="0" w:footer="952" w:gutter="0"/>
          <w:pgBorders>
            <w:top w:val="none" w:sz="0" w:space="0"/>
            <w:left w:val="none" w:sz="0" w:space="0"/>
            <w:bottom w:val="none" w:sz="0" w:space="0"/>
            <w:right w:val="none" w:sz="0" w:space="0"/>
          </w:pgBorders>
          <w:pgNumType w:fmt="decimal" w:start="1"/>
          <w:cols w:equalWidth="0" w:num="1">
            <w:col w:w="10050"/>
          </w:cols>
        </w:sectPr>
      </w:pPr>
    </w:p>
    <w:p w14:paraId="51FB454B">
      <w:pPr>
        <w:pStyle w:val="3"/>
        <w:rPr>
          <w:rFonts w:hint="eastAsia"/>
          <w:lang w:val="en-US" w:eastAsia="zh-CN"/>
        </w:rPr>
      </w:pPr>
    </w:p>
    <w:p w14:paraId="47229AA7">
      <w:pPr>
        <w:pStyle w:val="2"/>
        <w:spacing w:before="7"/>
        <w:jc w:val="center"/>
        <w:outlineLvl w:val="0"/>
        <w:rPr>
          <w:rFonts w:hint="eastAsia" w:ascii="仿宋" w:hAnsi="仿宋" w:eastAsia="仿宋" w:cs="仿宋"/>
          <w:b/>
          <w:bCs/>
          <w:color w:val="auto"/>
          <w:sz w:val="36"/>
          <w:szCs w:val="52"/>
          <w:lang w:val="en-US" w:eastAsia="zh-CN"/>
        </w:rPr>
      </w:pPr>
    </w:p>
    <w:p w14:paraId="1DFE88CA">
      <w:pPr>
        <w:pStyle w:val="2"/>
        <w:spacing w:before="7"/>
        <w:jc w:val="center"/>
        <w:outlineLvl w:val="0"/>
        <w:rPr>
          <w:rFonts w:hint="eastAsia" w:ascii="仿宋" w:hAnsi="仿宋" w:eastAsia="仿宋" w:cs="仿宋"/>
          <w:b/>
          <w:bCs/>
          <w:color w:val="auto"/>
          <w:sz w:val="36"/>
          <w:szCs w:val="52"/>
          <w:lang w:val="en-US" w:eastAsia="zh-CN"/>
        </w:rPr>
      </w:pPr>
    </w:p>
    <w:p w14:paraId="79F516C0">
      <w:pPr>
        <w:pStyle w:val="2"/>
        <w:spacing w:before="7"/>
        <w:jc w:val="center"/>
        <w:outlineLvl w:val="0"/>
        <w:rPr>
          <w:rFonts w:hint="eastAsia" w:ascii="仿宋" w:hAnsi="仿宋" w:eastAsia="仿宋" w:cs="仿宋"/>
          <w:b/>
          <w:bCs/>
          <w:color w:val="auto"/>
          <w:sz w:val="36"/>
          <w:szCs w:val="52"/>
          <w:lang w:val="en-US" w:eastAsia="zh-CN"/>
        </w:rPr>
      </w:pPr>
    </w:p>
    <w:p w14:paraId="73B5AB60">
      <w:pPr>
        <w:pStyle w:val="2"/>
        <w:spacing w:before="7"/>
        <w:jc w:val="center"/>
        <w:outlineLvl w:val="0"/>
        <w:rPr>
          <w:rFonts w:hint="eastAsia" w:ascii="仿宋" w:hAnsi="仿宋" w:eastAsia="仿宋" w:cs="仿宋"/>
          <w:color w:val="auto"/>
          <w:sz w:val="36"/>
          <w:szCs w:val="52"/>
          <w:lang w:val="en-US" w:eastAsia="zh-CN"/>
        </w:rPr>
      </w:pPr>
      <w:r>
        <w:rPr>
          <w:rFonts w:hint="eastAsia" w:ascii="仿宋" w:hAnsi="仿宋" w:eastAsia="仿宋" w:cs="仿宋"/>
          <w:b/>
          <w:bCs/>
          <w:color w:val="auto"/>
          <w:sz w:val="36"/>
          <w:szCs w:val="52"/>
          <w:lang w:val="en-US" w:eastAsia="zh-CN"/>
        </w:rPr>
        <w:t>采购文件目录</w:t>
      </w:r>
      <w:bookmarkEnd w:id="0"/>
    </w:p>
    <w:sdt>
      <w:sdtPr>
        <w:rPr>
          <w:rFonts w:ascii="宋体" w:hAnsi="宋体" w:eastAsia="宋体" w:cs="宋体"/>
          <w:color w:val="auto"/>
          <w:sz w:val="21"/>
          <w:szCs w:val="22"/>
          <w:lang w:val="zh-CN" w:eastAsia="zh-CN" w:bidi="zh-CN"/>
        </w:rPr>
        <w:id w:val="147470027"/>
        <w15:color w:val="DBDBDB"/>
        <w:docPartObj>
          <w:docPartGallery w:val="Table of Contents"/>
          <w:docPartUnique/>
        </w:docPartObj>
      </w:sdtPr>
      <w:sdtEndPr>
        <w:rPr>
          <w:rFonts w:ascii="宋体" w:hAnsi="宋体" w:eastAsia="宋体" w:cs="宋体"/>
          <w:color w:val="auto"/>
          <w:sz w:val="21"/>
          <w:szCs w:val="22"/>
          <w:lang w:val="zh-CN" w:eastAsia="zh-CN" w:bidi="zh-CN"/>
        </w:rPr>
      </w:sdtEndPr>
      <w:sdtContent>
        <w:p w14:paraId="79755377">
          <w:pPr>
            <w:spacing w:line="240" w:lineRule="auto"/>
            <w:ind w:firstLine="0" w:firstLineChars="0"/>
            <w:jc w:val="center"/>
            <w:rPr>
              <w:color w:val="auto"/>
            </w:rPr>
          </w:pPr>
        </w:p>
        <w:p w14:paraId="1D4797CE">
          <w:pPr>
            <w:pStyle w:val="19"/>
            <w:tabs>
              <w:tab w:val="right" w:leader="dot" w:pos="9642"/>
            </w:tabs>
            <w:ind w:left="0" w:leftChars="0" w:firstLine="0" w:firstLineChars="0"/>
            <w:rPr>
              <w:color w:val="auto"/>
              <w:sz w:val="28"/>
              <w:szCs w:val="28"/>
            </w:rPr>
          </w:pPr>
          <w:r>
            <w:rPr>
              <w:color w:val="auto"/>
            </w:rPr>
            <w:fldChar w:fldCharType="begin"/>
          </w:r>
          <w:r>
            <w:rPr>
              <w:color w:val="auto"/>
            </w:rPr>
            <w:instrText xml:space="preserve">TOC \o "1-3" \h \u </w:instrText>
          </w:r>
          <w:r>
            <w:rPr>
              <w:color w:val="auto"/>
            </w:rPr>
            <w:fldChar w:fldCharType="separate"/>
          </w:r>
          <w:r>
            <w:rPr>
              <w:color w:val="auto"/>
              <w:sz w:val="28"/>
              <w:szCs w:val="28"/>
            </w:rPr>
            <w:fldChar w:fldCharType="begin"/>
          </w:r>
          <w:r>
            <w:rPr>
              <w:color w:val="auto"/>
              <w:sz w:val="28"/>
              <w:szCs w:val="28"/>
            </w:rPr>
            <w:instrText xml:space="preserve"> HYPERLINK \l _Toc7881 </w:instrText>
          </w:r>
          <w:r>
            <w:rPr>
              <w:color w:val="auto"/>
              <w:sz w:val="28"/>
              <w:szCs w:val="28"/>
            </w:rPr>
            <w:fldChar w:fldCharType="separate"/>
          </w:r>
          <w:r>
            <w:rPr>
              <w:rFonts w:hint="eastAsia" w:ascii="仿宋" w:hAnsi="仿宋" w:eastAsia="仿宋" w:cs="仿宋"/>
              <w:bCs/>
              <w:color w:val="auto"/>
              <w:sz w:val="28"/>
              <w:szCs w:val="48"/>
              <w:lang w:val="en-US" w:eastAsia="zh-CN"/>
            </w:rPr>
            <w:t>采购文件目录</w:t>
          </w:r>
          <w:r>
            <w:rPr>
              <w:color w:val="auto"/>
              <w:sz w:val="28"/>
              <w:szCs w:val="28"/>
            </w:rPr>
            <w:tab/>
          </w:r>
          <w:r>
            <w:rPr>
              <w:color w:val="auto"/>
              <w:sz w:val="28"/>
              <w:szCs w:val="28"/>
            </w:rPr>
            <w:fldChar w:fldCharType="begin"/>
          </w:r>
          <w:r>
            <w:rPr>
              <w:color w:val="auto"/>
              <w:sz w:val="28"/>
              <w:szCs w:val="28"/>
            </w:rPr>
            <w:instrText xml:space="preserve"> PAGEREF _Toc7881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50FC8634">
          <w:pPr>
            <w:pStyle w:val="19"/>
            <w:tabs>
              <w:tab w:val="right" w:leader="dot" w:pos="9642"/>
            </w:tabs>
            <w:ind w:left="0" w:leftChars="0" w:firstLine="0" w:firstLineChars="0"/>
            <w:rPr>
              <w:color w:val="auto"/>
              <w:sz w:val="28"/>
              <w:szCs w:val="28"/>
            </w:rPr>
          </w:pPr>
          <w:r>
            <w:rPr>
              <w:color w:val="auto"/>
              <w:sz w:val="28"/>
              <w:szCs w:val="28"/>
            </w:rPr>
            <w:fldChar w:fldCharType="begin"/>
          </w:r>
          <w:r>
            <w:rPr>
              <w:color w:val="auto"/>
              <w:sz w:val="28"/>
              <w:szCs w:val="28"/>
            </w:rPr>
            <w:instrText xml:space="preserve"> HYPERLINK \l _Toc30622 </w:instrText>
          </w:r>
          <w:r>
            <w:rPr>
              <w:color w:val="auto"/>
              <w:sz w:val="28"/>
              <w:szCs w:val="28"/>
            </w:rPr>
            <w:fldChar w:fldCharType="separate"/>
          </w:r>
          <w:r>
            <w:rPr>
              <w:rFonts w:hint="eastAsia" w:ascii="仿宋" w:hAnsi="仿宋" w:eastAsia="仿宋" w:cs="仿宋"/>
              <w:color w:val="auto"/>
              <w:sz w:val="28"/>
              <w:szCs w:val="28"/>
            </w:rPr>
            <w:t xml:space="preserve">第一章 </w:t>
          </w:r>
          <w:r>
            <w:rPr>
              <w:rFonts w:hint="eastAsia" w:ascii="仿宋" w:hAnsi="仿宋" w:eastAsia="仿宋" w:cs="仿宋"/>
              <w:color w:val="auto"/>
              <w:sz w:val="28"/>
              <w:szCs w:val="28"/>
              <w:lang w:val="en-US" w:eastAsia="zh-CN"/>
            </w:rPr>
            <w:t xml:space="preserve"> 公开</w:t>
          </w:r>
          <w:r>
            <w:rPr>
              <w:rFonts w:hint="eastAsia" w:ascii="仿宋" w:hAnsi="仿宋" w:eastAsia="仿宋" w:cs="仿宋"/>
              <w:color w:val="auto"/>
              <w:sz w:val="28"/>
              <w:szCs w:val="28"/>
              <w:lang w:val="en-US"/>
            </w:rPr>
            <w:t>采购</w:t>
          </w:r>
          <w:r>
            <w:rPr>
              <w:rFonts w:hint="eastAsia" w:ascii="仿宋" w:hAnsi="仿宋" w:eastAsia="仿宋" w:cs="仿宋"/>
              <w:color w:val="auto"/>
              <w:sz w:val="28"/>
              <w:szCs w:val="28"/>
            </w:rPr>
            <w:t>公告</w:t>
          </w:r>
          <w:r>
            <w:rPr>
              <w:color w:val="auto"/>
              <w:sz w:val="28"/>
              <w:szCs w:val="28"/>
            </w:rPr>
            <w:tab/>
          </w:r>
          <w:r>
            <w:rPr>
              <w:color w:val="auto"/>
              <w:sz w:val="28"/>
              <w:szCs w:val="28"/>
            </w:rPr>
            <w:fldChar w:fldCharType="begin"/>
          </w:r>
          <w:r>
            <w:rPr>
              <w:color w:val="auto"/>
              <w:sz w:val="28"/>
              <w:szCs w:val="28"/>
            </w:rPr>
            <w:instrText xml:space="preserve"> PAGEREF _Toc30622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14:paraId="2B5227DB">
          <w:pPr>
            <w:pStyle w:val="19"/>
            <w:tabs>
              <w:tab w:val="right" w:leader="dot" w:pos="9642"/>
            </w:tabs>
            <w:ind w:left="0" w:leftChars="0" w:firstLine="0" w:firstLineChars="0"/>
            <w:rPr>
              <w:color w:val="auto"/>
              <w:sz w:val="28"/>
              <w:szCs w:val="28"/>
            </w:rPr>
          </w:pPr>
          <w:r>
            <w:rPr>
              <w:color w:val="auto"/>
              <w:sz w:val="28"/>
              <w:szCs w:val="28"/>
            </w:rPr>
            <w:fldChar w:fldCharType="begin"/>
          </w:r>
          <w:r>
            <w:rPr>
              <w:color w:val="auto"/>
              <w:sz w:val="28"/>
              <w:szCs w:val="28"/>
            </w:rPr>
            <w:instrText xml:space="preserve"> HYPERLINK \l _Toc31193 </w:instrText>
          </w:r>
          <w:r>
            <w:rPr>
              <w:color w:val="auto"/>
              <w:sz w:val="28"/>
              <w:szCs w:val="28"/>
            </w:rPr>
            <w:fldChar w:fldCharType="separate"/>
          </w:r>
          <w:r>
            <w:rPr>
              <w:rFonts w:hint="eastAsia" w:ascii="仿宋" w:hAnsi="仿宋" w:eastAsia="仿宋" w:cs="仿宋"/>
              <w:color w:val="auto"/>
              <w:sz w:val="28"/>
              <w:szCs w:val="28"/>
              <w:lang w:val="en-US"/>
            </w:rPr>
            <w:t xml:space="preserve">第二章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rPr>
            <w:t>投标人须知</w:t>
          </w:r>
          <w:r>
            <w:rPr>
              <w:color w:val="auto"/>
              <w:sz w:val="28"/>
              <w:szCs w:val="28"/>
            </w:rPr>
            <w:tab/>
          </w:r>
          <w:r>
            <w:rPr>
              <w:color w:val="auto"/>
              <w:sz w:val="28"/>
              <w:szCs w:val="28"/>
            </w:rPr>
            <w:fldChar w:fldCharType="begin"/>
          </w:r>
          <w:r>
            <w:rPr>
              <w:color w:val="auto"/>
              <w:sz w:val="28"/>
              <w:szCs w:val="28"/>
            </w:rPr>
            <w:instrText xml:space="preserve"> PAGEREF _Toc31193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53619547">
          <w:pPr>
            <w:pStyle w:val="19"/>
            <w:tabs>
              <w:tab w:val="right" w:leader="dot" w:pos="9642"/>
            </w:tabs>
            <w:ind w:left="0" w:leftChars="0" w:firstLine="0" w:firstLineChars="0"/>
            <w:rPr>
              <w:color w:val="auto"/>
              <w:sz w:val="28"/>
              <w:szCs w:val="28"/>
            </w:rPr>
          </w:pPr>
          <w:r>
            <w:rPr>
              <w:color w:val="auto"/>
              <w:sz w:val="28"/>
              <w:szCs w:val="28"/>
            </w:rPr>
            <w:fldChar w:fldCharType="begin"/>
          </w:r>
          <w:r>
            <w:rPr>
              <w:color w:val="auto"/>
              <w:sz w:val="28"/>
              <w:szCs w:val="28"/>
            </w:rPr>
            <w:instrText xml:space="preserve"> HYPERLINK \l _Toc32215 </w:instrText>
          </w:r>
          <w:r>
            <w:rPr>
              <w:color w:val="auto"/>
              <w:sz w:val="28"/>
              <w:szCs w:val="28"/>
            </w:rPr>
            <w:fldChar w:fldCharType="separate"/>
          </w:r>
          <w:r>
            <w:rPr>
              <w:rFonts w:hint="eastAsia" w:ascii="仿宋" w:hAnsi="仿宋" w:eastAsia="仿宋" w:cs="仿宋"/>
              <w:color w:val="auto"/>
              <w:sz w:val="28"/>
              <w:szCs w:val="28"/>
            </w:rPr>
            <w:t>第</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章</w:t>
          </w:r>
          <w:r>
            <w:rPr>
              <w:rFonts w:hint="eastAsia" w:ascii="仿宋" w:hAnsi="仿宋" w:eastAsia="仿宋" w:cs="仿宋"/>
              <w:color w:val="auto"/>
              <w:sz w:val="28"/>
              <w:szCs w:val="28"/>
              <w:lang w:val="en-US"/>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采购需求</w:t>
          </w:r>
          <w:r>
            <w:rPr>
              <w:color w:val="auto"/>
              <w:sz w:val="28"/>
              <w:szCs w:val="28"/>
            </w:rPr>
            <w:tab/>
          </w:r>
          <w:r>
            <w:rPr>
              <w:color w:val="auto"/>
              <w:sz w:val="28"/>
              <w:szCs w:val="28"/>
            </w:rPr>
            <w:fldChar w:fldCharType="begin"/>
          </w:r>
          <w:r>
            <w:rPr>
              <w:color w:val="auto"/>
              <w:sz w:val="28"/>
              <w:szCs w:val="28"/>
            </w:rPr>
            <w:instrText xml:space="preserve"> PAGEREF _Toc32215 \h </w:instrText>
          </w:r>
          <w:r>
            <w:rPr>
              <w:color w:val="auto"/>
              <w:sz w:val="28"/>
              <w:szCs w:val="28"/>
            </w:rPr>
            <w:fldChar w:fldCharType="separate"/>
          </w:r>
          <w:r>
            <w:rPr>
              <w:color w:val="auto"/>
              <w:sz w:val="28"/>
              <w:szCs w:val="28"/>
            </w:rPr>
            <w:t>25</w:t>
          </w:r>
          <w:r>
            <w:rPr>
              <w:color w:val="auto"/>
              <w:sz w:val="28"/>
              <w:szCs w:val="28"/>
            </w:rPr>
            <w:fldChar w:fldCharType="end"/>
          </w:r>
          <w:r>
            <w:rPr>
              <w:color w:val="auto"/>
              <w:sz w:val="28"/>
              <w:szCs w:val="28"/>
            </w:rPr>
            <w:fldChar w:fldCharType="end"/>
          </w:r>
        </w:p>
        <w:p w14:paraId="6ABF7B5D">
          <w:pPr>
            <w:pStyle w:val="19"/>
            <w:tabs>
              <w:tab w:val="right" w:leader="dot" w:pos="9642"/>
            </w:tabs>
            <w:ind w:left="0" w:leftChars="0" w:firstLine="0" w:firstLineChars="0"/>
            <w:rPr>
              <w:color w:val="auto"/>
              <w:sz w:val="28"/>
              <w:szCs w:val="28"/>
            </w:rPr>
          </w:pPr>
          <w:r>
            <w:rPr>
              <w:color w:val="auto"/>
              <w:sz w:val="28"/>
              <w:szCs w:val="28"/>
            </w:rPr>
            <w:fldChar w:fldCharType="begin"/>
          </w:r>
          <w:r>
            <w:rPr>
              <w:color w:val="auto"/>
              <w:sz w:val="28"/>
              <w:szCs w:val="28"/>
            </w:rPr>
            <w:instrText xml:space="preserve"> HYPERLINK \l _Toc457 </w:instrText>
          </w:r>
          <w:r>
            <w:rPr>
              <w:color w:val="auto"/>
              <w:sz w:val="28"/>
              <w:szCs w:val="28"/>
            </w:rPr>
            <w:fldChar w:fldCharType="separate"/>
          </w:r>
          <w:r>
            <w:rPr>
              <w:rFonts w:hint="eastAsia" w:ascii="仿宋" w:hAnsi="仿宋" w:eastAsia="仿宋" w:cs="仿宋"/>
              <w:bCs/>
              <w:color w:val="auto"/>
              <w:sz w:val="28"/>
              <w:szCs w:val="32"/>
            </w:rPr>
            <w:t>第</w:t>
          </w:r>
          <w:r>
            <w:rPr>
              <w:rFonts w:hint="eastAsia" w:ascii="仿宋" w:hAnsi="仿宋" w:eastAsia="仿宋" w:cs="仿宋"/>
              <w:bCs/>
              <w:color w:val="auto"/>
              <w:sz w:val="28"/>
              <w:szCs w:val="32"/>
              <w:lang w:val="en-US" w:eastAsia="zh-CN"/>
            </w:rPr>
            <w:t>四</w:t>
          </w:r>
          <w:r>
            <w:rPr>
              <w:rFonts w:hint="eastAsia" w:ascii="仿宋" w:hAnsi="仿宋" w:eastAsia="仿宋" w:cs="仿宋"/>
              <w:bCs/>
              <w:color w:val="auto"/>
              <w:sz w:val="28"/>
              <w:szCs w:val="32"/>
            </w:rPr>
            <w:t>章</w:t>
          </w:r>
          <w:r>
            <w:rPr>
              <w:rFonts w:hint="eastAsia" w:ascii="仿宋" w:hAnsi="仿宋" w:eastAsia="仿宋" w:cs="仿宋"/>
              <w:bCs/>
              <w:color w:val="auto"/>
              <w:sz w:val="28"/>
              <w:szCs w:val="32"/>
              <w:lang w:val="en-US"/>
            </w:rPr>
            <w:t xml:space="preserve"> </w:t>
          </w:r>
          <w:r>
            <w:rPr>
              <w:rFonts w:hint="eastAsia" w:ascii="仿宋" w:hAnsi="仿宋" w:eastAsia="仿宋" w:cs="仿宋"/>
              <w:bCs/>
              <w:color w:val="auto"/>
              <w:sz w:val="28"/>
              <w:szCs w:val="32"/>
              <w:lang w:val="en-US" w:eastAsia="zh-CN"/>
            </w:rPr>
            <w:t xml:space="preserve"> </w:t>
          </w:r>
          <w:r>
            <w:rPr>
              <w:rFonts w:hint="eastAsia" w:ascii="仿宋" w:hAnsi="仿宋" w:eastAsia="仿宋" w:cs="仿宋"/>
              <w:bCs/>
              <w:color w:val="auto"/>
              <w:sz w:val="28"/>
              <w:szCs w:val="32"/>
            </w:rPr>
            <w:t>评标办法及评标标准</w:t>
          </w:r>
          <w:r>
            <w:rPr>
              <w:color w:val="auto"/>
              <w:sz w:val="28"/>
              <w:szCs w:val="28"/>
            </w:rPr>
            <w:tab/>
          </w:r>
          <w:r>
            <w:rPr>
              <w:color w:val="auto"/>
              <w:sz w:val="28"/>
              <w:szCs w:val="28"/>
            </w:rPr>
            <w:fldChar w:fldCharType="begin"/>
          </w:r>
          <w:r>
            <w:rPr>
              <w:color w:val="auto"/>
              <w:sz w:val="28"/>
              <w:szCs w:val="28"/>
            </w:rPr>
            <w:instrText xml:space="preserve"> PAGEREF _Toc457 \h </w:instrText>
          </w:r>
          <w:r>
            <w:rPr>
              <w:color w:val="auto"/>
              <w:sz w:val="28"/>
              <w:szCs w:val="28"/>
            </w:rPr>
            <w:fldChar w:fldCharType="separate"/>
          </w:r>
          <w:r>
            <w:rPr>
              <w:color w:val="auto"/>
              <w:sz w:val="28"/>
              <w:szCs w:val="28"/>
            </w:rPr>
            <w:t>88</w:t>
          </w:r>
          <w:r>
            <w:rPr>
              <w:color w:val="auto"/>
              <w:sz w:val="28"/>
              <w:szCs w:val="28"/>
            </w:rPr>
            <w:fldChar w:fldCharType="end"/>
          </w:r>
          <w:r>
            <w:rPr>
              <w:color w:val="auto"/>
              <w:sz w:val="28"/>
              <w:szCs w:val="28"/>
            </w:rPr>
            <w:fldChar w:fldCharType="end"/>
          </w:r>
        </w:p>
        <w:p w14:paraId="3DC9AC50">
          <w:pPr>
            <w:pStyle w:val="19"/>
            <w:tabs>
              <w:tab w:val="right" w:leader="dot" w:pos="9642"/>
            </w:tabs>
            <w:ind w:left="0" w:leftChars="0" w:firstLine="0" w:firstLineChars="0"/>
            <w:rPr>
              <w:color w:val="auto"/>
              <w:sz w:val="28"/>
              <w:szCs w:val="28"/>
            </w:rPr>
          </w:pPr>
          <w:r>
            <w:rPr>
              <w:color w:val="auto"/>
              <w:sz w:val="28"/>
              <w:szCs w:val="28"/>
            </w:rPr>
            <w:fldChar w:fldCharType="begin"/>
          </w:r>
          <w:r>
            <w:rPr>
              <w:color w:val="auto"/>
              <w:sz w:val="28"/>
              <w:szCs w:val="28"/>
            </w:rPr>
            <w:instrText xml:space="preserve"> HYPERLINK \l _Toc9158 </w:instrText>
          </w:r>
          <w:r>
            <w:rPr>
              <w:color w:val="auto"/>
              <w:sz w:val="28"/>
              <w:szCs w:val="28"/>
            </w:rPr>
            <w:fldChar w:fldCharType="separate"/>
          </w:r>
          <w:r>
            <w:rPr>
              <w:rFonts w:hint="eastAsia" w:ascii="仿宋" w:hAnsi="仿宋" w:eastAsia="仿宋" w:cs="仿宋"/>
              <w:color w:val="auto"/>
              <w:sz w:val="28"/>
              <w:szCs w:val="22"/>
            </w:rPr>
            <w:t>第五章</w:t>
          </w:r>
          <w:r>
            <w:rPr>
              <w:rFonts w:hint="eastAsia" w:ascii="仿宋" w:hAnsi="仿宋" w:eastAsia="仿宋" w:cs="仿宋"/>
              <w:color w:val="auto"/>
              <w:sz w:val="28"/>
              <w:szCs w:val="22"/>
              <w:lang w:val="en-US"/>
            </w:rPr>
            <w:t xml:space="preserve">  政府采购合同参考范本</w:t>
          </w:r>
          <w:r>
            <w:rPr>
              <w:color w:val="auto"/>
              <w:sz w:val="28"/>
              <w:szCs w:val="28"/>
            </w:rPr>
            <w:tab/>
          </w:r>
          <w:r>
            <w:rPr>
              <w:color w:val="auto"/>
              <w:sz w:val="28"/>
              <w:szCs w:val="28"/>
            </w:rPr>
            <w:fldChar w:fldCharType="begin"/>
          </w:r>
          <w:r>
            <w:rPr>
              <w:color w:val="auto"/>
              <w:sz w:val="28"/>
              <w:szCs w:val="28"/>
            </w:rPr>
            <w:instrText xml:space="preserve"> PAGEREF _Toc9158 \h </w:instrText>
          </w:r>
          <w:r>
            <w:rPr>
              <w:color w:val="auto"/>
              <w:sz w:val="28"/>
              <w:szCs w:val="28"/>
            </w:rPr>
            <w:fldChar w:fldCharType="separate"/>
          </w:r>
          <w:r>
            <w:rPr>
              <w:color w:val="auto"/>
              <w:sz w:val="28"/>
              <w:szCs w:val="28"/>
            </w:rPr>
            <w:t>95</w:t>
          </w:r>
          <w:r>
            <w:rPr>
              <w:color w:val="auto"/>
              <w:sz w:val="28"/>
              <w:szCs w:val="28"/>
            </w:rPr>
            <w:fldChar w:fldCharType="end"/>
          </w:r>
          <w:r>
            <w:rPr>
              <w:color w:val="auto"/>
              <w:sz w:val="28"/>
              <w:szCs w:val="28"/>
            </w:rPr>
            <w:fldChar w:fldCharType="end"/>
          </w:r>
        </w:p>
        <w:p w14:paraId="3DD099FF">
          <w:pPr>
            <w:pStyle w:val="19"/>
            <w:tabs>
              <w:tab w:val="right" w:leader="dot" w:pos="9642"/>
            </w:tabs>
            <w:ind w:left="0" w:leftChars="0" w:firstLine="0" w:firstLineChars="0"/>
            <w:rPr>
              <w:color w:val="auto"/>
            </w:rPr>
          </w:pPr>
          <w:r>
            <w:rPr>
              <w:color w:val="auto"/>
              <w:sz w:val="28"/>
              <w:szCs w:val="28"/>
            </w:rPr>
            <w:fldChar w:fldCharType="begin"/>
          </w:r>
          <w:r>
            <w:rPr>
              <w:color w:val="auto"/>
              <w:sz w:val="28"/>
              <w:szCs w:val="28"/>
            </w:rPr>
            <w:instrText xml:space="preserve"> HYPERLINK \l _Toc8923 </w:instrText>
          </w:r>
          <w:r>
            <w:rPr>
              <w:color w:val="auto"/>
              <w:sz w:val="28"/>
              <w:szCs w:val="28"/>
            </w:rPr>
            <w:fldChar w:fldCharType="separate"/>
          </w:r>
          <w:r>
            <w:rPr>
              <w:rFonts w:hint="eastAsia" w:ascii="仿宋" w:hAnsi="仿宋" w:eastAsia="仿宋" w:cs="仿宋"/>
              <w:color w:val="auto"/>
              <w:sz w:val="28"/>
              <w:szCs w:val="28"/>
            </w:rPr>
            <w:t xml:space="preserve">第六章 </w:t>
          </w:r>
          <w:r>
            <w:rPr>
              <w:rFonts w:hint="eastAsia" w:ascii="仿宋" w:hAnsi="仿宋" w:eastAsia="仿宋" w:cs="仿宋"/>
              <w:color w:val="auto"/>
              <w:sz w:val="28"/>
              <w:szCs w:val="28"/>
              <w:lang w:val="en-US"/>
            </w:rPr>
            <w:t xml:space="preserve"> 应提交的有关格式范例</w:t>
          </w:r>
          <w:r>
            <w:rPr>
              <w:color w:val="auto"/>
              <w:sz w:val="28"/>
              <w:szCs w:val="28"/>
            </w:rPr>
            <w:tab/>
          </w:r>
          <w:r>
            <w:rPr>
              <w:color w:val="auto"/>
              <w:sz w:val="28"/>
              <w:szCs w:val="28"/>
            </w:rPr>
            <w:fldChar w:fldCharType="begin"/>
          </w:r>
          <w:r>
            <w:rPr>
              <w:color w:val="auto"/>
              <w:sz w:val="28"/>
              <w:szCs w:val="28"/>
            </w:rPr>
            <w:instrText xml:space="preserve"> PAGEREF _Toc8923 \h </w:instrText>
          </w:r>
          <w:r>
            <w:rPr>
              <w:color w:val="auto"/>
              <w:sz w:val="28"/>
              <w:szCs w:val="28"/>
            </w:rPr>
            <w:fldChar w:fldCharType="separate"/>
          </w:r>
          <w:r>
            <w:rPr>
              <w:color w:val="auto"/>
              <w:sz w:val="28"/>
              <w:szCs w:val="28"/>
            </w:rPr>
            <w:t>106</w:t>
          </w:r>
          <w:r>
            <w:rPr>
              <w:color w:val="auto"/>
              <w:sz w:val="28"/>
              <w:szCs w:val="28"/>
            </w:rPr>
            <w:fldChar w:fldCharType="end"/>
          </w:r>
          <w:r>
            <w:rPr>
              <w:color w:val="auto"/>
              <w:sz w:val="28"/>
              <w:szCs w:val="28"/>
            </w:rPr>
            <w:fldChar w:fldCharType="end"/>
          </w:r>
        </w:p>
        <w:p w14:paraId="785F01A6">
          <w:pPr>
            <w:rPr>
              <w:color w:val="auto"/>
            </w:rPr>
          </w:pPr>
          <w:r>
            <w:rPr>
              <w:color w:val="auto"/>
            </w:rPr>
            <w:fldChar w:fldCharType="end"/>
          </w:r>
        </w:p>
        <w:p w14:paraId="66961E42">
          <w:pPr>
            <w:rPr>
              <w:rFonts w:ascii="宋体" w:hAnsi="宋体" w:eastAsia="宋体" w:cs="宋体"/>
              <w:color w:val="auto"/>
              <w:sz w:val="21"/>
              <w:szCs w:val="22"/>
              <w:lang w:val="zh-CN" w:eastAsia="zh-CN" w:bidi="zh-CN"/>
            </w:rPr>
          </w:pPr>
          <w:r>
            <w:rPr>
              <w:rFonts w:ascii="宋体" w:hAnsi="宋体" w:eastAsia="宋体" w:cs="宋体"/>
              <w:color w:val="auto"/>
              <w:sz w:val="21"/>
              <w:szCs w:val="22"/>
              <w:lang w:val="zh-CN" w:eastAsia="zh-CN" w:bidi="zh-CN"/>
            </w:rPr>
            <w:br w:type="page"/>
          </w:r>
        </w:p>
        <w:p w14:paraId="03C3CA88">
          <w:pPr>
            <w:rPr>
              <w:color w:val="auto"/>
            </w:rPr>
          </w:pPr>
        </w:p>
      </w:sdtContent>
    </w:sdt>
    <w:p w14:paraId="0BE40ADA">
      <w:pPr>
        <w:pStyle w:val="5"/>
        <w:numPr>
          <w:ilvl w:val="0"/>
          <w:numId w:val="1"/>
        </w:numPr>
        <w:tabs>
          <w:tab w:val="left" w:pos="1444"/>
        </w:tabs>
        <w:spacing w:before="80"/>
        <w:ind w:right="15"/>
        <w:rPr>
          <w:rFonts w:ascii="仿宋" w:hAnsi="仿宋" w:eastAsia="仿宋" w:cs="仿宋"/>
          <w:color w:val="auto"/>
        </w:rPr>
      </w:pPr>
      <w:r>
        <w:rPr>
          <w:rFonts w:hint="eastAsia" w:ascii="仿宋" w:hAnsi="仿宋" w:eastAsia="仿宋" w:cs="仿宋"/>
          <w:color w:val="auto"/>
          <w:lang w:val="en-US"/>
        </w:rPr>
        <w:t xml:space="preserve"> </w:t>
      </w:r>
      <w:bookmarkStart w:id="1" w:name="_Toc19799"/>
      <w:bookmarkStart w:id="2" w:name="_Toc30622"/>
      <w:r>
        <w:rPr>
          <w:rFonts w:hint="eastAsia" w:ascii="仿宋" w:hAnsi="仿宋" w:eastAsia="仿宋" w:cs="仿宋"/>
          <w:color w:val="auto"/>
          <w:lang w:val="en-US" w:eastAsia="zh-CN"/>
        </w:rPr>
        <w:t>公开</w:t>
      </w:r>
      <w:r>
        <w:rPr>
          <w:rFonts w:hint="eastAsia" w:ascii="仿宋" w:hAnsi="仿宋" w:eastAsia="仿宋" w:cs="仿宋"/>
          <w:color w:val="auto"/>
          <w:lang w:val="en-US"/>
        </w:rPr>
        <w:t>采购</w:t>
      </w:r>
      <w:r>
        <w:rPr>
          <w:rFonts w:hint="eastAsia" w:ascii="仿宋" w:hAnsi="仿宋" w:eastAsia="仿宋" w:cs="仿宋"/>
          <w:color w:val="auto"/>
        </w:rPr>
        <w:t>公告</w:t>
      </w:r>
      <w:bookmarkEnd w:id="1"/>
      <w:bookmarkEnd w:id="2"/>
    </w:p>
    <w:p w14:paraId="5AB5E6C3">
      <w:pPr>
        <w:rPr>
          <w:color w:val="auto"/>
        </w:rPr>
      </w:pPr>
    </w:p>
    <w:tbl>
      <w:tblPr>
        <w:tblStyle w:val="27"/>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7"/>
      </w:tblGrid>
      <w:tr w14:paraId="6E25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7" w:type="dxa"/>
          </w:tcPr>
          <w:p w14:paraId="1414EEB5">
            <w:pPr>
              <w:pStyle w:val="23"/>
              <w:keepNext w:val="0"/>
              <w:keepLines w:val="0"/>
              <w:pageBreakBefore w:val="0"/>
              <w:kinsoku/>
              <w:overflowPunct/>
              <w:topLinePunct w:val="0"/>
              <w:autoSpaceDE/>
              <w:autoSpaceDN/>
              <w:bidi w:val="0"/>
              <w:adjustRightInd/>
              <w:spacing w:after="0" w:line="440" w:lineRule="exact"/>
              <w:jc w:val="both"/>
              <w:textAlignment w:val="auto"/>
              <w:rPr>
                <w:rFonts w:ascii="仿宋" w:hAnsi="仿宋" w:eastAsia="仿宋" w:cs="仿宋"/>
                <w:b/>
                <w:bCs/>
                <w:color w:val="auto"/>
              </w:rPr>
            </w:pPr>
            <w:r>
              <w:rPr>
                <w:rFonts w:hint="eastAsia" w:ascii="仿宋" w:hAnsi="仿宋" w:eastAsia="仿宋" w:cs="仿宋"/>
                <w:b/>
                <w:bCs/>
                <w:color w:val="auto"/>
              </w:rPr>
              <w:t>项目概况</w:t>
            </w:r>
          </w:p>
          <w:p w14:paraId="1E8D8548">
            <w:pPr>
              <w:pStyle w:val="23"/>
              <w:keepNext w:val="0"/>
              <w:keepLines w:val="0"/>
              <w:pageBreakBefore w:val="0"/>
              <w:kinsoku/>
              <w:wordWrap w:val="0"/>
              <w:overflowPunct/>
              <w:topLinePunct w:val="0"/>
              <w:autoSpaceDE/>
              <w:autoSpaceDN/>
              <w:bidi w:val="0"/>
              <w:adjustRightInd/>
              <w:spacing w:after="0" w:line="440" w:lineRule="exact"/>
              <w:ind w:firstLine="561"/>
              <w:jc w:val="both"/>
              <w:textAlignment w:val="auto"/>
              <w:rPr>
                <w:rFonts w:ascii="仿宋" w:hAnsi="仿宋" w:eastAsia="仿宋" w:cs="仿宋"/>
                <w:color w:val="auto"/>
              </w:rPr>
            </w:pPr>
            <w:r>
              <w:rPr>
                <w:rFonts w:hint="eastAsia" w:ascii="仿宋" w:hAnsi="仿宋" w:eastAsia="仿宋" w:cs="仿宋"/>
                <w:color w:val="auto"/>
                <w:lang w:eastAsia="zh-CN"/>
              </w:rPr>
              <w:t>龙港市世纪中学功能教室设备仪器采购项目</w:t>
            </w:r>
            <w:r>
              <w:rPr>
                <w:rFonts w:hint="eastAsia" w:ascii="仿宋" w:hAnsi="仿宋" w:eastAsia="仿宋" w:cs="仿宋"/>
                <w:color w:val="auto"/>
              </w:rPr>
              <w:t>招标项目的潜在投标人应在浙江政府采购网（http://zfcg.czt.zj.gov.cn）上获取（下载）采购文件。获取（下载）招标文件，并于 202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5</w:t>
            </w:r>
            <w:r>
              <w:rPr>
                <w:rFonts w:hint="eastAsia" w:ascii="仿宋" w:hAnsi="仿宋" w:eastAsia="仿宋" w:cs="仿宋"/>
                <w:color w:val="auto"/>
              </w:rPr>
              <w:t>月</w:t>
            </w:r>
            <w:r>
              <w:rPr>
                <w:rFonts w:hint="eastAsia" w:ascii="仿宋" w:hAnsi="仿宋" w:eastAsia="仿宋" w:cs="仿宋"/>
                <w:color w:val="auto"/>
                <w:lang w:val="en-US" w:eastAsia="zh-CN"/>
              </w:rPr>
              <w:t>12</w:t>
            </w:r>
            <w:r>
              <w:rPr>
                <w:rFonts w:hint="eastAsia" w:ascii="仿宋" w:hAnsi="仿宋" w:eastAsia="仿宋" w:cs="仿宋"/>
                <w:color w:val="auto"/>
              </w:rPr>
              <w:t>日 09:30（北京时间）前递交（上传）投标文件。</w:t>
            </w:r>
          </w:p>
        </w:tc>
      </w:tr>
    </w:tbl>
    <w:p w14:paraId="061F7258">
      <w:pPr>
        <w:keepNext w:val="0"/>
        <w:keepLines w:val="0"/>
        <w:pageBreakBefore w:val="0"/>
        <w:widowControl/>
        <w:numPr>
          <w:ilvl w:val="0"/>
          <w:numId w:val="0"/>
        </w:numPr>
        <w:kinsoku/>
        <w:overflowPunct/>
        <w:topLinePunct w:val="0"/>
        <w:autoSpaceDE/>
        <w:autoSpaceDN/>
        <w:bidi w:val="0"/>
        <w:adjustRightInd/>
        <w:spacing w:before="0" w:beforeLines="0" w:after="0" w:afterLines="0" w:line="440" w:lineRule="exact"/>
        <w:ind w:right="0"/>
        <w:textAlignment w:val="auto"/>
        <w:outlineLvl w:val="9"/>
        <w:rPr>
          <w:rFonts w:hint="eastAsia" w:ascii="仿宋" w:hAnsi="仿宋" w:eastAsia="仿宋" w:cs="仿宋"/>
          <w:b/>
          <w:bCs/>
          <w:color w:val="auto"/>
          <w:sz w:val="24"/>
          <w:szCs w:val="24"/>
        </w:rPr>
      </w:pPr>
    </w:p>
    <w:p w14:paraId="283FF06E">
      <w:pPr>
        <w:pStyle w:val="6"/>
        <w:keepNext w:val="0"/>
        <w:keepLines w:val="0"/>
        <w:pageBreakBefore w:val="0"/>
        <w:widowControl/>
        <w:numPr>
          <w:ilvl w:val="0"/>
          <w:numId w:val="0"/>
        </w:numPr>
        <w:kinsoku/>
        <w:overflowPunct/>
        <w:topLinePunct w:val="0"/>
        <w:autoSpaceDE/>
        <w:autoSpaceDN/>
        <w:bidi w:val="0"/>
        <w:adjustRightInd/>
        <w:spacing w:before="0" w:beforeLines="0" w:after="0" w:afterLines="0" w:line="440" w:lineRule="exact"/>
        <w:ind w:right="0"/>
        <w:textAlignment w:val="auto"/>
        <w:rPr>
          <w:rFonts w:hint="eastAsia" w:ascii="黑体" w:hAnsi="黑体" w:eastAsia="黑体" w:cs="黑体"/>
          <w:b/>
          <w:bCs/>
          <w:color w:val="auto"/>
          <w:sz w:val="24"/>
          <w:szCs w:val="24"/>
        </w:rPr>
      </w:pPr>
      <w:bookmarkStart w:id="3" w:name="_Toc24774"/>
      <w:bookmarkStart w:id="4" w:name="_Toc30037"/>
      <w:bookmarkStart w:id="5" w:name="_Toc1138"/>
      <w:r>
        <w:rPr>
          <w:rFonts w:hint="eastAsia" w:ascii="黑体" w:hAnsi="黑体" w:eastAsia="黑体" w:cs="黑体"/>
          <w:b/>
          <w:bCs/>
          <w:color w:val="auto"/>
          <w:sz w:val="24"/>
          <w:szCs w:val="24"/>
        </w:rPr>
        <w:t>一、项目基本情况</w:t>
      </w:r>
      <w:bookmarkEnd w:id="3"/>
      <w:bookmarkEnd w:id="4"/>
      <w:bookmarkEnd w:id="5"/>
    </w:p>
    <w:p w14:paraId="76468C0E">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LGCG2025129</w:t>
      </w:r>
    </w:p>
    <w:p w14:paraId="1CD3D786">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hint="eastAsia" w:ascii="仿宋" w:hAnsi="仿宋" w:eastAsia="仿宋" w:cs="仿宋"/>
          <w:color w:val="auto"/>
          <w:lang w:eastAsia="zh-CN"/>
        </w:rPr>
      </w:pPr>
      <w:r>
        <w:rPr>
          <w:rFonts w:hint="eastAsia" w:ascii="仿宋" w:hAnsi="仿宋" w:eastAsia="仿宋" w:cs="仿宋"/>
          <w:color w:val="auto"/>
        </w:rPr>
        <w:t>项目名称：</w:t>
      </w:r>
      <w:r>
        <w:rPr>
          <w:rFonts w:hint="eastAsia" w:ascii="仿宋" w:hAnsi="仿宋" w:eastAsia="仿宋" w:cs="仿宋"/>
          <w:color w:val="auto"/>
          <w:lang w:eastAsia="zh-CN"/>
        </w:rPr>
        <w:t>龙港市世纪中学功能教室设备仪器采购项目</w:t>
      </w:r>
    </w:p>
    <w:p w14:paraId="02145EBC">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hint="default" w:ascii="仿宋" w:hAnsi="仿宋" w:eastAsia="仿宋" w:cs="仿宋"/>
          <w:color w:val="auto"/>
          <w:lang w:val="en-US" w:eastAsia="zh-CN"/>
        </w:rPr>
      </w:pPr>
      <w:r>
        <w:rPr>
          <w:rFonts w:hint="eastAsia" w:ascii="仿宋" w:hAnsi="仿宋" w:eastAsia="仿宋" w:cs="仿宋"/>
          <w:color w:val="auto"/>
          <w:lang w:val="en-US"/>
        </w:rPr>
        <w:t>预算金额（元）：</w:t>
      </w:r>
      <w:r>
        <w:rPr>
          <w:rFonts w:hint="eastAsia" w:ascii="仿宋" w:hAnsi="仿宋" w:eastAsia="仿宋" w:cs="仿宋"/>
          <w:color w:val="auto"/>
          <w:lang w:val="en-US" w:eastAsia="zh-CN"/>
        </w:rPr>
        <w:t>1649600</w:t>
      </w:r>
    </w:p>
    <w:p w14:paraId="4ABDABE7">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hint="default" w:ascii="仿宋" w:hAnsi="仿宋" w:eastAsia="仿宋" w:cs="仿宋"/>
          <w:color w:val="auto"/>
          <w:lang w:val="en-US" w:eastAsia="zh-CN"/>
        </w:rPr>
      </w:pPr>
      <w:r>
        <w:rPr>
          <w:rFonts w:hint="eastAsia" w:ascii="仿宋" w:hAnsi="仿宋" w:eastAsia="仿宋" w:cs="仿宋"/>
          <w:color w:val="auto"/>
          <w:lang w:val="en-US"/>
        </w:rPr>
        <w:t>最高限价（元）：</w:t>
      </w:r>
      <w:r>
        <w:rPr>
          <w:rFonts w:hint="eastAsia" w:ascii="仿宋" w:hAnsi="仿宋" w:eastAsia="仿宋" w:cs="仿宋"/>
          <w:color w:val="auto"/>
          <w:lang w:val="en-US" w:eastAsia="zh-CN"/>
        </w:rPr>
        <w:t>1649600</w:t>
      </w:r>
    </w:p>
    <w:p w14:paraId="681F2BE0">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ascii="仿宋" w:hAnsi="仿宋" w:eastAsia="仿宋" w:cs="仿宋"/>
          <w:color w:val="auto"/>
        </w:rPr>
      </w:pPr>
      <w:r>
        <w:rPr>
          <w:rFonts w:hint="eastAsia" w:ascii="仿宋" w:hAnsi="仿宋" w:eastAsia="仿宋" w:cs="仿宋"/>
          <w:color w:val="auto"/>
        </w:rPr>
        <w:t>采购需求：</w:t>
      </w:r>
    </w:p>
    <w:p w14:paraId="6D4DC652">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标项名称：龙港市世纪中学功能教室设备仪器采购项目</w:t>
      </w:r>
    </w:p>
    <w:p w14:paraId="4D7BE9E6">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数量:</w:t>
      </w:r>
      <w:r>
        <w:rPr>
          <w:rFonts w:hint="eastAsia" w:ascii="仿宋" w:hAnsi="仿宋" w:eastAsia="仿宋" w:cs="仿宋"/>
          <w:color w:val="auto"/>
          <w:lang w:val="en-US" w:eastAsia="zh-CN"/>
        </w:rPr>
        <w:t>不限</w:t>
      </w:r>
      <w:r>
        <w:rPr>
          <w:rFonts w:hint="eastAsia" w:ascii="仿宋" w:hAnsi="仿宋" w:eastAsia="仿宋" w:cs="仿宋"/>
          <w:color w:val="auto"/>
        </w:rPr>
        <w:t xml:space="preserve"> </w:t>
      </w:r>
    </w:p>
    <w:p w14:paraId="0A235541">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hint="default"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1649600</w:t>
      </w:r>
    </w:p>
    <w:p w14:paraId="1B579CE6">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hint="eastAsia" w:ascii="仿宋" w:hAnsi="仿宋" w:eastAsia="仿宋" w:cs="仿宋"/>
          <w:color w:val="auto"/>
          <w:lang w:eastAsia="zh-CN"/>
        </w:rPr>
      </w:pPr>
      <w:r>
        <w:rPr>
          <w:rFonts w:hint="eastAsia" w:ascii="仿宋" w:hAnsi="仿宋" w:eastAsia="仿宋" w:cs="仿宋"/>
          <w:color w:val="auto"/>
        </w:rPr>
        <w:t>简要规格描述或项目基本概况介绍、用途：具体详见采购文件</w:t>
      </w:r>
    </w:p>
    <w:p w14:paraId="1D032333">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备注：</w:t>
      </w:r>
    </w:p>
    <w:p w14:paraId="1D44BF9E">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ascii="仿宋" w:hAnsi="仿宋" w:eastAsia="仿宋" w:cs="仿宋"/>
          <w:color w:val="auto"/>
        </w:rPr>
      </w:pPr>
      <w:r>
        <w:rPr>
          <w:rFonts w:hint="eastAsia" w:ascii="仿宋" w:hAnsi="仿宋" w:eastAsia="仿宋" w:cs="仿宋"/>
          <w:color w:val="auto"/>
        </w:rPr>
        <w:t>合同履约期限：标项 1，合同签订后</w:t>
      </w:r>
      <w:r>
        <w:rPr>
          <w:rFonts w:hint="eastAsia" w:ascii="仿宋" w:hAnsi="仿宋" w:eastAsia="仿宋" w:cs="仿宋"/>
          <w:color w:val="auto"/>
          <w:highlight w:val="none"/>
          <w:lang w:val="en-US" w:eastAsia="zh-CN"/>
        </w:rPr>
        <w:t>50</w:t>
      </w:r>
      <w:r>
        <w:rPr>
          <w:rFonts w:hint="eastAsia" w:ascii="仿宋" w:hAnsi="仿宋" w:eastAsia="仿宋" w:cs="仿宋"/>
          <w:color w:val="auto"/>
          <w:lang w:val="en-US" w:eastAsia="zh-CN"/>
        </w:rPr>
        <w:t>日历天</w:t>
      </w:r>
      <w:r>
        <w:rPr>
          <w:rFonts w:hint="eastAsia" w:ascii="仿宋" w:hAnsi="仿宋" w:eastAsia="仿宋" w:cs="仿宋"/>
          <w:color w:val="auto"/>
        </w:rPr>
        <w:t>内供货、安装、调试完毕</w:t>
      </w:r>
    </w:p>
    <w:p w14:paraId="09780296">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ascii="仿宋" w:hAnsi="仿宋" w:eastAsia="仿宋" w:cs="仿宋"/>
          <w:color w:val="auto"/>
        </w:rPr>
      </w:pPr>
      <w:r>
        <w:rPr>
          <w:rFonts w:hint="eastAsia" w:ascii="仿宋" w:hAnsi="仿宋" w:eastAsia="仿宋" w:cs="仿宋"/>
          <w:color w:val="auto"/>
        </w:rPr>
        <w:t>本项目（否）接受联合体投标。</w:t>
      </w:r>
    </w:p>
    <w:p w14:paraId="12EBD489">
      <w:pPr>
        <w:pStyle w:val="6"/>
        <w:keepNext w:val="0"/>
        <w:keepLines w:val="0"/>
        <w:pageBreakBefore w:val="0"/>
        <w:widowControl/>
        <w:numPr>
          <w:ilvl w:val="0"/>
          <w:numId w:val="0"/>
        </w:numPr>
        <w:kinsoku/>
        <w:overflowPunct/>
        <w:topLinePunct w:val="0"/>
        <w:autoSpaceDE/>
        <w:autoSpaceDN/>
        <w:bidi w:val="0"/>
        <w:adjustRightInd/>
        <w:spacing w:before="0" w:beforeLines="0" w:after="0" w:afterLines="0" w:line="440" w:lineRule="exact"/>
        <w:ind w:right="0"/>
        <w:textAlignment w:val="auto"/>
        <w:rPr>
          <w:rFonts w:hint="eastAsia" w:ascii="黑体" w:hAnsi="黑体" w:eastAsia="黑体" w:cs="黑体"/>
          <w:b/>
          <w:bCs/>
          <w:color w:val="auto"/>
          <w:sz w:val="24"/>
          <w:szCs w:val="24"/>
          <w:lang w:val="zh-CN" w:eastAsia="zh-CN"/>
        </w:rPr>
      </w:pPr>
      <w:bookmarkStart w:id="6" w:name="_Toc29679"/>
      <w:bookmarkStart w:id="7" w:name="_Toc8555"/>
      <w:bookmarkStart w:id="8" w:name="_Toc10568"/>
      <w:r>
        <w:rPr>
          <w:rFonts w:hint="eastAsia" w:ascii="黑体" w:hAnsi="黑体" w:eastAsia="黑体" w:cs="黑体"/>
          <w:b/>
          <w:bCs/>
          <w:color w:val="auto"/>
          <w:sz w:val="24"/>
          <w:szCs w:val="24"/>
        </w:rPr>
        <w:t>二、</w:t>
      </w:r>
      <w:r>
        <w:rPr>
          <w:rFonts w:hint="eastAsia" w:ascii="黑体" w:hAnsi="黑体" w:eastAsia="黑体" w:cs="黑体"/>
          <w:b/>
          <w:bCs/>
          <w:color w:val="auto"/>
          <w:sz w:val="24"/>
          <w:szCs w:val="24"/>
          <w:lang w:val="zh-CN" w:eastAsia="zh-CN"/>
        </w:rPr>
        <w:t>申请人的资格要求</w:t>
      </w:r>
      <w:bookmarkEnd w:id="6"/>
      <w:r>
        <w:rPr>
          <w:rFonts w:hint="eastAsia" w:ascii="黑体" w:hAnsi="黑体" w:eastAsia="黑体" w:cs="黑体"/>
          <w:b/>
          <w:bCs/>
          <w:color w:val="auto"/>
          <w:sz w:val="24"/>
          <w:szCs w:val="24"/>
          <w:lang w:val="zh-CN" w:eastAsia="zh-CN"/>
        </w:rPr>
        <w:t>：</w:t>
      </w:r>
      <w:bookmarkEnd w:id="7"/>
      <w:bookmarkEnd w:id="8"/>
    </w:p>
    <w:p w14:paraId="607BEDFD">
      <w:pPr>
        <w:pStyle w:val="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40" w:lineRule="exact"/>
        <w:ind w:left="0" w:right="0" w:firstLine="480" w:firstLineChars="200"/>
        <w:jc w:val="both"/>
        <w:textAlignment w:val="auto"/>
        <w:rPr>
          <w:rFonts w:hint="eastAsia" w:ascii="仿宋" w:hAnsi="仿宋" w:eastAsia="仿宋" w:cs="仿宋"/>
          <w:color w:val="auto"/>
          <w:sz w:val="24"/>
          <w:szCs w:val="24"/>
          <w:lang w:val="zh-CN" w:eastAsia="zh-CN" w:bidi="ar-SA"/>
        </w:rPr>
      </w:pPr>
      <w:bookmarkStart w:id="9" w:name="_Toc12608"/>
      <w:bookmarkStart w:id="10" w:name="_Toc9169"/>
      <w:bookmarkStart w:id="11" w:name="_Toc30148"/>
      <w:r>
        <w:rPr>
          <w:rFonts w:hint="eastAsia" w:ascii="仿宋" w:hAnsi="仿宋" w:eastAsia="仿宋" w:cs="仿宋"/>
          <w:color w:val="auto"/>
          <w:sz w:val="24"/>
          <w:szCs w:val="24"/>
          <w:lang w:val="zh-CN"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bookmarkEnd w:id="9"/>
      <w:bookmarkEnd w:id="10"/>
    </w:p>
    <w:p w14:paraId="79149DD1">
      <w:pPr>
        <w:pStyle w:val="6"/>
        <w:keepNext w:val="0"/>
        <w:keepLines w:val="0"/>
        <w:pageBreakBefore w:val="0"/>
        <w:widowControl/>
        <w:numPr>
          <w:ilvl w:val="1"/>
          <w:numId w:val="0"/>
        </w:numPr>
        <w:kinsoku/>
        <w:overflowPunct/>
        <w:topLinePunct w:val="0"/>
        <w:autoSpaceDE/>
        <w:autoSpaceDN/>
        <w:bidi w:val="0"/>
        <w:adjustRightInd/>
        <w:spacing w:before="0" w:beforeLines="0" w:after="0" w:afterLines="0" w:line="440" w:lineRule="exact"/>
        <w:ind w:left="0" w:right="0" w:firstLine="480" w:firstLineChars="200"/>
        <w:textAlignment w:val="auto"/>
        <w:rPr>
          <w:rFonts w:hint="default" w:ascii="仿宋" w:hAnsi="仿宋" w:eastAsia="仿宋" w:cs="仿宋"/>
          <w:color w:val="auto"/>
          <w:sz w:val="24"/>
          <w:szCs w:val="24"/>
          <w:lang w:val="en-US" w:eastAsia="zh-CN" w:bidi="ar-SA"/>
        </w:rPr>
      </w:pPr>
      <w:bookmarkStart w:id="12" w:name="_Toc28821"/>
      <w:bookmarkStart w:id="13" w:name="_Toc26013"/>
      <w:r>
        <w:rPr>
          <w:rFonts w:hint="eastAsia" w:ascii="仿宋" w:hAnsi="仿宋" w:eastAsia="仿宋" w:cs="仿宋"/>
          <w:color w:val="auto"/>
          <w:sz w:val="24"/>
          <w:szCs w:val="24"/>
          <w:lang w:val="zh-CN" w:eastAsia="zh-CN" w:bidi="ar-SA"/>
        </w:rPr>
        <w:t>2.落实政府采购政策需满足的资格要求：</w:t>
      </w:r>
      <w:bookmarkEnd w:id="12"/>
      <w:bookmarkEnd w:id="13"/>
      <w:r>
        <w:rPr>
          <w:rFonts w:hint="eastAsia" w:ascii="仿宋" w:hAnsi="仿宋" w:eastAsia="仿宋" w:cs="仿宋"/>
          <w:color w:val="auto"/>
          <w:sz w:val="24"/>
          <w:szCs w:val="24"/>
          <w:lang w:val="en-US" w:eastAsia="zh-CN" w:bidi="ar-SA"/>
        </w:rPr>
        <w:t>标项1：无</w:t>
      </w:r>
    </w:p>
    <w:p w14:paraId="561E7E3B">
      <w:pPr>
        <w:pStyle w:val="6"/>
        <w:keepNext w:val="0"/>
        <w:keepLines w:val="0"/>
        <w:pageBreakBefore w:val="0"/>
        <w:widowControl/>
        <w:numPr>
          <w:ilvl w:val="1"/>
          <w:numId w:val="0"/>
        </w:numPr>
        <w:kinsoku/>
        <w:overflowPunct/>
        <w:topLinePunct w:val="0"/>
        <w:autoSpaceDE/>
        <w:autoSpaceDN/>
        <w:bidi w:val="0"/>
        <w:adjustRightInd/>
        <w:spacing w:before="0" w:beforeLines="0" w:after="0" w:afterLines="0" w:line="440" w:lineRule="exact"/>
        <w:ind w:left="0" w:right="0" w:firstLine="480" w:firstLineChars="0"/>
        <w:textAlignment w:val="auto"/>
        <w:rPr>
          <w:rFonts w:hint="default" w:ascii="仿宋" w:hAnsi="仿宋" w:eastAsia="仿宋" w:cs="仿宋"/>
          <w:color w:val="auto"/>
          <w:sz w:val="24"/>
          <w:szCs w:val="24"/>
          <w:lang w:val="en-US" w:eastAsia="zh-CN" w:bidi="ar-SA"/>
        </w:rPr>
      </w:pPr>
      <w:bookmarkStart w:id="14" w:name="_Toc1646"/>
      <w:bookmarkStart w:id="15" w:name="_Toc9420"/>
      <w:r>
        <w:rPr>
          <w:rFonts w:hint="eastAsia" w:ascii="仿宋" w:hAnsi="仿宋" w:eastAsia="仿宋" w:cs="仿宋"/>
          <w:color w:val="auto"/>
          <w:sz w:val="24"/>
          <w:szCs w:val="24"/>
          <w:lang w:val="zh-CN" w:eastAsia="zh-CN" w:bidi="ar-SA"/>
        </w:rPr>
        <w:t>3.本项目的特定资格要求：</w:t>
      </w:r>
      <w:r>
        <w:rPr>
          <w:rFonts w:hint="eastAsia" w:ascii="仿宋" w:hAnsi="仿宋" w:eastAsia="仿宋" w:cs="仿宋"/>
          <w:color w:val="auto"/>
          <w:sz w:val="24"/>
          <w:szCs w:val="24"/>
          <w:lang w:val="en-US" w:eastAsia="zh-CN" w:bidi="ar-SA"/>
        </w:rPr>
        <w:t>无</w:t>
      </w:r>
      <w:bookmarkEnd w:id="14"/>
      <w:bookmarkEnd w:id="15"/>
    </w:p>
    <w:p w14:paraId="53ED0BF0">
      <w:pPr>
        <w:pStyle w:val="6"/>
        <w:keepNext w:val="0"/>
        <w:keepLines w:val="0"/>
        <w:pageBreakBefore w:val="0"/>
        <w:widowControl/>
        <w:numPr>
          <w:ilvl w:val="0"/>
          <w:numId w:val="0"/>
        </w:numPr>
        <w:kinsoku/>
        <w:overflowPunct/>
        <w:topLinePunct w:val="0"/>
        <w:autoSpaceDE/>
        <w:autoSpaceDN/>
        <w:bidi w:val="0"/>
        <w:adjustRightInd/>
        <w:spacing w:before="0" w:beforeLines="0" w:after="0" w:afterLines="0" w:line="440" w:lineRule="exact"/>
        <w:ind w:right="0"/>
        <w:textAlignment w:val="auto"/>
        <w:rPr>
          <w:rFonts w:hint="eastAsia" w:ascii="黑体" w:hAnsi="黑体" w:eastAsia="黑体" w:cs="黑体"/>
          <w:b/>
          <w:bCs/>
          <w:color w:val="auto"/>
          <w:sz w:val="24"/>
          <w:szCs w:val="24"/>
          <w:lang w:val="zh-CN" w:eastAsia="zh-CN"/>
        </w:rPr>
      </w:pPr>
      <w:bookmarkStart w:id="16" w:name="_Toc28111"/>
      <w:bookmarkStart w:id="17" w:name="_Toc2478"/>
      <w:r>
        <w:rPr>
          <w:rFonts w:hint="eastAsia" w:ascii="黑体" w:hAnsi="黑体" w:eastAsia="黑体" w:cs="黑体"/>
          <w:b/>
          <w:bCs/>
          <w:color w:val="auto"/>
          <w:sz w:val="24"/>
          <w:szCs w:val="24"/>
          <w:lang w:val="zh-CN" w:eastAsia="zh-CN"/>
        </w:rPr>
        <w:t>三、</w:t>
      </w:r>
      <w:bookmarkEnd w:id="11"/>
      <w:r>
        <w:rPr>
          <w:rFonts w:hint="eastAsia" w:ascii="黑体" w:hAnsi="黑体" w:eastAsia="黑体" w:cs="黑体"/>
          <w:b/>
          <w:bCs/>
          <w:color w:val="auto"/>
          <w:sz w:val="24"/>
          <w:szCs w:val="24"/>
          <w:lang w:val="zh-CN" w:eastAsia="zh-CN"/>
        </w:rPr>
        <w:t>获取招标文件</w:t>
      </w:r>
      <w:bookmarkEnd w:id="16"/>
      <w:bookmarkEnd w:id="17"/>
    </w:p>
    <w:p w14:paraId="6B49EAC4">
      <w:pPr>
        <w:pStyle w:val="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40" w:lineRule="exact"/>
        <w:ind w:left="0" w:right="0" w:firstLine="480" w:firstLineChars="200"/>
        <w:jc w:val="both"/>
        <w:textAlignment w:val="auto"/>
        <w:rPr>
          <w:rFonts w:hint="eastAsia" w:ascii="仿宋" w:hAnsi="仿宋" w:eastAsia="仿宋" w:cs="仿宋"/>
          <w:color w:val="auto"/>
          <w:sz w:val="24"/>
          <w:szCs w:val="24"/>
          <w:lang w:val="zh-CN" w:eastAsia="zh-CN" w:bidi="ar-SA"/>
        </w:rPr>
      </w:pPr>
      <w:bookmarkStart w:id="18" w:name="_Toc9443"/>
      <w:bookmarkStart w:id="19" w:name="_Toc3556"/>
      <w:bookmarkStart w:id="20" w:name="_Toc4932"/>
      <w:r>
        <w:rPr>
          <w:rFonts w:hint="eastAsia" w:ascii="仿宋" w:hAnsi="仿宋" w:eastAsia="仿宋" w:cs="仿宋"/>
          <w:color w:val="auto"/>
          <w:sz w:val="24"/>
          <w:szCs w:val="24"/>
          <w:lang w:val="zh-CN" w:eastAsia="zh-CN" w:bidi="ar-SA"/>
        </w:rPr>
        <w:t>时间：</w:t>
      </w:r>
      <w:bookmarkEnd w:id="18"/>
      <w:bookmarkEnd w:id="19"/>
      <w:r>
        <w:rPr>
          <w:rFonts w:hint="eastAsia" w:ascii="仿宋" w:hAnsi="仿宋" w:eastAsia="仿宋" w:cs="仿宋"/>
          <w:color w:val="auto"/>
          <w:sz w:val="24"/>
          <w:szCs w:val="24"/>
          <w:lang w:val="zh-CN" w:eastAsia="zh-CN" w:bidi="ar-SA"/>
        </w:rPr>
        <w:t>/至202</w:t>
      </w:r>
      <w:r>
        <w:rPr>
          <w:rFonts w:hint="eastAsia" w:ascii="仿宋" w:hAnsi="仿宋" w:eastAsia="仿宋" w:cs="仿宋"/>
          <w:color w:val="auto"/>
          <w:sz w:val="24"/>
          <w:szCs w:val="24"/>
          <w:lang w:val="en-US" w:eastAsia="zh-CN" w:bidi="ar-SA"/>
        </w:rPr>
        <w:t>5</w:t>
      </w:r>
      <w:r>
        <w:rPr>
          <w:rFonts w:hint="eastAsia" w:ascii="仿宋" w:hAnsi="仿宋" w:eastAsia="仿宋" w:cs="仿宋"/>
          <w:color w:val="auto"/>
          <w:sz w:val="24"/>
          <w:szCs w:val="24"/>
          <w:lang w:val="zh-CN" w:eastAsia="zh-CN" w:bidi="ar-SA"/>
        </w:rPr>
        <w:t>年</w:t>
      </w:r>
      <w:r>
        <w:rPr>
          <w:rFonts w:hint="eastAsia" w:ascii="仿宋" w:hAnsi="仿宋" w:eastAsia="仿宋" w:cs="仿宋"/>
          <w:color w:val="auto"/>
          <w:sz w:val="24"/>
          <w:szCs w:val="24"/>
          <w:lang w:val="en-US" w:eastAsia="zh-CN" w:bidi="ar-SA"/>
        </w:rPr>
        <w:t>5</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12</w:t>
      </w:r>
      <w:r>
        <w:rPr>
          <w:rFonts w:hint="eastAsia" w:ascii="仿宋" w:hAnsi="仿宋" w:eastAsia="仿宋" w:cs="仿宋"/>
          <w:color w:val="auto"/>
          <w:sz w:val="24"/>
          <w:szCs w:val="24"/>
          <w:lang w:val="zh-CN" w:eastAsia="zh-CN" w:bidi="ar-SA"/>
        </w:rPr>
        <w:t>日，每天上午00:00至12:00，下午12:00至23:59（北京时间，线上获取法定节假日均可，线下获取文件法定节假日除外）</w:t>
      </w:r>
    </w:p>
    <w:p w14:paraId="0088F467">
      <w:pPr>
        <w:pStyle w:val="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40" w:lineRule="exact"/>
        <w:ind w:left="0" w:right="0" w:firstLine="480" w:firstLineChars="200"/>
        <w:jc w:val="both"/>
        <w:textAlignment w:val="auto"/>
        <w:rPr>
          <w:rFonts w:hint="eastAsia" w:ascii="仿宋" w:hAnsi="仿宋" w:eastAsia="仿宋" w:cs="仿宋"/>
          <w:color w:val="auto"/>
          <w:sz w:val="24"/>
          <w:szCs w:val="24"/>
          <w:lang w:val="zh-CN" w:eastAsia="zh-CN" w:bidi="ar-SA"/>
        </w:rPr>
      </w:pPr>
      <w:bookmarkStart w:id="21" w:name="_Toc6129"/>
      <w:bookmarkStart w:id="22" w:name="_Toc611"/>
      <w:r>
        <w:rPr>
          <w:rFonts w:hint="eastAsia" w:ascii="仿宋" w:hAnsi="仿宋" w:eastAsia="仿宋" w:cs="仿宋"/>
          <w:color w:val="auto"/>
          <w:sz w:val="24"/>
          <w:szCs w:val="24"/>
          <w:lang w:val="zh-CN" w:eastAsia="zh-CN" w:bidi="ar-SA"/>
        </w:rPr>
        <w:t>地点（网址）：浙江政府采购网（http://zfcg.czt.zj.gov.cn）上获取（下载）采购文件。</w:t>
      </w:r>
      <w:bookmarkEnd w:id="21"/>
      <w:bookmarkEnd w:id="22"/>
    </w:p>
    <w:p w14:paraId="3FD6B8F1">
      <w:pPr>
        <w:pStyle w:val="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40" w:lineRule="exact"/>
        <w:ind w:left="0" w:right="0" w:firstLine="480" w:firstLineChars="200"/>
        <w:jc w:val="both"/>
        <w:textAlignment w:val="auto"/>
        <w:rPr>
          <w:rFonts w:hint="eastAsia" w:ascii="仿宋" w:hAnsi="仿宋" w:eastAsia="仿宋" w:cs="仿宋"/>
          <w:color w:val="auto"/>
          <w:sz w:val="24"/>
          <w:szCs w:val="24"/>
          <w:lang w:val="zh-CN" w:eastAsia="zh-CN" w:bidi="ar-SA"/>
        </w:rPr>
      </w:pPr>
      <w:bookmarkStart w:id="23" w:name="_Toc5656"/>
      <w:bookmarkStart w:id="24" w:name="_Toc5236"/>
      <w:r>
        <w:rPr>
          <w:rFonts w:hint="eastAsia" w:ascii="仿宋" w:hAnsi="仿宋" w:eastAsia="仿宋" w:cs="仿宋"/>
          <w:color w:val="auto"/>
          <w:sz w:val="24"/>
          <w:szCs w:val="24"/>
          <w:lang w:val="zh-CN" w:eastAsia="zh-CN" w:bidi="ar-SA"/>
        </w:rPr>
        <w:t>方式：在线登记后获取（潜在供应商应通过浙江政府采购网公告下方“潜在供应商-获取采购文件”跳转登陆或直接登陆“政府采购云平台”，依次进入「项目采购」-「获取采购文件」-「申请获取采购文件」后完成在线登记后获取采购文件。公告下方“游客-浏览采购文件”内的采购文件仅供社会公众查阅使用，不视作依法获取采购文件；未按规定获取采购文件的供应商对采购文件提起的质疑、投诉将不予受理）。</w:t>
      </w:r>
      <w:bookmarkEnd w:id="23"/>
      <w:bookmarkEnd w:id="24"/>
    </w:p>
    <w:p w14:paraId="4ABC060F">
      <w:pPr>
        <w:pStyle w:val="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40" w:lineRule="exact"/>
        <w:ind w:left="0" w:right="0" w:firstLine="480" w:firstLineChars="200"/>
        <w:jc w:val="both"/>
        <w:textAlignment w:val="auto"/>
        <w:rPr>
          <w:rFonts w:hint="eastAsia" w:ascii="仿宋" w:hAnsi="仿宋" w:eastAsia="仿宋" w:cs="仿宋"/>
          <w:color w:val="auto"/>
          <w:sz w:val="24"/>
          <w:szCs w:val="24"/>
          <w:lang w:val="zh-CN" w:eastAsia="zh-CN" w:bidi="ar-SA"/>
        </w:rPr>
      </w:pPr>
      <w:bookmarkStart w:id="25" w:name="_Toc29984"/>
      <w:bookmarkStart w:id="26" w:name="_Toc30401"/>
      <w:r>
        <w:rPr>
          <w:rFonts w:hint="eastAsia" w:ascii="仿宋" w:hAnsi="仿宋" w:eastAsia="仿宋" w:cs="仿宋"/>
          <w:color w:val="auto"/>
          <w:sz w:val="24"/>
          <w:szCs w:val="24"/>
          <w:lang w:val="zh-CN" w:eastAsia="zh-CN" w:bidi="ar-SA"/>
        </w:rPr>
        <w:t>售价（元）：0</w:t>
      </w:r>
      <w:bookmarkEnd w:id="25"/>
      <w:bookmarkEnd w:id="26"/>
    </w:p>
    <w:bookmarkEnd w:id="20"/>
    <w:p w14:paraId="49776CE8">
      <w:pPr>
        <w:pStyle w:val="6"/>
        <w:keepNext w:val="0"/>
        <w:keepLines w:val="0"/>
        <w:pageBreakBefore w:val="0"/>
        <w:widowControl/>
        <w:numPr>
          <w:ilvl w:val="0"/>
          <w:numId w:val="0"/>
        </w:numPr>
        <w:kinsoku/>
        <w:overflowPunct/>
        <w:topLinePunct w:val="0"/>
        <w:autoSpaceDE/>
        <w:autoSpaceDN/>
        <w:bidi w:val="0"/>
        <w:adjustRightInd/>
        <w:spacing w:before="0" w:beforeLines="0" w:after="0" w:afterLines="0" w:line="440" w:lineRule="exact"/>
        <w:ind w:right="0"/>
        <w:textAlignment w:val="auto"/>
        <w:rPr>
          <w:rFonts w:hint="eastAsia" w:ascii="黑体" w:hAnsi="黑体" w:eastAsia="黑体" w:cs="黑体"/>
          <w:b/>
          <w:bCs/>
          <w:color w:val="auto"/>
          <w:sz w:val="24"/>
          <w:szCs w:val="24"/>
          <w:lang w:val="zh-CN" w:eastAsia="zh-CN"/>
        </w:rPr>
      </w:pPr>
      <w:bookmarkStart w:id="27" w:name="_Toc4299"/>
      <w:bookmarkStart w:id="28" w:name="_Toc27971"/>
      <w:r>
        <w:rPr>
          <w:rFonts w:hint="eastAsia" w:ascii="黑体" w:hAnsi="黑体" w:eastAsia="黑体" w:cs="黑体"/>
          <w:b/>
          <w:bCs/>
          <w:color w:val="auto"/>
          <w:sz w:val="24"/>
          <w:szCs w:val="24"/>
          <w:lang w:val="zh-CN" w:eastAsia="zh-CN"/>
        </w:rPr>
        <w:t>四、提交投标文件截止时间、开标时间和地点</w:t>
      </w:r>
      <w:bookmarkEnd w:id="27"/>
      <w:bookmarkEnd w:id="28"/>
    </w:p>
    <w:p w14:paraId="324ABD88">
      <w:pPr>
        <w:pStyle w:val="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40" w:lineRule="exact"/>
        <w:ind w:left="0" w:right="0" w:firstLine="480" w:firstLineChars="200"/>
        <w:jc w:val="both"/>
        <w:textAlignment w:val="auto"/>
        <w:rPr>
          <w:rFonts w:hint="eastAsia" w:ascii="仿宋" w:hAnsi="仿宋" w:eastAsia="仿宋" w:cs="仿宋"/>
          <w:color w:val="auto"/>
          <w:sz w:val="24"/>
          <w:szCs w:val="24"/>
          <w:lang w:val="zh-CN" w:eastAsia="zh-CN" w:bidi="ar-SA"/>
        </w:rPr>
      </w:pPr>
      <w:bookmarkStart w:id="29" w:name="_Toc8220"/>
      <w:bookmarkStart w:id="30" w:name="_Toc8332"/>
      <w:bookmarkStart w:id="31" w:name="_Toc4856"/>
      <w:r>
        <w:rPr>
          <w:rFonts w:hint="eastAsia" w:ascii="仿宋" w:hAnsi="仿宋" w:eastAsia="仿宋" w:cs="仿宋"/>
          <w:color w:val="auto"/>
          <w:sz w:val="24"/>
          <w:szCs w:val="24"/>
          <w:lang w:val="zh-CN" w:eastAsia="zh-CN" w:bidi="ar-SA"/>
        </w:rPr>
        <w:t>提交投标文件截止时间：</w:t>
      </w:r>
      <w:bookmarkEnd w:id="29"/>
      <w:bookmarkEnd w:id="30"/>
      <w:r>
        <w:rPr>
          <w:rFonts w:hint="eastAsia" w:ascii="仿宋" w:hAnsi="仿宋" w:eastAsia="仿宋" w:cs="仿宋"/>
          <w:color w:val="auto"/>
          <w:sz w:val="24"/>
          <w:szCs w:val="24"/>
          <w:lang w:val="zh-CN" w:eastAsia="zh-CN" w:bidi="ar-SA"/>
        </w:rPr>
        <w:t>202</w:t>
      </w:r>
      <w:r>
        <w:rPr>
          <w:rFonts w:hint="eastAsia" w:ascii="仿宋" w:hAnsi="仿宋" w:eastAsia="仿宋" w:cs="仿宋"/>
          <w:color w:val="auto"/>
          <w:sz w:val="24"/>
          <w:szCs w:val="24"/>
          <w:lang w:val="en-US" w:eastAsia="zh-CN" w:bidi="ar-SA"/>
        </w:rPr>
        <w:t>5</w:t>
      </w:r>
      <w:r>
        <w:rPr>
          <w:rFonts w:hint="eastAsia" w:ascii="仿宋" w:hAnsi="仿宋" w:eastAsia="仿宋" w:cs="仿宋"/>
          <w:color w:val="auto"/>
          <w:sz w:val="24"/>
          <w:szCs w:val="24"/>
          <w:lang w:val="zh-CN" w:eastAsia="zh-CN" w:bidi="ar-SA"/>
        </w:rPr>
        <w:t>年</w:t>
      </w:r>
      <w:r>
        <w:rPr>
          <w:rFonts w:hint="eastAsia" w:ascii="仿宋" w:hAnsi="仿宋" w:eastAsia="仿宋" w:cs="仿宋"/>
          <w:color w:val="auto"/>
          <w:sz w:val="24"/>
          <w:szCs w:val="24"/>
          <w:lang w:val="en-US" w:eastAsia="zh-CN" w:bidi="ar-SA"/>
        </w:rPr>
        <w:t>5</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12</w:t>
      </w:r>
      <w:r>
        <w:rPr>
          <w:rFonts w:hint="eastAsia" w:ascii="仿宋" w:hAnsi="仿宋" w:eastAsia="仿宋" w:cs="仿宋"/>
          <w:color w:val="auto"/>
          <w:sz w:val="24"/>
          <w:szCs w:val="24"/>
          <w:lang w:val="zh-CN" w:eastAsia="zh-CN" w:bidi="ar-SA"/>
        </w:rPr>
        <w:t>日 09:30（北京时间）</w:t>
      </w:r>
    </w:p>
    <w:p w14:paraId="0C9CF725">
      <w:pPr>
        <w:pStyle w:val="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40" w:lineRule="exact"/>
        <w:ind w:left="0" w:right="0" w:firstLine="480" w:firstLineChars="200"/>
        <w:jc w:val="both"/>
        <w:textAlignment w:val="auto"/>
        <w:rPr>
          <w:rFonts w:hint="eastAsia" w:ascii="仿宋" w:hAnsi="仿宋" w:eastAsia="仿宋" w:cs="仿宋"/>
          <w:color w:val="auto"/>
          <w:sz w:val="24"/>
          <w:szCs w:val="24"/>
          <w:lang w:val="zh-CN" w:eastAsia="zh-CN" w:bidi="ar-SA"/>
        </w:rPr>
      </w:pPr>
      <w:bookmarkStart w:id="32" w:name="_Toc25850"/>
      <w:bookmarkStart w:id="33" w:name="_Toc13726"/>
      <w:r>
        <w:rPr>
          <w:rFonts w:hint="eastAsia" w:ascii="仿宋" w:hAnsi="仿宋" w:eastAsia="仿宋" w:cs="仿宋"/>
          <w:color w:val="auto"/>
          <w:sz w:val="24"/>
          <w:szCs w:val="24"/>
          <w:lang w:val="zh-CN" w:eastAsia="zh-CN" w:bidi="ar-SA"/>
        </w:rPr>
        <w:t>投标地点（网址）：供应商根据招标文件编制投标文件，上传政府采购云平台（www.zcygov.cn）。</w:t>
      </w:r>
      <w:bookmarkEnd w:id="32"/>
      <w:bookmarkEnd w:id="33"/>
      <w:r>
        <w:rPr>
          <w:rFonts w:hint="eastAsia" w:ascii="仿宋" w:hAnsi="仿宋" w:eastAsia="仿宋" w:cs="仿宋"/>
          <w:color w:val="auto"/>
          <w:sz w:val="24"/>
          <w:szCs w:val="24"/>
          <w:lang w:val="zh-CN" w:eastAsia="zh-CN" w:bidi="ar-SA"/>
        </w:rPr>
        <w:t xml:space="preserve"> </w:t>
      </w:r>
    </w:p>
    <w:p w14:paraId="68A04983">
      <w:pPr>
        <w:pStyle w:val="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40" w:lineRule="exact"/>
        <w:ind w:left="0" w:right="0" w:firstLine="480" w:firstLineChars="200"/>
        <w:jc w:val="both"/>
        <w:textAlignment w:val="auto"/>
        <w:rPr>
          <w:rFonts w:hint="eastAsia" w:ascii="仿宋" w:hAnsi="仿宋" w:eastAsia="仿宋" w:cs="仿宋"/>
          <w:color w:val="auto"/>
          <w:sz w:val="24"/>
          <w:szCs w:val="24"/>
          <w:lang w:val="zh-CN" w:eastAsia="zh-CN" w:bidi="ar-SA"/>
        </w:rPr>
      </w:pPr>
      <w:bookmarkStart w:id="34" w:name="_Toc12434"/>
      <w:bookmarkStart w:id="35" w:name="_Toc20380"/>
      <w:r>
        <w:rPr>
          <w:rFonts w:hint="eastAsia" w:ascii="仿宋" w:hAnsi="仿宋" w:eastAsia="仿宋" w:cs="仿宋"/>
          <w:color w:val="auto"/>
          <w:sz w:val="24"/>
          <w:szCs w:val="24"/>
          <w:lang w:val="zh-CN" w:eastAsia="zh-CN" w:bidi="ar-SA"/>
        </w:rPr>
        <w:t>开标时间：</w:t>
      </w:r>
      <w:bookmarkEnd w:id="34"/>
      <w:bookmarkEnd w:id="35"/>
      <w:r>
        <w:rPr>
          <w:rFonts w:hint="eastAsia" w:ascii="仿宋" w:hAnsi="仿宋" w:eastAsia="仿宋" w:cs="仿宋"/>
          <w:color w:val="auto"/>
          <w:sz w:val="24"/>
          <w:szCs w:val="24"/>
          <w:lang w:val="zh-CN" w:eastAsia="zh-CN" w:bidi="ar-SA"/>
        </w:rPr>
        <w:t>202</w:t>
      </w:r>
      <w:r>
        <w:rPr>
          <w:rFonts w:hint="eastAsia" w:ascii="仿宋" w:hAnsi="仿宋" w:eastAsia="仿宋" w:cs="仿宋"/>
          <w:color w:val="auto"/>
          <w:sz w:val="24"/>
          <w:szCs w:val="24"/>
          <w:lang w:val="en-US" w:eastAsia="zh-CN" w:bidi="ar-SA"/>
        </w:rPr>
        <w:t>5</w:t>
      </w:r>
      <w:r>
        <w:rPr>
          <w:rFonts w:hint="eastAsia" w:ascii="仿宋" w:hAnsi="仿宋" w:eastAsia="仿宋" w:cs="仿宋"/>
          <w:color w:val="auto"/>
          <w:sz w:val="24"/>
          <w:szCs w:val="24"/>
          <w:lang w:val="zh-CN" w:eastAsia="zh-CN" w:bidi="ar-SA"/>
        </w:rPr>
        <w:t>年</w:t>
      </w:r>
      <w:r>
        <w:rPr>
          <w:rFonts w:hint="eastAsia" w:ascii="仿宋" w:hAnsi="仿宋" w:eastAsia="仿宋" w:cs="仿宋"/>
          <w:color w:val="auto"/>
          <w:sz w:val="24"/>
          <w:szCs w:val="24"/>
          <w:lang w:val="en-US" w:eastAsia="zh-CN" w:bidi="ar-SA"/>
        </w:rPr>
        <w:t>5</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12</w:t>
      </w:r>
      <w:r>
        <w:rPr>
          <w:rFonts w:hint="eastAsia" w:ascii="仿宋" w:hAnsi="仿宋" w:eastAsia="仿宋" w:cs="仿宋"/>
          <w:color w:val="auto"/>
          <w:sz w:val="24"/>
          <w:szCs w:val="24"/>
          <w:lang w:val="zh-CN" w:eastAsia="zh-CN" w:bidi="ar-SA"/>
        </w:rPr>
        <w:t>日 09:30</w:t>
      </w:r>
    </w:p>
    <w:p w14:paraId="0C30D4FD">
      <w:pPr>
        <w:pStyle w:val="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40" w:lineRule="exact"/>
        <w:ind w:left="0" w:right="0" w:firstLine="480" w:firstLineChars="200"/>
        <w:jc w:val="both"/>
        <w:textAlignment w:val="auto"/>
        <w:rPr>
          <w:rFonts w:hint="eastAsia" w:ascii="仿宋" w:hAnsi="仿宋" w:eastAsia="仿宋" w:cs="仿宋"/>
          <w:color w:val="auto"/>
          <w:sz w:val="24"/>
          <w:szCs w:val="24"/>
          <w:lang w:val="zh-CN" w:eastAsia="zh-CN" w:bidi="ar-SA"/>
        </w:rPr>
      </w:pPr>
      <w:bookmarkStart w:id="36" w:name="_Toc17268"/>
      <w:bookmarkStart w:id="37" w:name="_Toc10211"/>
      <w:r>
        <w:rPr>
          <w:rFonts w:hint="eastAsia" w:ascii="仿宋" w:hAnsi="仿宋" w:eastAsia="仿宋" w:cs="仿宋"/>
          <w:color w:val="auto"/>
          <w:sz w:val="24"/>
          <w:szCs w:val="24"/>
          <w:lang w:val="zh-CN" w:eastAsia="zh-CN" w:bidi="ar-SA"/>
        </w:rPr>
        <w:t>开标地点（网址）：通过“政府采购云平台（www.zcygov.cn）”实行在线投标响应</w:t>
      </w:r>
      <w:bookmarkEnd w:id="36"/>
      <w:bookmarkEnd w:id="37"/>
      <w:r>
        <w:rPr>
          <w:rFonts w:hint="eastAsia" w:ascii="仿宋" w:hAnsi="仿宋" w:eastAsia="仿宋" w:cs="仿宋"/>
          <w:color w:val="auto"/>
          <w:sz w:val="24"/>
          <w:szCs w:val="24"/>
          <w:lang w:val="zh-CN" w:eastAsia="zh-CN" w:bidi="ar-SA"/>
        </w:rPr>
        <w:t>。</w:t>
      </w:r>
    </w:p>
    <w:bookmarkEnd w:id="31"/>
    <w:p w14:paraId="6F7317DE">
      <w:pPr>
        <w:pStyle w:val="6"/>
        <w:keepNext w:val="0"/>
        <w:keepLines w:val="0"/>
        <w:pageBreakBefore w:val="0"/>
        <w:widowControl/>
        <w:numPr>
          <w:ilvl w:val="0"/>
          <w:numId w:val="0"/>
        </w:numPr>
        <w:kinsoku/>
        <w:overflowPunct/>
        <w:topLinePunct w:val="0"/>
        <w:autoSpaceDE/>
        <w:autoSpaceDN/>
        <w:bidi w:val="0"/>
        <w:adjustRightInd/>
        <w:spacing w:before="0" w:beforeLines="0" w:after="0" w:afterLines="0" w:line="440" w:lineRule="exact"/>
        <w:ind w:right="0"/>
        <w:textAlignment w:val="auto"/>
        <w:rPr>
          <w:rFonts w:hint="eastAsia" w:ascii="黑体" w:hAnsi="黑体" w:eastAsia="黑体" w:cs="黑体"/>
          <w:b/>
          <w:bCs/>
          <w:color w:val="auto"/>
          <w:sz w:val="24"/>
          <w:szCs w:val="24"/>
          <w:lang w:val="en-US" w:eastAsia="zh-CN"/>
        </w:rPr>
      </w:pPr>
      <w:bookmarkStart w:id="38" w:name="_Toc31125"/>
      <w:bookmarkStart w:id="39" w:name="_Toc31270"/>
      <w:bookmarkStart w:id="40" w:name="_Toc1969"/>
      <w:r>
        <w:rPr>
          <w:rFonts w:hint="eastAsia" w:ascii="黑体" w:hAnsi="黑体" w:eastAsia="黑体" w:cs="黑体"/>
          <w:b/>
          <w:bCs/>
          <w:color w:val="auto"/>
          <w:sz w:val="24"/>
          <w:szCs w:val="24"/>
          <w:lang w:val="en-US" w:eastAsia="zh-CN"/>
        </w:rPr>
        <w:t>五、公告期限</w:t>
      </w:r>
      <w:bookmarkEnd w:id="38"/>
      <w:bookmarkEnd w:id="39"/>
      <w:bookmarkEnd w:id="40"/>
    </w:p>
    <w:p w14:paraId="394CCF44">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rPr>
          <w:rFonts w:ascii="仿宋" w:hAnsi="仿宋" w:eastAsia="仿宋" w:cs="仿宋"/>
          <w:color w:val="auto"/>
          <w:lang w:val="en-US"/>
        </w:rPr>
      </w:pPr>
      <w:r>
        <w:rPr>
          <w:rFonts w:hint="eastAsia" w:ascii="仿宋" w:hAnsi="仿宋" w:eastAsia="仿宋" w:cs="仿宋"/>
          <w:color w:val="auto"/>
          <w:lang w:val="en-US"/>
        </w:rPr>
        <w:t>自本公告发布之日起</w:t>
      </w:r>
      <w:r>
        <w:rPr>
          <w:rFonts w:hint="eastAsia" w:ascii="仿宋" w:hAnsi="仿宋" w:eastAsia="仿宋" w:cs="仿宋"/>
          <w:color w:val="auto"/>
          <w:lang w:val="en-US" w:eastAsia="zh-CN"/>
        </w:rPr>
        <w:t>5</w:t>
      </w:r>
      <w:r>
        <w:rPr>
          <w:rFonts w:hint="eastAsia" w:ascii="仿宋" w:hAnsi="仿宋" w:eastAsia="仿宋" w:cs="仿宋"/>
          <w:color w:val="auto"/>
          <w:lang w:val="en-US"/>
        </w:rPr>
        <w:t>个工作日。</w:t>
      </w:r>
    </w:p>
    <w:p w14:paraId="0C355F16">
      <w:pPr>
        <w:pStyle w:val="6"/>
        <w:keepNext w:val="0"/>
        <w:keepLines w:val="0"/>
        <w:pageBreakBefore w:val="0"/>
        <w:widowControl/>
        <w:numPr>
          <w:ilvl w:val="0"/>
          <w:numId w:val="0"/>
        </w:numPr>
        <w:kinsoku/>
        <w:overflowPunct/>
        <w:topLinePunct w:val="0"/>
        <w:autoSpaceDE/>
        <w:autoSpaceDN/>
        <w:bidi w:val="0"/>
        <w:adjustRightInd/>
        <w:spacing w:before="0" w:beforeLines="0" w:after="0" w:afterLines="0" w:line="440" w:lineRule="exact"/>
        <w:ind w:right="0"/>
        <w:textAlignment w:val="auto"/>
        <w:rPr>
          <w:rFonts w:hint="eastAsia" w:ascii="黑体" w:hAnsi="黑体" w:eastAsia="黑体" w:cs="黑体"/>
          <w:b/>
          <w:bCs/>
          <w:color w:val="auto"/>
          <w:sz w:val="24"/>
          <w:szCs w:val="24"/>
          <w:lang w:val="en-US" w:eastAsia="zh-CN"/>
        </w:rPr>
      </w:pPr>
      <w:bookmarkStart w:id="41" w:name="_Toc6332"/>
      <w:bookmarkStart w:id="42" w:name="_Toc22612"/>
      <w:bookmarkStart w:id="43" w:name="_Toc19389"/>
      <w:r>
        <w:rPr>
          <w:rFonts w:hint="eastAsia" w:ascii="黑体" w:hAnsi="黑体" w:eastAsia="黑体" w:cs="黑体"/>
          <w:b/>
          <w:bCs/>
          <w:color w:val="auto"/>
          <w:sz w:val="24"/>
          <w:szCs w:val="24"/>
          <w:lang w:val="en-US" w:eastAsia="zh-CN"/>
        </w:rPr>
        <w:t>六、其他补充事宜</w:t>
      </w:r>
      <w:bookmarkEnd w:id="41"/>
      <w:bookmarkEnd w:id="42"/>
      <w:bookmarkEnd w:id="43"/>
    </w:p>
    <w:p w14:paraId="2A5E8F97">
      <w:pPr>
        <w:pStyle w:val="23"/>
        <w:keepNext w:val="0"/>
        <w:keepLines w:val="0"/>
        <w:pageBreakBefore w:val="0"/>
        <w:kinsoku/>
        <w:overflowPunct/>
        <w:topLinePunct w:val="0"/>
        <w:autoSpaceDE/>
        <w:autoSpaceDN/>
        <w:bidi w:val="0"/>
        <w:adjustRightInd/>
        <w:snapToGrid w:val="0"/>
        <w:spacing w:after="0" w:afterLines="0" w:line="440" w:lineRule="exact"/>
        <w:ind w:left="0" w:right="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A4F79C4">
      <w:pPr>
        <w:pStyle w:val="23"/>
        <w:keepNext w:val="0"/>
        <w:keepLines w:val="0"/>
        <w:pageBreakBefore w:val="0"/>
        <w:kinsoku/>
        <w:overflowPunct/>
        <w:topLinePunct w:val="0"/>
        <w:autoSpaceDE/>
        <w:autoSpaceDN/>
        <w:bidi w:val="0"/>
        <w:adjustRightInd/>
        <w:snapToGrid w:val="0"/>
        <w:spacing w:after="0" w:afterLines="0" w:line="440" w:lineRule="exact"/>
        <w:ind w:left="0" w:right="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51B09B3">
      <w:pPr>
        <w:pStyle w:val="23"/>
        <w:keepNext w:val="0"/>
        <w:keepLines w:val="0"/>
        <w:pageBreakBefore w:val="0"/>
        <w:kinsoku/>
        <w:overflowPunct/>
        <w:topLinePunct w:val="0"/>
        <w:autoSpaceDE/>
        <w:autoSpaceDN/>
        <w:bidi w:val="0"/>
        <w:adjustRightInd/>
        <w:snapToGrid w:val="0"/>
        <w:spacing w:after="0" w:afterLines="0" w:line="440" w:lineRule="exact"/>
        <w:ind w:left="0" w:right="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D9376C">
      <w:pPr>
        <w:pStyle w:val="23"/>
        <w:keepNext w:val="0"/>
        <w:keepLines w:val="0"/>
        <w:pageBreakBefore w:val="0"/>
        <w:kinsoku/>
        <w:overflowPunct/>
        <w:topLinePunct w:val="0"/>
        <w:autoSpaceDE/>
        <w:autoSpaceDN/>
        <w:bidi w:val="0"/>
        <w:adjustRightInd/>
        <w:snapToGrid w:val="0"/>
        <w:spacing w:after="0" w:afterLines="0" w:line="440" w:lineRule="exact"/>
        <w:ind w:left="0" w:right="0" w:firstLine="480" w:firstLineChars="200"/>
        <w:textAlignment w:val="auto"/>
        <w:rPr>
          <w:rFonts w:ascii="仿宋" w:hAnsi="仿宋" w:eastAsia="仿宋" w:cs="仿宋"/>
          <w:color w:val="auto"/>
          <w:lang w:val="en-US"/>
        </w:rPr>
      </w:pPr>
      <w:r>
        <w:rPr>
          <w:rFonts w:hint="eastAsia" w:ascii="仿宋" w:hAnsi="仿宋" w:eastAsia="仿宋" w:cs="仿宋"/>
          <w:color w:val="auto"/>
          <w:lang w:val="en-US" w:eastAsia="zh-CN"/>
        </w:rPr>
        <w:t>4.</w:t>
      </w:r>
      <w:r>
        <w:rPr>
          <w:rFonts w:hint="eastAsia" w:ascii="仿宋" w:hAnsi="仿宋" w:eastAsia="仿宋" w:cs="仿宋"/>
          <w:color w:val="auto"/>
          <w:lang w:val="en-US"/>
        </w:rPr>
        <w:t>其他事项：</w:t>
      </w:r>
    </w:p>
    <w:p w14:paraId="3B17D6DD">
      <w:pPr>
        <w:pStyle w:val="23"/>
        <w:keepNext w:val="0"/>
        <w:keepLines w:val="0"/>
        <w:pageBreakBefore w:val="0"/>
        <w:widowControl w:val="0"/>
        <w:kinsoku/>
        <w:wordWrap/>
        <w:overflowPunct/>
        <w:topLinePunct w:val="0"/>
        <w:autoSpaceDE/>
        <w:autoSpaceDN/>
        <w:bidi w:val="0"/>
        <w:adjustRightInd/>
        <w:snapToGrid w:val="0"/>
        <w:spacing w:after="0" w:afterLines="0" w:line="440" w:lineRule="exact"/>
        <w:ind w:right="0" w:firstLine="480" w:firstLineChars="200"/>
        <w:textAlignment w:val="auto"/>
        <w:outlineLvl w:val="9"/>
        <w:rPr>
          <w:rFonts w:ascii="仿宋" w:hAnsi="仿宋" w:eastAsia="仿宋" w:cs="仿宋"/>
          <w:color w:val="auto"/>
          <w:lang w:val="en-US"/>
        </w:rPr>
      </w:pPr>
      <w:bookmarkStart w:id="44" w:name="_Toc28183"/>
      <w:r>
        <w:rPr>
          <w:rFonts w:hint="eastAsia" w:ascii="仿宋" w:hAnsi="仿宋" w:eastAsia="仿宋" w:cs="仿宋"/>
          <w:color w:val="auto"/>
          <w:lang w:val="en-US"/>
        </w:rPr>
        <w:t>（1）在线电子投标说明：</w:t>
      </w:r>
      <w:bookmarkEnd w:id="44"/>
    </w:p>
    <w:p w14:paraId="56AE6BC8">
      <w:pPr>
        <w:pStyle w:val="23"/>
        <w:keepNext w:val="0"/>
        <w:keepLines w:val="0"/>
        <w:pageBreakBefore w:val="0"/>
        <w:kinsoku/>
        <w:overflowPunct/>
        <w:topLinePunct w:val="0"/>
        <w:autoSpaceDE/>
        <w:autoSpaceDN/>
        <w:bidi w:val="0"/>
        <w:adjustRightInd/>
        <w:snapToGrid w:val="0"/>
        <w:spacing w:after="0" w:afterLines="0" w:line="440" w:lineRule="exact"/>
        <w:ind w:left="0" w:right="0" w:firstLine="480" w:firstLineChars="200"/>
        <w:textAlignment w:val="auto"/>
        <w:outlineLvl w:val="9"/>
        <w:rPr>
          <w:rFonts w:hint="eastAsia" w:ascii="仿宋" w:hAnsi="仿宋" w:eastAsia="仿宋" w:cs="仿宋"/>
          <w:color w:val="auto"/>
          <w:lang w:val="en-US"/>
        </w:rPr>
      </w:pPr>
      <w:bookmarkStart w:id="45" w:name="_Toc1669"/>
      <w:r>
        <w:rPr>
          <w:rFonts w:hint="eastAsia" w:ascii="仿宋" w:hAnsi="仿宋" w:eastAsia="仿宋" w:cs="仿宋"/>
          <w:color w:val="auto"/>
          <w:lang w:val="en-US"/>
        </w:rPr>
        <w:t>①投标人应按照招标文件和政采云平台的要求编制、加密并递交投标文件，并通过系统按时解密电子投标文件，无法按时解密的以备份投标文件为依据，否则视为投标文件撤回。投标供应商仅递交备份投标文件的，投标无效。</w:t>
      </w:r>
    </w:p>
    <w:p w14:paraId="644AAA4E">
      <w:pPr>
        <w:pStyle w:val="23"/>
        <w:keepNext w:val="0"/>
        <w:keepLines w:val="0"/>
        <w:pageBreakBefore w:val="0"/>
        <w:kinsoku/>
        <w:overflowPunct/>
        <w:topLinePunct w:val="0"/>
        <w:autoSpaceDE/>
        <w:autoSpaceDN/>
        <w:bidi w:val="0"/>
        <w:adjustRightInd/>
        <w:snapToGrid w:val="0"/>
        <w:spacing w:after="0" w:afterLines="0" w:line="440" w:lineRule="exact"/>
        <w:ind w:left="0" w:right="0" w:firstLine="480" w:firstLineChars="200"/>
        <w:textAlignment w:val="auto"/>
        <w:outlineLvl w:val="9"/>
        <w:rPr>
          <w:rFonts w:hint="eastAsia" w:ascii="仿宋" w:hAnsi="仿宋" w:eastAsia="仿宋" w:cs="仿宋"/>
          <w:color w:val="auto"/>
          <w:lang w:val="en-US"/>
        </w:rPr>
      </w:pPr>
      <w:r>
        <w:rPr>
          <w:rFonts w:hint="eastAsia" w:ascii="仿宋" w:hAnsi="仿宋" w:eastAsia="仿宋" w:cs="仿宋"/>
          <w:color w:val="auto"/>
          <w:lang w:val="en-US"/>
        </w:rPr>
        <w:t>②投标人通过政采云平台电子投标工具制作生成电子投标文件和电子备份投标文件。电子投标工具请供应商自行前往“浙江政府采购网-下载专区-电子交易客户端”下载并安装，客户端版本必须及时升级，否则造成投标和解密失败的后果，由投标人自行负责。</w:t>
      </w:r>
    </w:p>
    <w:p w14:paraId="3AD6ADA3">
      <w:pPr>
        <w:pStyle w:val="23"/>
        <w:keepNext w:val="0"/>
        <w:keepLines w:val="0"/>
        <w:pageBreakBefore w:val="0"/>
        <w:kinsoku/>
        <w:overflowPunct/>
        <w:topLinePunct w:val="0"/>
        <w:autoSpaceDE/>
        <w:autoSpaceDN/>
        <w:bidi w:val="0"/>
        <w:adjustRightInd/>
        <w:snapToGrid w:val="0"/>
        <w:spacing w:after="0" w:afterLines="0" w:line="440" w:lineRule="exact"/>
        <w:ind w:left="0" w:right="0" w:firstLine="480" w:firstLineChars="200"/>
        <w:textAlignment w:val="auto"/>
        <w:outlineLvl w:val="9"/>
        <w:rPr>
          <w:rFonts w:ascii="仿宋" w:hAnsi="仿宋" w:eastAsia="仿宋" w:cs="仿宋"/>
          <w:color w:val="auto"/>
          <w:sz w:val="22"/>
          <w:szCs w:val="22"/>
        </w:rPr>
      </w:pPr>
      <w:r>
        <w:rPr>
          <w:rFonts w:hint="eastAsia" w:ascii="仿宋" w:hAnsi="仿宋" w:eastAsia="仿宋" w:cs="仿宋"/>
          <w:color w:val="auto"/>
          <w:lang w:val="en-US"/>
        </w:rPr>
        <w:t>（2）</w:t>
      </w:r>
      <w:r>
        <w:rPr>
          <w:rFonts w:hint="eastAsia" w:ascii="仿宋" w:hAnsi="仿宋" w:eastAsia="仿宋" w:cs="仿宋"/>
          <w:color w:val="auto"/>
        </w:rPr>
        <w:t>落实的政府采购政策：</w:t>
      </w:r>
      <w:bookmarkEnd w:id="45"/>
    </w:p>
    <w:p w14:paraId="747917DF">
      <w:pPr>
        <w:pStyle w:val="23"/>
        <w:keepNext w:val="0"/>
        <w:keepLines w:val="0"/>
        <w:pageBreakBefore w:val="0"/>
        <w:widowControl/>
        <w:kinsoku/>
        <w:wordWrap w:val="0"/>
        <w:overflowPunct/>
        <w:topLinePunct w:val="0"/>
        <w:autoSpaceDE/>
        <w:autoSpaceDN/>
        <w:bidi w:val="0"/>
        <w:adjustRightInd/>
        <w:snapToGrid w:val="0"/>
        <w:spacing w:after="0" w:afterLines="0" w:line="440" w:lineRule="exact"/>
        <w:ind w:left="0" w:right="0" w:firstLine="480" w:firstLineChars="200"/>
        <w:textAlignment w:val="auto"/>
        <w:rPr>
          <w:rFonts w:hint="eastAsia" w:ascii="仿宋" w:hAnsi="仿宋" w:eastAsia="仿宋" w:cs="仿宋"/>
          <w:color w:val="auto"/>
          <w:lang w:val="en-US"/>
        </w:rPr>
      </w:pPr>
      <w:r>
        <w:rPr>
          <w:rFonts w:hint="eastAsia" w:ascii="仿宋" w:hAnsi="仿宋" w:eastAsia="仿宋" w:cs="仿宋"/>
          <w:color w:val="auto"/>
          <w:lang w:val="en-US"/>
        </w:rPr>
        <w:t>①需要落实的政府采购政策：包括节约资源、保护环境、支持创新、促进中小企业发展等。详见招标文件的</w:t>
      </w:r>
      <w:r>
        <w:rPr>
          <w:rFonts w:hint="eastAsia" w:ascii="仿宋" w:hAnsi="仿宋" w:eastAsia="仿宋" w:cs="仿宋"/>
          <w:color w:val="auto"/>
          <w:lang w:val="en-US" w:eastAsia="zh-CN"/>
        </w:rPr>
        <w:t>“</w:t>
      </w:r>
      <w:r>
        <w:rPr>
          <w:rFonts w:hint="eastAsia" w:ascii="仿宋" w:hAnsi="仿宋" w:eastAsia="仿宋" w:cs="仿宋"/>
          <w:color w:val="auto"/>
          <w:lang w:val="en-US"/>
        </w:rPr>
        <w:t>第二</w:t>
      </w:r>
      <w:r>
        <w:rPr>
          <w:rFonts w:hint="eastAsia" w:ascii="仿宋" w:hAnsi="仿宋" w:eastAsia="仿宋" w:cs="仿宋"/>
          <w:color w:val="auto"/>
          <w:lang w:val="en-US" w:eastAsia="zh-CN"/>
        </w:rPr>
        <w:t>章  投标人须知”</w:t>
      </w:r>
      <w:r>
        <w:rPr>
          <w:rFonts w:hint="eastAsia" w:ascii="仿宋" w:hAnsi="仿宋" w:eastAsia="仿宋" w:cs="仿宋"/>
          <w:color w:val="auto"/>
          <w:lang w:val="en-US"/>
        </w:rPr>
        <w:t>。</w:t>
      </w:r>
    </w:p>
    <w:p w14:paraId="21844B70">
      <w:pPr>
        <w:pStyle w:val="23"/>
        <w:keepNext w:val="0"/>
        <w:keepLines w:val="0"/>
        <w:pageBreakBefore w:val="0"/>
        <w:widowControl/>
        <w:kinsoku/>
        <w:wordWrap w:val="0"/>
        <w:overflowPunct/>
        <w:topLinePunct w:val="0"/>
        <w:autoSpaceDE/>
        <w:autoSpaceDN/>
        <w:bidi w:val="0"/>
        <w:adjustRightInd/>
        <w:snapToGrid w:val="0"/>
        <w:spacing w:after="0" w:afterLines="0" w:line="440" w:lineRule="exact"/>
        <w:ind w:left="0" w:right="0" w:firstLine="480" w:firstLineChars="200"/>
        <w:textAlignment w:val="auto"/>
        <w:rPr>
          <w:rFonts w:hint="eastAsia" w:ascii="仿宋" w:hAnsi="仿宋" w:eastAsia="仿宋" w:cs="仿宋"/>
          <w:color w:val="auto"/>
          <w:lang w:val="en-US"/>
        </w:rPr>
      </w:pPr>
      <w:r>
        <w:rPr>
          <w:rFonts w:hint="eastAsia" w:ascii="仿宋" w:hAnsi="仿宋" w:eastAsia="仿宋" w:cs="仿宋"/>
          <w:color w:val="auto"/>
          <w:lang w:val="en-US"/>
        </w:rPr>
        <w:t>②采购内容属于最新一期“节能产品政府采购清单”强制采购目录的，强制采购“清单”内的产品；不属于强制采购目录但列入“清单”目录的，优先采购“清单”内产品 。</w:t>
      </w:r>
    </w:p>
    <w:p w14:paraId="6C199746">
      <w:pPr>
        <w:pStyle w:val="23"/>
        <w:keepNext w:val="0"/>
        <w:keepLines w:val="0"/>
        <w:pageBreakBefore w:val="0"/>
        <w:widowControl/>
        <w:kinsoku/>
        <w:wordWrap w:val="0"/>
        <w:overflowPunct/>
        <w:topLinePunct w:val="0"/>
        <w:autoSpaceDE/>
        <w:autoSpaceDN/>
        <w:bidi w:val="0"/>
        <w:adjustRightInd/>
        <w:snapToGrid w:val="0"/>
        <w:spacing w:after="0" w:afterLines="0" w:line="440" w:lineRule="exact"/>
        <w:ind w:left="0" w:right="0" w:firstLine="480" w:firstLineChars="200"/>
        <w:textAlignment w:val="auto"/>
        <w:rPr>
          <w:rFonts w:hint="eastAsia" w:ascii="仿宋" w:hAnsi="仿宋" w:eastAsia="仿宋" w:cs="仿宋"/>
          <w:color w:val="auto"/>
          <w:lang w:val="en-US"/>
        </w:rPr>
      </w:pPr>
      <w:r>
        <w:rPr>
          <w:rFonts w:hint="eastAsia" w:ascii="仿宋" w:hAnsi="仿宋" w:eastAsia="仿宋" w:cs="仿宋"/>
          <w:color w:val="auto"/>
          <w:lang w:val="en-US"/>
        </w:rPr>
        <w:t>采购内容属于最新一期“环境标志产品政府采购清单”强制采购目录的，强制采购“清单”内的产品；不属于强制采购目录但列入“清单”目录的，优先采购“清单”内产品。</w:t>
      </w:r>
    </w:p>
    <w:p w14:paraId="7489800C">
      <w:pPr>
        <w:pStyle w:val="23"/>
        <w:keepNext w:val="0"/>
        <w:keepLines w:val="0"/>
        <w:pageBreakBefore w:val="0"/>
        <w:widowControl/>
        <w:kinsoku/>
        <w:wordWrap w:val="0"/>
        <w:overflowPunct/>
        <w:topLinePunct w:val="0"/>
        <w:autoSpaceDE/>
        <w:autoSpaceDN/>
        <w:bidi w:val="0"/>
        <w:adjustRightInd/>
        <w:snapToGrid w:val="0"/>
        <w:spacing w:after="0" w:afterLines="0" w:line="440" w:lineRule="exact"/>
        <w:ind w:left="0" w:right="0" w:firstLine="480" w:firstLineChars="200"/>
        <w:textAlignment w:val="auto"/>
        <w:rPr>
          <w:rFonts w:ascii="仿宋" w:hAnsi="仿宋" w:eastAsia="仿宋" w:cs="仿宋"/>
          <w:color w:val="auto"/>
          <w:lang w:val="en-US"/>
        </w:rPr>
      </w:pPr>
      <w:r>
        <w:rPr>
          <w:rFonts w:hint="eastAsia" w:ascii="仿宋" w:hAnsi="仿宋" w:eastAsia="仿宋" w:cs="仿宋"/>
          <w:color w:val="auto"/>
          <w:lang w:val="en-US"/>
        </w:rPr>
        <w:t>③政府采购信用融资政策：为支持和促进中小企业发展，供应商若有融资意向，可直接登录http://jinrong.zcygov.cn，查看信用融资政策文件及各相关银行服务方案，也可直接向各银行咨询相关业务。</w:t>
      </w:r>
    </w:p>
    <w:p w14:paraId="2B13B084">
      <w:pPr>
        <w:pStyle w:val="6"/>
        <w:keepNext w:val="0"/>
        <w:keepLines w:val="0"/>
        <w:pageBreakBefore w:val="0"/>
        <w:widowControl/>
        <w:numPr>
          <w:ilvl w:val="0"/>
          <w:numId w:val="0"/>
        </w:numPr>
        <w:kinsoku/>
        <w:overflowPunct/>
        <w:topLinePunct w:val="0"/>
        <w:autoSpaceDE/>
        <w:autoSpaceDN/>
        <w:bidi w:val="0"/>
        <w:adjustRightInd/>
        <w:spacing w:before="0" w:beforeLines="0" w:after="0" w:afterLines="0" w:line="440" w:lineRule="exact"/>
        <w:ind w:right="0"/>
        <w:textAlignment w:val="auto"/>
        <w:rPr>
          <w:rFonts w:hint="eastAsia" w:ascii="黑体" w:hAnsi="黑体" w:eastAsia="黑体" w:cs="黑体"/>
          <w:b/>
          <w:bCs/>
          <w:color w:val="auto"/>
          <w:sz w:val="24"/>
          <w:szCs w:val="24"/>
          <w:lang w:val="en-US" w:eastAsia="zh-CN"/>
        </w:rPr>
      </w:pPr>
      <w:bookmarkStart w:id="46" w:name="_Toc19502"/>
      <w:bookmarkStart w:id="47" w:name="_Toc30694"/>
      <w:bookmarkStart w:id="48" w:name="_Toc29945"/>
      <w:r>
        <w:rPr>
          <w:rFonts w:hint="eastAsia" w:ascii="黑体" w:hAnsi="黑体" w:eastAsia="黑体" w:cs="黑体"/>
          <w:b/>
          <w:bCs/>
          <w:color w:val="auto"/>
          <w:sz w:val="24"/>
          <w:szCs w:val="24"/>
          <w:lang w:val="en-US" w:eastAsia="zh-CN"/>
        </w:rPr>
        <w:t>七、</w:t>
      </w:r>
      <w:bookmarkEnd w:id="46"/>
      <w:bookmarkEnd w:id="47"/>
      <w:bookmarkEnd w:id="48"/>
      <w:r>
        <w:rPr>
          <w:rFonts w:hint="eastAsia" w:ascii="黑体" w:hAnsi="黑体" w:eastAsia="黑体" w:cs="黑体"/>
          <w:b/>
          <w:bCs/>
          <w:color w:val="auto"/>
          <w:sz w:val="24"/>
          <w:szCs w:val="24"/>
          <w:lang w:val="en-US" w:eastAsia="zh-CN"/>
        </w:rPr>
        <w:t>对本次采购提出询问、质疑、投诉，请按以下方式联系</w:t>
      </w:r>
    </w:p>
    <w:p w14:paraId="5C4F5CE4">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textAlignment w:val="auto"/>
        <w:outlineLvl w:val="9"/>
        <w:rPr>
          <w:rFonts w:ascii="仿宋" w:hAnsi="仿宋" w:eastAsia="仿宋" w:cs="仿宋"/>
          <w:color w:val="auto"/>
        </w:rPr>
      </w:pPr>
      <w:bookmarkStart w:id="49" w:name="_Toc16461"/>
      <w:r>
        <w:rPr>
          <w:rFonts w:hint="eastAsia" w:ascii="仿宋" w:hAnsi="仿宋" w:eastAsia="仿宋" w:cs="仿宋"/>
          <w:color w:val="auto"/>
        </w:rPr>
        <w:t>1.采购人信息</w:t>
      </w:r>
      <w:bookmarkEnd w:id="49"/>
    </w:p>
    <w:p w14:paraId="732DFE44">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textAlignment w:val="auto"/>
        <w:outlineLvl w:val="9"/>
        <w:rPr>
          <w:rFonts w:hint="eastAsia" w:ascii="仿宋" w:hAnsi="仿宋" w:eastAsia="仿宋" w:cs="仿宋"/>
          <w:color w:val="auto"/>
          <w:lang w:eastAsia="zh-CN"/>
        </w:rPr>
      </w:pPr>
      <w:r>
        <w:rPr>
          <w:rFonts w:hint="eastAsia" w:ascii="仿宋" w:hAnsi="仿宋" w:eastAsia="仿宋" w:cs="仿宋"/>
          <w:color w:val="auto"/>
        </w:rPr>
        <w:t xml:space="preserve">名 </w:t>
      </w:r>
      <w:r>
        <w:rPr>
          <w:rFonts w:hint="eastAsia" w:ascii="仿宋" w:hAnsi="仿宋" w:eastAsia="仿宋" w:cs="仿宋"/>
          <w:color w:val="auto"/>
          <w:lang w:val="en-US"/>
        </w:rPr>
        <w:t xml:space="preserve">   </w:t>
      </w:r>
      <w:r>
        <w:rPr>
          <w:rFonts w:hint="eastAsia" w:ascii="仿宋" w:hAnsi="仿宋" w:eastAsia="仿宋" w:cs="仿宋"/>
          <w:color w:val="auto"/>
        </w:rPr>
        <w:t>称：</w:t>
      </w:r>
      <w:r>
        <w:rPr>
          <w:rFonts w:hint="eastAsia" w:ascii="仿宋" w:hAnsi="仿宋" w:eastAsia="仿宋" w:cs="仿宋"/>
          <w:color w:val="auto"/>
          <w:lang w:eastAsia="zh-CN"/>
        </w:rPr>
        <w:t>龙港市世纪中学</w:t>
      </w:r>
    </w:p>
    <w:p w14:paraId="23BFD9A9">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textAlignment w:val="auto"/>
        <w:outlineLvl w:val="9"/>
        <w:rPr>
          <w:rFonts w:hint="default" w:ascii="仿宋" w:hAnsi="仿宋" w:eastAsia="仿宋" w:cs="仿宋"/>
          <w:color w:val="auto"/>
          <w:lang w:val="en-US" w:eastAsia="zh-CN"/>
        </w:rPr>
      </w:pPr>
      <w:r>
        <w:rPr>
          <w:rFonts w:hint="eastAsia" w:ascii="仿宋" w:hAnsi="仿宋" w:eastAsia="仿宋" w:cs="仿宋"/>
          <w:color w:val="auto"/>
        </w:rPr>
        <w:t>地</w:t>
      </w:r>
      <w:r>
        <w:rPr>
          <w:rFonts w:hint="eastAsia" w:ascii="仿宋" w:hAnsi="仿宋" w:eastAsia="仿宋" w:cs="仿宋"/>
          <w:color w:val="auto"/>
          <w:lang w:val="en-US"/>
        </w:rPr>
        <w:t xml:space="preserve">    </w:t>
      </w:r>
      <w:r>
        <w:rPr>
          <w:rFonts w:hint="eastAsia" w:ascii="仿宋" w:hAnsi="仿宋" w:eastAsia="仿宋" w:cs="仿宋"/>
          <w:color w:val="auto"/>
        </w:rPr>
        <w:t>址：</w:t>
      </w:r>
      <w:r>
        <w:rPr>
          <w:rFonts w:hint="eastAsia" w:ascii="仿宋" w:hAnsi="仿宋" w:eastAsia="仿宋" w:cs="仿宋"/>
          <w:color w:val="auto"/>
          <w:lang w:val="en-US" w:eastAsia="zh-CN"/>
        </w:rPr>
        <w:t>龙港市港耀路388号</w:t>
      </w:r>
    </w:p>
    <w:p w14:paraId="63BBA3C5">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rPr>
        <w:t>项目联系人（询问）：</w:t>
      </w:r>
      <w:r>
        <w:rPr>
          <w:rFonts w:hint="eastAsia" w:ascii="仿宋" w:hAnsi="仿宋" w:eastAsia="仿宋" w:cs="仿宋"/>
          <w:color w:val="auto"/>
          <w:lang w:val="en-US" w:eastAsia="zh-CN"/>
        </w:rPr>
        <w:t>范老师</w:t>
      </w:r>
    </w:p>
    <w:p w14:paraId="37358E15">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rPr>
        <w:t>项目联系方式（询问）：13958777371</w:t>
      </w:r>
    </w:p>
    <w:p w14:paraId="659E6AF4">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rPr>
        <w:t>质疑联系人：</w:t>
      </w:r>
      <w:r>
        <w:rPr>
          <w:rFonts w:hint="eastAsia" w:ascii="仿宋" w:hAnsi="仿宋" w:eastAsia="仿宋" w:cs="仿宋"/>
          <w:color w:val="auto"/>
          <w:lang w:val="en-US" w:eastAsia="zh-CN"/>
        </w:rPr>
        <w:t>范老师</w:t>
      </w:r>
    </w:p>
    <w:p w14:paraId="24195E0D">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rPr>
        <w:t>质疑联系方式：</w:t>
      </w:r>
      <w:r>
        <w:rPr>
          <w:rFonts w:hint="eastAsia" w:ascii="仿宋" w:hAnsi="仿宋" w:eastAsia="仿宋" w:cs="仿宋"/>
          <w:color w:val="auto"/>
          <w:lang w:val="en-US"/>
        </w:rPr>
        <w:t>13958777371</w:t>
      </w:r>
    </w:p>
    <w:p w14:paraId="5766D01E">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textAlignment w:val="auto"/>
        <w:outlineLvl w:val="9"/>
        <w:rPr>
          <w:rFonts w:hint="eastAsia" w:ascii="仿宋" w:hAnsi="仿宋" w:eastAsia="仿宋" w:cs="仿宋"/>
          <w:color w:val="auto"/>
        </w:rPr>
      </w:pPr>
      <w:bookmarkStart w:id="50" w:name="_Toc9941"/>
    </w:p>
    <w:p w14:paraId="4036C532">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textAlignment w:val="auto"/>
        <w:outlineLvl w:val="9"/>
        <w:rPr>
          <w:rFonts w:ascii="仿宋" w:hAnsi="仿宋" w:eastAsia="仿宋" w:cs="仿宋"/>
          <w:color w:val="auto"/>
        </w:rPr>
      </w:pPr>
      <w:r>
        <w:rPr>
          <w:rFonts w:hint="eastAsia" w:ascii="仿宋" w:hAnsi="仿宋" w:eastAsia="仿宋" w:cs="仿宋"/>
          <w:color w:val="auto"/>
        </w:rPr>
        <w:t>2.采购代理机构信息</w:t>
      </w:r>
      <w:bookmarkEnd w:id="50"/>
    </w:p>
    <w:p w14:paraId="4BDDE768">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rPr>
        <w:t xml:space="preserve">名 </w:t>
      </w:r>
      <w:r>
        <w:rPr>
          <w:rFonts w:hint="eastAsia" w:ascii="仿宋" w:hAnsi="仿宋" w:eastAsia="仿宋" w:cs="仿宋"/>
          <w:color w:val="auto"/>
          <w:lang w:val="en-US"/>
        </w:rPr>
        <w:t xml:space="preserve">   </w:t>
      </w:r>
      <w:r>
        <w:rPr>
          <w:rFonts w:hint="eastAsia" w:ascii="仿宋" w:hAnsi="仿宋" w:eastAsia="仿宋" w:cs="仿宋"/>
          <w:color w:val="auto"/>
        </w:rPr>
        <w:t>称：</w:t>
      </w:r>
      <w:r>
        <w:rPr>
          <w:rFonts w:hint="eastAsia" w:ascii="仿宋" w:hAnsi="仿宋" w:eastAsia="仿宋" w:cs="仿宋"/>
          <w:color w:val="auto"/>
          <w:lang w:eastAsia="zh-CN"/>
        </w:rPr>
        <w:t>浙江东瓯工程造价咨询有限公司</w:t>
      </w:r>
    </w:p>
    <w:p w14:paraId="6C99800B">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rPr>
        <w:t>地</w:t>
      </w:r>
      <w:r>
        <w:rPr>
          <w:rFonts w:hint="eastAsia" w:ascii="仿宋" w:hAnsi="仿宋" w:eastAsia="仿宋" w:cs="仿宋"/>
          <w:color w:val="auto"/>
          <w:lang w:val="en-US"/>
        </w:rPr>
        <w:t xml:space="preserve">    </w:t>
      </w:r>
      <w:r>
        <w:rPr>
          <w:rFonts w:hint="eastAsia" w:ascii="仿宋" w:hAnsi="仿宋" w:eastAsia="仿宋" w:cs="仿宋"/>
          <w:color w:val="auto"/>
        </w:rPr>
        <w:t>址：</w:t>
      </w:r>
      <w:r>
        <w:rPr>
          <w:rFonts w:hint="eastAsia" w:ascii="仿宋" w:hAnsi="仿宋" w:eastAsia="仿宋" w:cs="仿宋"/>
          <w:color w:val="auto"/>
          <w:sz w:val="24"/>
          <w:szCs w:val="24"/>
          <w:lang w:val="en-US" w:eastAsia="zh-CN"/>
        </w:rPr>
        <w:t>苍南县灵溪镇上江小区13幢1单元301室</w:t>
      </w:r>
    </w:p>
    <w:p w14:paraId="7B19ECC1">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ascii="仿宋" w:hAnsi="仿宋" w:eastAsia="仿宋" w:cs="仿宋"/>
          <w:color w:val="auto"/>
        </w:rPr>
      </w:pPr>
      <w:r>
        <w:rPr>
          <w:rFonts w:hint="eastAsia" w:ascii="仿宋" w:hAnsi="仿宋" w:eastAsia="仿宋" w:cs="仿宋"/>
          <w:color w:val="auto"/>
        </w:rPr>
        <w:t>传    真：/</w:t>
      </w:r>
    </w:p>
    <w:p w14:paraId="5111AEB8">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rPr>
        <w:t>项目联系人（询问）：</w:t>
      </w:r>
      <w:r>
        <w:rPr>
          <w:rFonts w:hint="eastAsia" w:ascii="仿宋" w:hAnsi="仿宋" w:eastAsia="仿宋" w:cs="仿宋"/>
          <w:color w:val="auto"/>
          <w:lang w:val="en-US" w:eastAsia="zh-CN"/>
        </w:rPr>
        <w:t>黄先生</w:t>
      </w:r>
    </w:p>
    <w:p w14:paraId="0DD9399F">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default" w:ascii="仿宋" w:hAnsi="仿宋" w:eastAsia="仿宋" w:cs="仿宋"/>
          <w:color w:val="auto"/>
          <w:lang w:val="en-US" w:eastAsia="zh-CN"/>
        </w:rPr>
      </w:pPr>
      <w:r>
        <w:rPr>
          <w:rFonts w:hint="eastAsia" w:ascii="仿宋" w:hAnsi="仿宋" w:eastAsia="仿宋" w:cs="仿宋"/>
          <w:color w:val="auto"/>
        </w:rPr>
        <w:t>项目联系方式（询问）：</w:t>
      </w:r>
      <w:r>
        <w:rPr>
          <w:rFonts w:hint="eastAsia" w:ascii="仿宋" w:hAnsi="仿宋" w:eastAsia="仿宋" w:cs="仿宋"/>
          <w:color w:val="auto"/>
          <w:lang w:val="en-US" w:eastAsia="zh-CN"/>
        </w:rPr>
        <w:t>0577-68898877/18267891565</w:t>
      </w:r>
    </w:p>
    <w:p w14:paraId="49A05724">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rPr>
        <w:t>质疑联系人：</w:t>
      </w:r>
      <w:r>
        <w:rPr>
          <w:rFonts w:hint="eastAsia" w:ascii="仿宋" w:hAnsi="仿宋" w:eastAsia="仿宋" w:cs="仿宋"/>
          <w:color w:val="auto"/>
          <w:lang w:eastAsia="zh-CN"/>
        </w:rPr>
        <w:t>欧南燕</w:t>
      </w:r>
    </w:p>
    <w:p w14:paraId="3F6D83B9">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default" w:ascii="仿宋" w:hAnsi="仿宋" w:eastAsia="仿宋" w:cs="仿宋"/>
          <w:color w:val="auto"/>
          <w:lang w:val="en-US" w:eastAsia="zh-CN"/>
        </w:rPr>
      </w:pPr>
      <w:r>
        <w:rPr>
          <w:rFonts w:hint="eastAsia" w:ascii="仿宋" w:hAnsi="仿宋" w:eastAsia="仿宋" w:cs="仿宋"/>
          <w:color w:val="auto"/>
        </w:rPr>
        <w:t>质疑联系方式：</w:t>
      </w:r>
      <w:r>
        <w:rPr>
          <w:rFonts w:hint="eastAsia" w:ascii="仿宋" w:hAnsi="仿宋" w:eastAsia="仿宋" w:cs="仿宋"/>
          <w:color w:val="auto"/>
          <w:lang w:val="en-US" w:eastAsia="zh-CN"/>
        </w:rPr>
        <w:t>0577-68898877</w:t>
      </w:r>
    </w:p>
    <w:p w14:paraId="241F04F5">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eastAsia" w:ascii="仿宋" w:hAnsi="仿宋" w:eastAsia="仿宋" w:cs="仿宋"/>
          <w:color w:val="auto"/>
          <w:lang w:val="en-US"/>
        </w:rPr>
      </w:pPr>
      <w:bookmarkStart w:id="51" w:name="_Toc13298"/>
    </w:p>
    <w:p w14:paraId="57E56B49">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ascii="仿宋" w:hAnsi="仿宋" w:eastAsia="仿宋" w:cs="仿宋"/>
          <w:color w:val="auto"/>
        </w:rPr>
      </w:pPr>
      <w:r>
        <w:rPr>
          <w:rFonts w:hint="eastAsia" w:ascii="仿宋" w:hAnsi="仿宋" w:eastAsia="仿宋" w:cs="仿宋"/>
          <w:color w:val="auto"/>
          <w:lang w:val="en-US"/>
        </w:rPr>
        <w:t>3.</w:t>
      </w:r>
      <w:r>
        <w:rPr>
          <w:rFonts w:hint="eastAsia" w:ascii="仿宋" w:hAnsi="仿宋" w:eastAsia="仿宋" w:cs="仿宋"/>
          <w:color w:val="auto"/>
        </w:rPr>
        <w:t>同级政府采购监督管理部门名称</w:t>
      </w:r>
      <w:bookmarkEnd w:id="51"/>
    </w:p>
    <w:p w14:paraId="0743D3CC">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val="en-US"/>
        </w:rPr>
        <w:t>名    称：</w:t>
      </w:r>
      <w:r>
        <w:rPr>
          <w:rFonts w:hint="eastAsia" w:ascii="仿宋" w:hAnsi="仿宋" w:eastAsia="仿宋" w:cs="仿宋"/>
          <w:color w:val="auto"/>
          <w:lang w:eastAsia="zh-CN"/>
        </w:rPr>
        <w:t>龙港市财政局（浙江省政府采购行政裁决服务中心（温州））</w:t>
      </w:r>
    </w:p>
    <w:p w14:paraId="09742946">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eastAsia" w:ascii="仿宋" w:hAnsi="仿宋" w:eastAsia="仿宋" w:cs="仿宋"/>
          <w:color w:val="auto"/>
        </w:rPr>
      </w:pPr>
      <w:r>
        <w:rPr>
          <w:rFonts w:hint="eastAsia" w:ascii="仿宋" w:hAnsi="仿宋" w:eastAsia="仿宋" w:cs="仿宋"/>
          <w:color w:val="auto"/>
          <w:lang w:val="en-US"/>
        </w:rPr>
        <w:t>地    址</w:t>
      </w:r>
      <w:r>
        <w:rPr>
          <w:rFonts w:hint="eastAsia" w:ascii="仿宋" w:hAnsi="仿宋" w:eastAsia="仿宋" w:cs="仿宋"/>
          <w:color w:val="auto"/>
        </w:rPr>
        <w:t>：温州市鹿城区滨江街道瓯江路展银大厦1606室</w:t>
      </w:r>
    </w:p>
    <w:p w14:paraId="49354DD3">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rPr>
        <w:t>传    真</w:t>
      </w:r>
      <w:r>
        <w:rPr>
          <w:rFonts w:hint="eastAsia" w:ascii="仿宋" w:hAnsi="仿宋" w:eastAsia="仿宋" w:cs="仿宋"/>
          <w:color w:val="auto"/>
        </w:rPr>
        <w:t>：</w:t>
      </w:r>
      <w:r>
        <w:rPr>
          <w:rFonts w:hint="eastAsia" w:ascii="仿宋" w:hAnsi="仿宋" w:eastAsia="仿宋" w:cs="仿宋"/>
          <w:color w:val="auto"/>
          <w:lang w:val="en-US" w:eastAsia="zh-CN"/>
        </w:rPr>
        <w:t>/</w:t>
      </w:r>
    </w:p>
    <w:p w14:paraId="55C2B369">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val="en-US"/>
        </w:rPr>
        <w:t>联 系 人</w:t>
      </w:r>
      <w:r>
        <w:rPr>
          <w:rFonts w:hint="eastAsia" w:ascii="仿宋" w:hAnsi="仿宋" w:eastAsia="仿宋" w:cs="仿宋"/>
          <w:color w:val="auto"/>
        </w:rPr>
        <w:t>：</w:t>
      </w:r>
      <w:r>
        <w:rPr>
          <w:rFonts w:hint="eastAsia" w:ascii="仿宋" w:hAnsi="仿宋" w:eastAsia="仿宋" w:cs="仿宋"/>
          <w:color w:val="auto"/>
          <w:lang w:val="en-US" w:eastAsia="zh-CN"/>
        </w:rPr>
        <w:t>李老师、王老师</w:t>
      </w:r>
    </w:p>
    <w:p w14:paraId="0964FF08">
      <w:pPr>
        <w:pStyle w:val="23"/>
        <w:keepNext w:val="0"/>
        <w:keepLines w:val="0"/>
        <w:pageBreakBefore w:val="0"/>
        <w:kinsoku/>
        <w:overflowPunct/>
        <w:topLinePunct w:val="0"/>
        <w:autoSpaceDE/>
        <w:autoSpaceDN/>
        <w:bidi w:val="0"/>
        <w:adjustRightInd/>
        <w:spacing w:after="0" w:afterLines="0" w:line="440" w:lineRule="exact"/>
        <w:ind w:left="0" w:right="0" w:firstLine="480" w:firstLineChars="200"/>
        <w:jc w:val="both"/>
        <w:textAlignment w:val="auto"/>
        <w:outlineLvl w:val="9"/>
        <w:rPr>
          <w:rFonts w:ascii="仿宋" w:hAnsi="仿宋" w:eastAsia="仿宋" w:cs="仿宋"/>
          <w:color w:val="auto"/>
        </w:rPr>
      </w:pPr>
      <w:r>
        <w:rPr>
          <w:rFonts w:hint="eastAsia" w:ascii="仿宋" w:hAnsi="仿宋" w:eastAsia="仿宋" w:cs="仿宋"/>
          <w:color w:val="auto"/>
        </w:rPr>
        <w:t>监督投诉电话：0577-85501561，0577-85501562</w:t>
      </w:r>
    </w:p>
    <w:p w14:paraId="0467055A">
      <w:pPr>
        <w:keepNext w:val="0"/>
        <w:keepLines w:val="0"/>
        <w:pageBreakBefore w:val="0"/>
        <w:kinsoku/>
        <w:overflowPunct/>
        <w:topLinePunct w:val="0"/>
        <w:autoSpaceDE/>
        <w:autoSpaceDN/>
        <w:bidi w:val="0"/>
        <w:adjustRightInd/>
        <w:spacing w:line="440" w:lineRule="exact"/>
        <w:ind w:left="0" w:right="0" w:firstLine="0" w:firstLineChars="0"/>
        <w:textAlignment w:val="auto"/>
        <w:rPr>
          <w:rFonts w:hint="eastAsia" w:ascii="仿宋" w:hAnsi="仿宋" w:eastAsia="仿宋" w:cs="仿宋"/>
          <w:color w:val="auto"/>
          <w:sz w:val="24"/>
          <w:szCs w:val="24"/>
          <w:lang w:val="zh-CN" w:eastAsia="zh-CN" w:bidi="ar-SA"/>
        </w:rPr>
      </w:pPr>
    </w:p>
    <w:p w14:paraId="020A28CD">
      <w:pPr>
        <w:keepNext w:val="0"/>
        <w:keepLines w:val="0"/>
        <w:pageBreakBefore w:val="0"/>
        <w:kinsoku/>
        <w:overflowPunct/>
        <w:topLinePunct w:val="0"/>
        <w:bidi w:val="0"/>
        <w:adjustRightInd/>
        <w:spacing w:line="440" w:lineRule="exact"/>
        <w:ind w:firstLine="480" w:firstLineChars="200"/>
        <w:textAlignment w:val="auto"/>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zh-CN" w:eastAsia="zh-CN" w:bidi="ar-SA"/>
        </w:rPr>
        <w:t>若对项目采购电子交易系统操作有疑问，可登录政采云（https://www.zcygov.cn/），点击右侧咨询小采，获取采小蜜智能服务管家帮助，或拨打政采云服务热线</w:t>
      </w:r>
      <w:r>
        <w:rPr>
          <w:rFonts w:ascii="仿宋" w:hAnsi="仿宋" w:eastAsia="仿宋" w:cs="仿宋"/>
          <w:i w:val="0"/>
          <w:iCs w:val="0"/>
          <w:caps w:val="0"/>
          <w:color w:val="000000"/>
          <w:spacing w:val="0"/>
          <w:sz w:val="24"/>
          <w:szCs w:val="24"/>
        </w:rPr>
        <w:t>95763</w:t>
      </w:r>
      <w:r>
        <w:rPr>
          <w:rFonts w:hint="eastAsia" w:ascii="仿宋" w:hAnsi="仿宋" w:eastAsia="仿宋" w:cs="仿宋"/>
          <w:color w:val="auto"/>
          <w:sz w:val="24"/>
          <w:szCs w:val="24"/>
          <w:lang w:val="zh-CN" w:eastAsia="zh-CN" w:bidi="ar-SA"/>
        </w:rPr>
        <w:t xml:space="preserve">获取热线服务帮助。       </w:t>
      </w:r>
    </w:p>
    <w:p w14:paraId="693007C9">
      <w:pPr>
        <w:keepNext w:val="0"/>
        <w:keepLines w:val="0"/>
        <w:pageBreakBefore w:val="0"/>
        <w:kinsoku/>
        <w:overflowPunct/>
        <w:topLinePunct w:val="0"/>
        <w:bidi w:val="0"/>
        <w:adjustRightInd/>
        <w:spacing w:line="440" w:lineRule="exact"/>
        <w:ind w:firstLine="480" w:firstLineChars="200"/>
        <w:textAlignment w:val="auto"/>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zh-CN" w:eastAsia="zh-CN" w:bidi="ar-SA"/>
        </w:rPr>
        <w:t>CA问题联系电话（人工）：汇信CA 400-888-4636；天谷CA 400-087-8198。</w:t>
      </w:r>
    </w:p>
    <w:p w14:paraId="41A43EC8">
      <w:pPr>
        <w:pStyle w:val="25"/>
        <w:rPr>
          <w:rFonts w:hint="eastAsia"/>
          <w:color w:val="auto"/>
          <w:lang w:val="zh-CN" w:eastAsia="zh-CN"/>
        </w:rPr>
      </w:pPr>
    </w:p>
    <w:p w14:paraId="04F2A609">
      <w:pPr>
        <w:keepNext w:val="0"/>
        <w:keepLines w:val="0"/>
        <w:pageBreakBefore w:val="0"/>
        <w:kinsoku/>
        <w:overflowPunct/>
        <w:topLinePunct w:val="0"/>
        <w:bidi w:val="0"/>
        <w:adjustRightInd/>
        <w:spacing w:line="440" w:lineRule="exact"/>
        <w:ind w:firstLine="420" w:firstLineChars="200"/>
        <w:textAlignment w:val="auto"/>
        <w:rPr>
          <w:rFonts w:ascii="仿宋" w:hAnsi="仿宋" w:eastAsia="仿宋" w:cs="仿宋"/>
          <w:color w:val="auto"/>
          <w:sz w:val="21"/>
          <w:szCs w:val="24"/>
        </w:rPr>
      </w:pPr>
      <w:r>
        <w:rPr>
          <w:rFonts w:hint="eastAsia" w:ascii="仿宋" w:hAnsi="仿宋" w:eastAsia="仿宋" w:cs="仿宋"/>
          <w:color w:val="auto"/>
          <w:sz w:val="21"/>
          <w:szCs w:val="24"/>
        </w:rPr>
        <w:br w:type="page"/>
      </w:r>
    </w:p>
    <w:p w14:paraId="1B381CD1">
      <w:pPr>
        <w:pStyle w:val="2"/>
        <w:spacing w:before="11"/>
        <w:rPr>
          <w:color w:val="auto"/>
          <w:sz w:val="10"/>
        </w:rPr>
      </w:pPr>
    </w:p>
    <w:p w14:paraId="15D4A6A5">
      <w:pPr>
        <w:pStyle w:val="5"/>
        <w:numPr>
          <w:ilvl w:val="0"/>
          <w:numId w:val="1"/>
        </w:numPr>
        <w:tabs>
          <w:tab w:val="left" w:pos="1444"/>
        </w:tabs>
        <w:spacing w:line="360" w:lineRule="auto"/>
        <w:ind w:right="15"/>
        <w:rPr>
          <w:rFonts w:ascii="仿宋" w:hAnsi="仿宋" w:eastAsia="仿宋" w:cs="仿宋"/>
          <w:color w:val="auto"/>
          <w:lang w:val="en-US"/>
        </w:rPr>
      </w:pPr>
      <w:r>
        <w:rPr>
          <w:rFonts w:hint="eastAsia" w:ascii="仿宋" w:hAnsi="仿宋" w:eastAsia="仿宋" w:cs="仿宋"/>
          <w:color w:val="auto"/>
          <w:lang w:val="en-US"/>
        </w:rPr>
        <w:t xml:space="preserve"> </w:t>
      </w:r>
      <w:bookmarkStart w:id="52" w:name="_Toc31193"/>
      <w:bookmarkStart w:id="53" w:name="_Toc17336"/>
      <w:r>
        <w:rPr>
          <w:rFonts w:hint="eastAsia" w:ascii="仿宋" w:hAnsi="仿宋" w:eastAsia="仿宋" w:cs="仿宋"/>
          <w:color w:val="auto"/>
          <w:lang w:val="en-US"/>
        </w:rPr>
        <w:t>投标人须知</w:t>
      </w:r>
      <w:bookmarkEnd w:id="52"/>
      <w:bookmarkEnd w:id="53"/>
    </w:p>
    <w:p w14:paraId="572DF3D6">
      <w:pPr>
        <w:pStyle w:val="5"/>
        <w:tabs>
          <w:tab w:val="left" w:pos="1444"/>
        </w:tabs>
        <w:spacing w:before="0"/>
        <w:ind w:right="0"/>
        <w:rPr>
          <w:rFonts w:ascii="仿宋" w:hAnsi="仿宋" w:eastAsia="仿宋" w:cs="仿宋"/>
          <w:color w:val="auto"/>
        </w:rPr>
      </w:pPr>
      <w:bookmarkStart w:id="54" w:name="_Toc2670"/>
      <w:bookmarkStart w:id="55" w:name="_Toc960"/>
      <w:bookmarkStart w:id="56" w:name="_Toc6078"/>
      <w:r>
        <w:rPr>
          <w:rFonts w:hint="eastAsia" w:ascii="仿宋" w:hAnsi="仿宋" w:eastAsia="仿宋" w:cs="仿宋"/>
          <w:color w:val="auto"/>
          <w:sz w:val="28"/>
          <w:szCs w:val="28"/>
        </w:rPr>
        <w:t>投标须知</w:t>
      </w:r>
      <w:bookmarkStart w:id="57" w:name="前附表"/>
      <w:bookmarkEnd w:id="57"/>
      <w:r>
        <w:rPr>
          <w:rFonts w:hint="eastAsia" w:ascii="仿宋" w:hAnsi="仿宋" w:eastAsia="仿宋" w:cs="仿宋"/>
          <w:color w:val="auto"/>
          <w:sz w:val="28"/>
          <w:szCs w:val="28"/>
        </w:rPr>
        <w:t>前附表</w:t>
      </w:r>
      <w:bookmarkEnd w:id="54"/>
      <w:bookmarkEnd w:id="55"/>
      <w:bookmarkEnd w:id="56"/>
    </w:p>
    <w:tbl>
      <w:tblPr>
        <w:tblStyle w:val="26"/>
        <w:tblW w:w="9658" w:type="dxa"/>
        <w:tblInd w:w="13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745"/>
        <w:gridCol w:w="1757"/>
        <w:gridCol w:w="7156"/>
      </w:tblGrid>
      <w:tr w14:paraId="581DE8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B6DDE8" w:themeFill="accent5" w:themeFillTint="66"/>
            <w:vAlign w:val="center"/>
          </w:tcPr>
          <w:p w14:paraId="57C5205C">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757" w:type="dxa"/>
            <w:tcBorders>
              <w:tl2br w:val="nil"/>
              <w:tr2bl w:val="nil"/>
            </w:tcBorders>
            <w:shd w:val="clear" w:color="auto" w:fill="B6DDE8" w:themeFill="accent5" w:themeFillTint="66"/>
            <w:vAlign w:val="center"/>
          </w:tcPr>
          <w:p w14:paraId="532F7A28">
            <w:pPr>
              <w:pStyle w:val="37"/>
              <w:keepNext w:val="0"/>
              <w:keepLines w:val="0"/>
              <w:pageBreakBefore w:val="0"/>
              <w:widowControl w:val="0"/>
              <w:tabs>
                <w:tab w:val="left" w:pos="731"/>
                <w:tab w:val="left" w:pos="1451"/>
                <w:tab w:val="left" w:pos="2171"/>
                <w:tab w:val="left" w:pos="2891"/>
              </w:tabs>
              <w:kinsoku/>
              <w:wordWrap/>
              <w:overflowPunct/>
              <w:topLinePunct w:val="0"/>
              <w:autoSpaceDE w:val="0"/>
              <w:autoSpaceDN w:val="0"/>
              <w:bidi w:val="0"/>
              <w:adjustRightInd/>
              <w:snapToGrid/>
              <w:spacing w:line="400" w:lineRule="exact"/>
              <w:jc w:val="center"/>
              <w:textAlignment w:val="auto"/>
              <w:rPr>
                <w:rFonts w:ascii="仿宋" w:hAnsi="仿宋" w:eastAsia="仿宋" w:cs="仿宋"/>
                <w:b/>
                <w:bCs/>
                <w:color w:val="auto"/>
                <w:sz w:val="24"/>
                <w:szCs w:val="24"/>
                <w:lang w:val="en-US"/>
              </w:rPr>
            </w:pPr>
            <w:r>
              <w:rPr>
                <w:rFonts w:hint="eastAsia" w:ascii="仿宋" w:hAnsi="仿宋" w:eastAsia="仿宋" w:cs="仿宋"/>
                <w:b/>
                <w:bCs/>
                <w:color w:val="auto"/>
                <w:sz w:val="24"/>
                <w:szCs w:val="24"/>
                <w:lang w:val="en-US"/>
              </w:rPr>
              <w:t>内容</w:t>
            </w:r>
          </w:p>
        </w:tc>
        <w:tc>
          <w:tcPr>
            <w:tcW w:w="7156" w:type="dxa"/>
            <w:tcBorders>
              <w:tl2br w:val="nil"/>
              <w:tr2bl w:val="nil"/>
            </w:tcBorders>
            <w:shd w:val="clear" w:color="auto" w:fill="B6DDE8" w:themeFill="accent5" w:themeFillTint="66"/>
            <w:vAlign w:val="center"/>
          </w:tcPr>
          <w:p w14:paraId="1E62D74B">
            <w:pPr>
              <w:pStyle w:val="37"/>
              <w:keepNext w:val="0"/>
              <w:keepLines w:val="0"/>
              <w:pageBreakBefore w:val="0"/>
              <w:widowControl w:val="0"/>
              <w:tabs>
                <w:tab w:val="left" w:pos="731"/>
                <w:tab w:val="left" w:pos="1451"/>
                <w:tab w:val="left" w:pos="2171"/>
                <w:tab w:val="left" w:pos="2891"/>
              </w:tabs>
              <w:kinsoku/>
              <w:wordWrap/>
              <w:overflowPunct/>
              <w:topLinePunct w:val="0"/>
              <w:autoSpaceDE w:val="0"/>
              <w:autoSpaceDN w:val="0"/>
              <w:bidi w:val="0"/>
              <w:adjustRightInd/>
              <w:snapToGrid/>
              <w:spacing w:line="400" w:lineRule="exact"/>
              <w:jc w:val="center"/>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内</w:t>
            </w:r>
            <w:r>
              <w:rPr>
                <w:rFonts w:hint="eastAsia" w:ascii="仿宋" w:hAnsi="仿宋" w:eastAsia="仿宋" w:cs="仿宋"/>
                <w:b/>
                <w:bCs/>
                <w:color w:val="auto"/>
                <w:sz w:val="24"/>
                <w:szCs w:val="24"/>
                <w:lang w:val="en-US"/>
              </w:rPr>
              <w:t xml:space="preserve">  </w:t>
            </w:r>
            <w:r>
              <w:rPr>
                <w:rFonts w:hint="eastAsia" w:ascii="仿宋" w:hAnsi="仿宋" w:eastAsia="仿宋" w:cs="仿宋"/>
                <w:b/>
                <w:bCs/>
                <w:color w:val="auto"/>
                <w:sz w:val="24"/>
                <w:szCs w:val="24"/>
              </w:rPr>
              <w:t>容</w:t>
            </w:r>
            <w:r>
              <w:rPr>
                <w:rFonts w:hint="eastAsia" w:ascii="仿宋" w:hAnsi="仿宋" w:eastAsia="仿宋" w:cs="仿宋"/>
                <w:b/>
                <w:bCs/>
                <w:color w:val="auto"/>
                <w:sz w:val="24"/>
                <w:szCs w:val="24"/>
                <w:lang w:val="en-US"/>
              </w:rPr>
              <w:t xml:space="preserve">  </w:t>
            </w:r>
            <w:r>
              <w:rPr>
                <w:rFonts w:hint="eastAsia" w:ascii="仿宋" w:hAnsi="仿宋" w:eastAsia="仿宋" w:cs="仿宋"/>
                <w:b/>
                <w:bCs/>
                <w:color w:val="auto"/>
                <w:sz w:val="24"/>
                <w:szCs w:val="24"/>
              </w:rPr>
              <w:t>及</w:t>
            </w:r>
            <w:r>
              <w:rPr>
                <w:rFonts w:hint="eastAsia" w:ascii="仿宋" w:hAnsi="仿宋" w:eastAsia="仿宋" w:cs="仿宋"/>
                <w:b/>
                <w:bCs/>
                <w:color w:val="auto"/>
                <w:sz w:val="24"/>
                <w:szCs w:val="24"/>
                <w:lang w:val="en-US"/>
              </w:rPr>
              <w:t xml:space="preserve">  </w:t>
            </w:r>
            <w:r>
              <w:rPr>
                <w:rFonts w:hint="eastAsia" w:ascii="仿宋" w:hAnsi="仿宋" w:eastAsia="仿宋" w:cs="仿宋"/>
                <w:b/>
                <w:bCs/>
                <w:color w:val="auto"/>
                <w:sz w:val="24"/>
                <w:szCs w:val="24"/>
              </w:rPr>
              <w:t>要</w:t>
            </w:r>
            <w:r>
              <w:rPr>
                <w:rFonts w:hint="eastAsia" w:ascii="仿宋" w:hAnsi="仿宋" w:eastAsia="仿宋" w:cs="仿宋"/>
                <w:b/>
                <w:bCs/>
                <w:color w:val="auto"/>
                <w:sz w:val="24"/>
                <w:szCs w:val="24"/>
                <w:lang w:val="en-US"/>
              </w:rPr>
              <w:t xml:space="preserve">  </w:t>
            </w:r>
            <w:r>
              <w:rPr>
                <w:rFonts w:hint="eastAsia" w:ascii="仿宋" w:hAnsi="仿宋" w:eastAsia="仿宋" w:cs="仿宋"/>
                <w:b/>
                <w:bCs/>
                <w:color w:val="auto"/>
                <w:sz w:val="24"/>
                <w:szCs w:val="24"/>
              </w:rPr>
              <w:t>求</w:t>
            </w:r>
          </w:p>
        </w:tc>
      </w:tr>
      <w:tr w14:paraId="5039ED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058DB1AA">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rPr>
              <w:t>1</w:t>
            </w:r>
          </w:p>
        </w:tc>
        <w:tc>
          <w:tcPr>
            <w:tcW w:w="1757" w:type="dxa"/>
            <w:tcBorders>
              <w:tl2br w:val="nil"/>
              <w:tr2bl w:val="nil"/>
            </w:tcBorders>
            <w:shd w:val="clear" w:color="auto" w:fill="auto"/>
            <w:vAlign w:val="center"/>
          </w:tcPr>
          <w:p w14:paraId="0779D1B5">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rPr>
              <w:t>项目名称</w:t>
            </w:r>
          </w:p>
        </w:tc>
        <w:tc>
          <w:tcPr>
            <w:tcW w:w="7156" w:type="dxa"/>
            <w:tcBorders>
              <w:tl2br w:val="nil"/>
              <w:tr2bl w:val="nil"/>
            </w:tcBorders>
            <w:shd w:val="clear" w:color="auto" w:fill="auto"/>
            <w:vAlign w:val="center"/>
          </w:tcPr>
          <w:p w14:paraId="09200C5E">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eastAsia="zh-CN"/>
              </w:rPr>
              <w:t>龙港市世纪中学功能教室设备仪器采购项目</w:t>
            </w:r>
          </w:p>
        </w:tc>
      </w:tr>
      <w:tr w14:paraId="404CC8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15C8D9D3">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rPr>
              <w:t>2</w:t>
            </w:r>
          </w:p>
        </w:tc>
        <w:tc>
          <w:tcPr>
            <w:tcW w:w="1757" w:type="dxa"/>
            <w:tcBorders>
              <w:tl2br w:val="nil"/>
              <w:tr2bl w:val="nil"/>
            </w:tcBorders>
            <w:shd w:val="clear" w:color="auto" w:fill="auto"/>
            <w:vAlign w:val="center"/>
          </w:tcPr>
          <w:p w14:paraId="440CF8D5">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rPr>
              <w:t>项目编号</w:t>
            </w:r>
          </w:p>
        </w:tc>
        <w:tc>
          <w:tcPr>
            <w:tcW w:w="7156" w:type="dxa"/>
            <w:tcBorders>
              <w:tl2br w:val="nil"/>
              <w:tr2bl w:val="nil"/>
            </w:tcBorders>
            <w:shd w:val="clear" w:color="auto" w:fill="auto"/>
            <w:vAlign w:val="center"/>
          </w:tcPr>
          <w:p w14:paraId="7B41A413">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0000FF"/>
                <w:sz w:val="24"/>
                <w:szCs w:val="24"/>
                <w:lang w:val="en-US" w:eastAsia="zh-CN"/>
              </w:rPr>
              <w:t>LGCG2025129</w:t>
            </w:r>
          </w:p>
        </w:tc>
      </w:tr>
      <w:tr w14:paraId="6F2C21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33B0460B">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757" w:type="dxa"/>
            <w:tcBorders>
              <w:tl2br w:val="nil"/>
              <w:tr2bl w:val="nil"/>
            </w:tcBorders>
            <w:shd w:val="clear" w:color="auto" w:fill="auto"/>
            <w:vAlign w:val="center"/>
          </w:tcPr>
          <w:p w14:paraId="5F9E8256">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采购预算</w:t>
            </w:r>
          </w:p>
          <w:p w14:paraId="4EC819D4">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及最高限价</w:t>
            </w:r>
          </w:p>
        </w:tc>
        <w:tc>
          <w:tcPr>
            <w:tcW w:w="7156" w:type="dxa"/>
            <w:tcBorders>
              <w:tl2br w:val="nil"/>
              <w:tr2bl w:val="nil"/>
            </w:tcBorders>
            <w:shd w:val="clear" w:color="auto" w:fill="auto"/>
            <w:vAlign w:val="center"/>
          </w:tcPr>
          <w:p w14:paraId="4778EC86">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本项目采购预算人民币</w:t>
            </w:r>
            <w:r>
              <w:rPr>
                <w:rFonts w:hint="eastAsia" w:ascii="仿宋" w:hAnsi="仿宋" w:eastAsia="仿宋" w:cs="仿宋"/>
                <w:color w:val="auto"/>
                <w:sz w:val="24"/>
                <w:szCs w:val="24"/>
                <w:u w:val="single"/>
                <w:lang w:val="en-US" w:eastAsia="zh-CN"/>
              </w:rPr>
              <w:t>1649600</w:t>
            </w:r>
            <w:r>
              <w:rPr>
                <w:rFonts w:hint="eastAsia" w:ascii="仿宋" w:hAnsi="仿宋" w:eastAsia="仿宋" w:cs="仿宋"/>
                <w:color w:val="auto"/>
                <w:sz w:val="24"/>
                <w:szCs w:val="24"/>
                <w:lang w:val="en-US" w:eastAsia="zh-CN"/>
              </w:rPr>
              <w:t>元；最高限价人民币</w:t>
            </w:r>
            <w:r>
              <w:rPr>
                <w:rFonts w:hint="eastAsia" w:ascii="仿宋" w:hAnsi="仿宋" w:eastAsia="仿宋" w:cs="仿宋"/>
                <w:color w:val="auto"/>
                <w:sz w:val="24"/>
                <w:szCs w:val="24"/>
                <w:u w:val="single"/>
                <w:lang w:val="en-US" w:eastAsia="zh-CN"/>
              </w:rPr>
              <w:t>1649600</w:t>
            </w:r>
            <w:r>
              <w:rPr>
                <w:rFonts w:hint="eastAsia" w:ascii="仿宋" w:hAnsi="仿宋" w:eastAsia="仿宋" w:cs="仿宋"/>
                <w:color w:val="auto"/>
                <w:sz w:val="24"/>
                <w:szCs w:val="24"/>
                <w:lang w:val="en-US" w:eastAsia="zh-CN"/>
              </w:rPr>
              <w:t>元，如投标人的投标报价超过最高限价的，其投标文件作无效标处理。</w:t>
            </w:r>
          </w:p>
        </w:tc>
      </w:tr>
      <w:tr w14:paraId="5EF988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38003FAE">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7" w:type="dxa"/>
            <w:tcBorders>
              <w:tl2br w:val="nil"/>
              <w:tr2bl w:val="nil"/>
            </w:tcBorders>
            <w:shd w:val="clear" w:color="auto" w:fill="auto"/>
            <w:vAlign w:val="center"/>
          </w:tcPr>
          <w:p w14:paraId="7CC75D5C">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采购方式</w:t>
            </w:r>
          </w:p>
        </w:tc>
        <w:tc>
          <w:tcPr>
            <w:tcW w:w="7156" w:type="dxa"/>
            <w:tcBorders>
              <w:tl2br w:val="nil"/>
              <w:tr2bl w:val="nil"/>
            </w:tcBorders>
            <w:shd w:val="clear" w:color="auto" w:fill="auto"/>
            <w:vAlign w:val="center"/>
          </w:tcPr>
          <w:p w14:paraId="24635A22">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公开招标</w:t>
            </w:r>
          </w:p>
        </w:tc>
      </w:tr>
      <w:tr w14:paraId="50AFC5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4479EEBF">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7" w:type="dxa"/>
            <w:tcBorders>
              <w:tl2br w:val="nil"/>
              <w:tr2bl w:val="nil"/>
            </w:tcBorders>
            <w:shd w:val="clear" w:color="auto" w:fill="auto"/>
            <w:vAlign w:val="center"/>
          </w:tcPr>
          <w:p w14:paraId="3BD16ABD">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rPr>
              <w:t>评标办法</w:t>
            </w:r>
          </w:p>
        </w:tc>
        <w:tc>
          <w:tcPr>
            <w:tcW w:w="7156" w:type="dxa"/>
            <w:tcBorders>
              <w:tl2br w:val="nil"/>
              <w:tr2bl w:val="nil"/>
            </w:tcBorders>
            <w:shd w:val="clear" w:color="auto" w:fill="auto"/>
            <w:vAlign w:val="center"/>
          </w:tcPr>
          <w:p w14:paraId="379E508D">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pacing w:val="-2"/>
                <w:sz w:val="24"/>
                <w:szCs w:val="24"/>
                <w:lang w:val="en-US" w:eastAsia="zh-CN" w:bidi="zh-CN"/>
              </w:rPr>
            </w:pPr>
            <w:r>
              <w:rPr>
                <w:rFonts w:hint="eastAsia" w:ascii="仿宋" w:hAnsi="仿宋" w:eastAsia="仿宋" w:cs="仿宋"/>
                <w:color w:val="auto"/>
                <w:spacing w:val="-2"/>
                <w:sz w:val="24"/>
                <w:szCs w:val="24"/>
                <w:lang w:val="en-US"/>
              </w:rPr>
              <w:t>综合评分法</w:t>
            </w:r>
          </w:p>
        </w:tc>
      </w:tr>
      <w:tr w14:paraId="0CDEBD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73AF3BC5">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57" w:type="dxa"/>
            <w:tcBorders>
              <w:tl2br w:val="nil"/>
              <w:tr2bl w:val="nil"/>
            </w:tcBorders>
            <w:shd w:val="clear" w:color="auto" w:fill="auto"/>
            <w:vAlign w:val="center"/>
          </w:tcPr>
          <w:p w14:paraId="3E3862F8">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投标有效期</w:t>
            </w:r>
          </w:p>
        </w:tc>
        <w:tc>
          <w:tcPr>
            <w:tcW w:w="7156" w:type="dxa"/>
            <w:tcBorders>
              <w:tl2br w:val="nil"/>
              <w:tr2bl w:val="nil"/>
            </w:tcBorders>
            <w:shd w:val="clear" w:color="auto" w:fill="auto"/>
            <w:vAlign w:val="center"/>
          </w:tcPr>
          <w:p w14:paraId="5F076476">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pacing w:val="-2"/>
                <w:sz w:val="24"/>
                <w:szCs w:val="24"/>
                <w:lang w:val="en-US"/>
              </w:rPr>
            </w:pPr>
            <w:r>
              <w:rPr>
                <w:rFonts w:hint="eastAsia" w:ascii="仿宋" w:hAnsi="仿宋" w:eastAsia="仿宋" w:cs="仿宋"/>
                <w:color w:val="auto"/>
                <w:spacing w:val="-2"/>
                <w:sz w:val="24"/>
                <w:szCs w:val="24"/>
                <w:lang w:val="en-US" w:eastAsia="zh-CN"/>
              </w:rPr>
              <w:t>9</w:t>
            </w:r>
            <w:r>
              <w:rPr>
                <w:rFonts w:hint="eastAsia" w:ascii="仿宋" w:hAnsi="仿宋" w:eastAsia="仿宋" w:cs="仿宋"/>
                <w:color w:val="auto"/>
                <w:spacing w:val="-2"/>
                <w:sz w:val="24"/>
                <w:szCs w:val="24"/>
                <w:lang w:val="en-US"/>
              </w:rPr>
              <w:t>0日历天</w:t>
            </w:r>
          </w:p>
        </w:tc>
      </w:tr>
      <w:tr w14:paraId="3BCE56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5044E6D3">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757" w:type="dxa"/>
            <w:tcBorders>
              <w:tl2br w:val="nil"/>
              <w:tr2bl w:val="nil"/>
            </w:tcBorders>
            <w:shd w:val="clear" w:color="auto" w:fill="auto"/>
            <w:vAlign w:val="center"/>
          </w:tcPr>
          <w:p w14:paraId="784B88AD">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rPr>
              <w:t>投标响应截止时间</w:t>
            </w:r>
          </w:p>
        </w:tc>
        <w:tc>
          <w:tcPr>
            <w:tcW w:w="7156" w:type="dxa"/>
            <w:tcBorders>
              <w:tl2br w:val="nil"/>
              <w:tr2bl w:val="nil"/>
            </w:tcBorders>
            <w:shd w:val="clear" w:color="auto" w:fill="auto"/>
            <w:vAlign w:val="center"/>
          </w:tcPr>
          <w:p w14:paraId="2FB9DC95">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pacing w:val="-2"/>
                <w:sz w:val="24"/>
                <w:szCs w:val="24"/>
                <w:lang w:val="en-US" w:eastAsia="zh-CN" w:bidi="zh-CN"/>
              </w:rPr>
            </w:pPr>
            <w:r>
              <w:rPr>
                <w:rFonts w:hint="eastAsia" w:ascii="仿宋" w:hAnsi="仿宋" w:eastAsia="仿宋" w:cs="仿宋"/>
                <w:color w:val="auto"/>
                <w:spacing w:val="-2"/>
                <w:sz w:val="24"/>
                <w:szCs w:val="24"/>
                <w:lang w:val="en-US" w:eastAsia="zh-CN"/>
              </w:rPr>
              <w:t>2025</w:t>
            </w:r>
            <w:r>
              <w:rPr>
                <w:rFonts w:hint="eastAsia" w:ascii="仿宋" w:hAnsi="仿宋" w:eastAsia="仿宋" w:cs="仿宋"/>
                <w:color w:val="auto"/>
                <w:spacing w:val="-2"/>
                <w:sz w:val="24"/>
                <w:szCs w:val="24"/>
                <w:lang w:val="en-US"/>
              </w:rPr>
              <w:t>年</w:t>
            </w: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lang w:val="en-US"/>
              </w:rPr>
              <w:t>月</w:t>
            </w:r>
            <w:r>
              <w:rPr>
                <w:rFonts w:hint="eastAsia" w:ascii="仿宋" w:hAnsi="仿宋" w:eastAsia="仿宋" w:cs="仿宋"/>
                <w:color w:val="auto"/>
                <w:spacing w:val="-2"/>
                <w:sz w:val="24"/>
                <w:szCs w:val="24"/>
                <w:lang w:val="en-US" w:eastAsia="zh-CN"/>
              </w:rPr>
              <w:t>12</w:t>
            </w:r>
            <w:r>
              <w:rPr>
                <w:rFonts w:hint="eastAsia" w:ascii="仿宋" w:hAnsi="仿宋" w:eastAsia="仿宋" w:cs="仿宋"/>
                <w:color w:val="auto"/>
                <w:spacing w:val="-2"/>
                <w:sz w:val="24"/>
                <w:szCs w:val="24"/>
                <w:lang w:val="en-US"/>
              </w:rPr>
              <w:t>日</w:t>
            </w:r>
            <w:r>
              <w:rPr>
                <w:rFonts w:hint="eastAsia" w:ascii="仿宋" w:hAnsi="仿宋" w:eastAsia="仿宋" w:cs="仿宋"/>
                <w:color w:val="auto"/>
                <w:spacing w:val="-2"/>
                <w:sz w:val="24"/>
                <w:szCs w:val="24"/>
                <w:lang w:val="en-US" w:eastAsia="zh-CN"/>
              </w:rPr>
              <w:t>09</w:t>
            </w:r>
            <w:r>
              <w:rPr>
                <w:rFonts w:hint="eastAsia" w:ascii="仿宋" w:hAnsi="仿宋" w:eastAsia="仿宋" w:cs="仿宋"/>
                <w:color w:val="auto"/>
                <w:spacing w:val="-2"/>
                <w:sz w:val="24"/>
                <w:szCs w:val="24"/>
                <w:lang w:val="en-US"/>
              </w:rPr>
              <w:t>时</w:t>
            </w:r>
            <w:r>
              <w:rPr>
                <w:rFonts w:hint="eastAsia" w:ascii="仿宋" w:hAnsi="仿宋" w:eastAsia="仿宋" w:cs="仿宋"/>
                <w:color w:val="auto"/>
                <w:spacing w:val="-2"/>
                <w:sz w:val="24"/>
                <w:szCs w:val="24"/>
                <w:lang w:val="en-US" w:eastAsia="zh-CN"/>
              </w:rPr>
              <w:t>30</w:t>
            </w:r>
            <w:r>
              <w:rPr>
                <w:rFonts w:hint="eastAsia" w:ascii="仿宋" w:hAnsi="仿宋" w:eastAsia="仿宋" w:cs="仿宋"/>
                <w:color w:val="auto"/>
                <w:spacing w:val="-2"/>
                <w:sz w:val="24"/>
                <w:szCs w:val="24"/>
                <w:lang w:val="en-US"/>
              </w:rPr>
              <w:t>分</w:t>
            </w:r>
          </w:p>
        </w:tc>
      </w:tr>
      <w:tr w14:paraId="1591E2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77347B11">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757" w:type="dxa"/>
            <w:tcBorders>
              <w:tl2br w:val="nil"/>
              <w:tr2bl w:val="nil"/>
            </w:tcBorders>
            <w:shd w:val="clear" w:color="auto" w:fill="auto"/>
            <w:vAlign w:val="center"/>
          </w:tcPr>
          <w:p w14:paraId="690AAA21">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rPr>
              <w:t>投标保证金</w:t>
            </w:r>
          </w:p>
        </w:tc>
        <w:tc>
          <w:tcPr>
            <w:tcW w:w="7156" w:type="dxa"/>
            <w:tcBorders>
              <w:tl2br w:val="nil"/>
              <w:tr2bl w:val="nil"/>
            </w:tcBorders>
            <w:shd w:val="clear" w:color="auto" w:fill="auto"/>
            <w:vAlign w:val="center"/>
          </w:tcPr>
          <w:p w14:paraId="3CA8E2B9">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pacing w:val="-2"/>
                <w:sz w:val="24"/>
                <w:szCs w:val="24"/>
                <w:lang w:val="en-US" w:eastAsia="zh-CN" w:bidi="zh-CN"/>
              </w:rPr>
            </w:pPr>
            <w:r>
              <w:rPr>
                <w:rFonts w:hint="eastAsia" w:ascii="仿宋" w:hAnsi="仿宋" w:eastAsia="仿宋" w:cs="仿宋"/>
                <w:color w:val="auto"/>
                <w:spacing w:val="-2"/>
                <w:sz w:val="24"/>
                <w:szCs w:val="24"/>
                <w:lang w:val="en-US"/>
              </w:rPr>
              <w:t>本项目无须缴纳投标保证金</w:t>
            </w:r>
          </w:p>
        </w:tc>
      </w:tr>
      <w:tr w14:paraId="542AF0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264410F2">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757" w:type="dxa"/>
            <w:tcBorders>
              <w:tl2br w:val="nil"/>
              <w:tr2bl w:val="nil"/>
            </w:tcBorders>
            <w:shd w:val="clear" w:color="auto" w:fill="auto"/>
            <w:vAlign w:val="center"/>
          </w:tcPr>
          <w:p w14:paraId="12C1ED4F">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rPr>
              <w:t>质量要求</w:t>
            </w:r>
          </w:p>
        </w:tc>
        <w:tc>
          <w:tcPr>
            <w:tcW w:w="7156" w:type="dxa"/>
            <w:tcBorders>
              <w:tl2br w:val="nil"/>
              <w:tr2bl w:val="nil"/>
            </w:tcBorders>
            <w:shd w:val="clear" w:color="auto" w:fill="auto"/>
            <w:vAlign w:val="center"/>
          </w:tcPr>
          <w:p w14:paraId="1DEFCFF8">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pacing w:val="-2"/>
                <w:sz w:val="24"/>
                <w:szCs w:val="24"/>
                <w:lang w:val="en-US" w:eastAsia="zh-CN" w:bidi="zh-CN"/>
              </w:rPr>
            </w:pPr>
            <w:r>
              <w:rPr>
                <w:rFonts w:hint="eastAsia" w:ascii="仿宋" w:hAnsi="仿宋" w:eastAsia="仿宋" w:cs="仿宋"/>
                <w:color w:val="auto"/>
                <w:spacing w:val="-2"/>
                <w:sz w:val="24"/>
                <w:szCs w:val="24"/>
                <w:lang w:val="en-US"/>
              </w:rPr>
              <w:t>合格（符合采购文件要求、投标承诺以及国家、行业有关技术规范和标准）</w:t>
            </w:r>
          </w:p>
        </w:tc>
      </w:tr>
      <w:tr w14:paraId="488D27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61EA2EE5">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7" w:type="dxa"/>
            <w:tcBorders>
              <w:tl2br w:val="nil"/>
              <w:tr2bl w:val="nil"/>
            </w:tcBorders>
            <w:shd w:val="clear" w:color="auto" w:fill="auto"/>
            <w:vAlign w:val="center"/>
          </w:tcPr>
          <w:p w14:paraId="33099B6F">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rPr>
              <w:t>合同签订时间</w:t>
            </w:r>
          </w:p>
        </w:tc>
        <w:tc>
          <w:tcPr>
            <w:tcW w:w="7156" w:type="dxa"/>
            <w:tcBorders>
              <w:tl2br w:val="nil"/>
              <w:tr2bl w:val="nil"/>
            </w:tcBorders>
            <w:shd w:val="clear" w:color="auto" w:fill="auto"/>
            <w:vAlign w:val="center"/>
          </w:tcPr>
          <w:p w14:paraId="6D622FCD">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pacing w:val="-2"/>
                <w:sz w:val="24"/>
                <w:szCs w:val="24"/>
                <w:lang w:val="en-US" w:eastAsia="zh-CN" w:bidi="zh-CN"/>
              </w:rPr>
            </w:pPr>
            <w:r>
              <w:rPr>
                <w:rFonts w:hint="eastAsia" w:ascii="仿宋" w:hAnsi="仿宋" w:eastAsia="仿宋" w:cs="仿宋"/>
                <w:color w:val="auto"/>
                <w:sz w:val="24"/>
                <w:szCs w:val="24"/>
              </w:rPr>
              <w:t xml:space="preserve">中标通知书发出后 </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日历天</w:t>
            </w:r>
            <w:r>
              <w:rPr>
                <w:rFonts w:hint="eastAsia" w:ascii="仿宋" w:hAnsi="仿宋" w:eastAsia="仿宋" w:cs="仿宋"/>
                <w:color w:val="auto"/>
                <w:sz w:val="24"/>
                <w:szCs w:val="24"/>
              </w:rPr>
              <w:t>内</w:t>
            </w:r>
          </w:p>
        </w:tc>
      </w:tr>
      <w:tr w14:paraId="22581C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530D0007">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757" w:type="dxa"/>
            <w:tcBorders>
              <w:tl2br w:val="nil"/>
              <w:tr2bl w:val="nil"/>
            </w:tcBorders>
            <w:shd w:val="clear" w:color="auto" w:fill="auto"/>
            <w:vAlign w:val="center"/>
          </w:tcPr>
          <w:p w14:paraId="555A65EB">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pacing w:val="-9"/>
                <w:sz w:val="24"/>
                <w:szCs w:val="24"/>
              </w:rPr>
              <w:t>评审结果公示</w:t>
            </w:r>
          </w:p>
        </w:tc>
        <w:tc>
          <w:tcPr>
            <w:tcW w:w="7156" w:type="dxa"/>
            <w:tcBorders>
              <w:tl2br w:val="nil"/>
              <w:tr2bl w:val="nil"/>
            </w:tcBorders>
            <w:shd w:val="clear" w:color="auto" w:fill="auto"/>
            <w:vAlign w:val="center"/>
          </w:tcPr>
          <w:p w14:paraId="1737C059">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pacing w:val="-12"/>
                <w:sz w:val="24"/>
                <w:szCs w:val="24"/>
              </w:rPr>
              <w:t>中标</w:t>
            </w:r>
            <w:r>
              <w:rPr>
                <w:rFonts w:hint="eastAsia" w:ascii="仿宋" w:hAnsi="仿宋" w:eastAsia="仿宋" w:cs="仿宋"/>
                <w:color w:val="auto"/>
                <w:spacing w:val="-3"/>
                <w:sz w:val="24"/>
                <w:szCs w:val="24"/>
              </w:rPr>
              <w:t>（</w:t>
            </w:r>
            <w:r>
              <w:rPr>
                <w:rFonts w:hint="eastAsia" w:ascii="仿宋" w:hAnsi="仿宋" w:eastAsia="仿宋" w:cs="仿宋"/>
                <w:color w:val="auto"/>
                <w:sz w:val="24"/>
                <w:szCs w:val="24"/>
              </w:rPr>
              <w:t>成交</w:t>
            </w:r>
            <w:r>
              <w:rPr>
                <w:rFonts w:hint="eastAsia" w:ascii="仿宋" w:hAnsi="仿宋" w:eastAsia="仿宋" w:cs="仿宋"/>
                <w:color w:val="auto"/>
                <w:spacing w:val="-20"/>
                <w:sz w:val="24"/>
                <w:szCs w:val="24"/>
              </w:rPr>
              <w:t>）</w:t>
            </w:r>
            <w:r>
              <w:rPr>
                <w:rFonts w:hint="eastAsia" w:ascii="仿宋" w:hAnsi="仿宋" w:eastAsia="仿宋" w:cs="仿宋"/>
                <w:color w:val="auto"/>
                <w:spacing w:val="-2"/>
                <w:sz w:val="24"/>
                <w:szCs w:val="24"/>
              </w:rPr>
              <w:t>结果公示于浙江省政府采购</w:t>
            </w:r>
            <w:r>
              <w:rPr>
                <w:rFonts w:hint="eastAsia" w:ascii="仿宋" w:hAnsi="仿宋" w:eastAsia="仿宋" w:cs="仿宋"/>
                <w:color w:val="auto"/>
                <w:sz w:val="24"/>
                <w:szCs w:val="24"/>
              </w:rPr>
              <w:t>网、</w:t>
            </w:r>
            <w:r>
              <w:rPr>
                <w:rFonts w:hint="eastAsia" w:ascii="仿宋" w:hAnsi="仿宋" w:eastAsia="仿宋" w:cs="仿宋"/>
                <w:color w:val="auto"/>
                <w:sz w:val="24"/>
                <w:szCs w:val="24"/>
                <w:lang w:val="en-US" w:eastAsia="zh-CN"/>
              </w:rPr>
              <w:t>龙港市</w:t>
            </w:r>
            <w:r>
              <w:rPr>
                <w:rFonts w:hint="eastAsia" w:ascii="仿宋" w:hAnsi="仿宋" w:eastAsia="仿宋" w:cs="仿宋"/>
                <w:color w:val="auto"/>
                <w:sz w:val="24"/>
                <w:szCs w:val="24"/>
                <w:lang w:val="en-US"/>
              </w:rPr>
              <w:t>公共资源交易中心网</w:t>
            </w:r>
            <w:r>
              <w:rPr>
                <w:rFonts w:hint="eastAsia" w:ascii="仿宋" w:hAnsi="仿宋" w:eastAsia="仿宋" w:cs="仿宋"/>
                <w:color w:val="auto"/>
                <w:sz w:val="24"/>
                <w:szCs w:val="24"/>
              </w:rPr>
              <w:t>同步发布。</w:t>
            </w:r>
          </w:p>
        </w:tc>
      </w:tr>
      <w:tr w14:paraId="3E5507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7D1FEA2D">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757" w:type="dxa"/>
            <w:tcBorders>
              <w:tl2br w:val="nil"/>
              <w:tr2bl w:val="nil"/>
            </w:tcBorders>
            <w:shd w:val="clear" w:color="auto" w:fill="auto"/>
            <w:vAlign w:val="center"/>
          </w:tcPr>
          <w:p w14:paraId="025399FC">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项目属性与核心产品</w:t>
            </w:r>
          </w:p>
        </w:tc>
        <w:tc>
          <w:tcPr>
            <w:tcW w:w="7156" w:type="dxa"/>
            <w:tcBorders>
              <w:tl2br w:val="nil"/>
              <w:tr2bl w:val="nil"/>
            </w:tcBorders>
            <w:shd w:val="clear" w:color="auto" w:fill="auto"/>
            <w:vAlign w:val="center"/>
          </w:tcPr>
          <w:p w14:paraId="428C9A4C">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货物类，单一产品或核心产品为：</w:t>
            </w:r>
            <w:r>
              <w:rPr>
                <w:rFonts w:hint="eastAsia" w:ascii="仿宋" w:hAnsi="仿宋" w:eastAsia="仿宋" w:cs="仿宋"/>
                <w:i w:val="0"/>
                <w:iCs w:val="0"/>
                <w:color w:val="auto"/>
                <w:sz w:val="24"/>
                <w:szCs w:val="24"/>
                <w:highlight w:val="none"/>
                <w:u w:val="single"/>
                <w:lang w:eastAsia="zh-CN"/>
              </w:rPr>
              <w:t>实验操作台。</w:t>
            </w:r>
          </w:p>
          <w:p w14:paraId="76E1FAA6">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pacing w:val="-12"/>
                <w:sz w:val="24"/>
                <w:szCs w:val="24"/>
                <w:lang w:val="en-US" w:eastAsia="zh-CN"/>
              </w:rPr>
              <w:t>注：如供应商提供的</w:t>
            </w:r>
            <w:r>
              <w:rPr>
                <w:rFonts w:hint="eastAsia" w:ascii="仿宋" w:hAnsi="仿宋" w:eastAsia="仿宋" w:cs="仿宋"/>
                <w:color w:val="auto"/>
                <w:sz w:val="24"/>
                <w:szCs w:val="24"/>
              </w:rPr>
              <w:t>核心产品</w:t>
            </w:r>
            <w:r>
              <w:rPr>
                <w:rFonts w:hint="eastAsia" w:ascii="仿宋" w:hAnsi="仿宋" w:eastAsia="仿宋" w:cs="仿宋"/>
                <w:color w:val="auto"/>
                <w:spacing w:val="-12"/>
                <w:sz w:val="24"/>
                <w:szCs w:val="24"/>
                <w:lang w:val="en-US" w:eastAsia="zh-CN"/>
              </w:rPr>
              <w:t>出现相同品牌，认定为一家投标人。</w:t>
            </w:r>
          </w:p>
        </w:tc>
      </w:tr>
      <w:tr w14:paraId="715D78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60CD9DE8">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757" w:type="dxa"/>
            <w:tcBorders>
              <w:tl2br w:val="nil"/>
              <w:tr2bl w:val="nil"/>
            </w:tcBorders>
            <w:shd w:val="clear" w:color="auto" w:fill="auto"/>
            <w:vAlign w:val="center"/>
          </w:tcPr>
          <w:p w14:paraId="6FFBB813">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采购标的及其对应的中小企业划分标准所属行业</w:t>
            </w:r>
          </w:p>
        </w:tc>
        <w:tc>
          <w:tcPr>
            <w:tcW w:w="7156" w:type="dxa"/>
            <w:tcBorders>
              <w:tl2br w:val="nil"/>
              <w:tr2bl w:val="nil"/>
            </w:tcBorders>
            <w:shd w:val="clear" w:color="auto" w:fill="auto"/>
            <w:vAlign w:val="center"/>
          </w:tcPr>
          <w:p w14:paraId="42D5D17E">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（1）标的：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功能教室设备仪器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工业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行业；</w:t>
            </w:r>
          </w:p>
          <w:p w14:paraId="05EB56AE">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5A2F2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06FAE1C3">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757" w:type="dxa"/>
            <w:tcBorders>
              <w:tl2br w:val="nil"/>
              <w:tr2bl w:val="nil"/>
            </w:tcBorders>
            <w:shd w:val="clear" w:color="auto" w:fill="auto"/>
            <w:vAlign w:val="center"/>
          </w:tcPr>
          <w:p w14:paraId="55538F08">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是否允许采购进口产品</w:t>
            </w:r>
          </w:p>
        </w:tc>
        <w:tc>
          <w:tcPr>
            <w:tcW w:w="7156" w:type="dxa"/>
            <w:tcBorders>
              <w:tl2br w:val="nil"/>
              <w:tr2bl w:val="nil"/>
            </w:tcBorders>
            <w:shd w:val="clear" w:color="auto" w:fill="auto"/>
            <w:vAlign w:val="center"/>
          </w:tcPr>
          <w:p w14:paraId="68E86174">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本项目不允许采购进口产品。</w:t>
            </w:r>
          </w:p>
        </w:tc>
      </w:tr>
      <w:tr w14:paraId="624500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55E83B6C">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757" w:type="dxa"/>
            <w:tcBorders>
              <w:tl2br w:val="nil"/>
              <w:tr2bl w:val="nil"/>
            </w:tcBorders>
            <w:shd w:val="clear" w:color="auto" w:fill="auto"/>
            <w:vAlign w:val="center"/>
          </w:tcPr>
          <w:p w14:paraId="1F89939A">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分包</w:t>
            </w:r>
          </w:p>
        </w:tc>
        <w:tc>
          <w:tcPr>
            <w:tcW w:w="7156" w:type="dxa"/>
            <w:tcBorders>
              <w:tl2br w:val="nil"/>
              <w:tr2bl w:val="nil"/>
            </w:tcBorders>
            <w:shd w:val="clear" w:color="auto" w:fill="auto"/>
            <w:vAlign w:val="center"/>
          </w:tcPr>
          <w:p w14:paraId="6A0EAD5D">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同意将非主体、非关键性的</w:t>
            </w:r>
            <w:r>
              <w:rPr>
                <w:rFonts w:hint="eastAsia" w:ascii="仿宋" w:hAnsi="仿宋" w:eastAsia="仿宋" w:cs="仿宋"/>
                <w:color w:val="auto"/>
                <w:sz w:val="24"/>
                <w:szCs w:val="24"/>
                <w:u w:val="single"/>
                <w:lang w:val="en-US" w:eastAsia="zh-CN"/>
              </w:rPr>
              <w:t xml:space="preserve"> / </w:t>
            </w:r>
            <w:r>
              <w:rPr>
                <w:rFonts w:hint="eastAsia" w:ascii="仿宋" w:hAnsi="仿宋" w:eastAsia="仿宋" w:cs="仿宋"/>
                <w:color w:val="auto"/>
                <w:sz w:val="24"/>
                <w:szCs w:val="24"/>
                <w:lang w:val="en-US" w:eastAsia="zh-CN"/>
              </w:rPr>
              <w:t>工作分包。</w:t>
            </w:r>
          </w:p>
        </w:tc>
      </w:tr>
      <w:tr w14:paraId="7A6670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67A6FAFD">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757" w:type="dxa"/>
            <w:tcBorders>
              <w:tl2br w:val="nil"/>
              <w:tr2bl w:val="nil"/>
            </w:tcBorders>
            <w:shd w:val="clear" w:color="auto" w:fill="auto"/>
            <w:vAlign w:val="center"/>
          </w:tcPr>
          <w:p w14:paraId="564F9EDA">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开标前答疑会或现场考察</w:t>
            </w:r>
          </w:p>
        </w:tc>
        <w:tc>
          <w:tcPr>
            <w:tcW w:w="7156" w:type="dxa"/>
            <w:tcBorders>
              <w:tl2br w:val="nil"/>
              <w:tr2bl w:val="nil"/>
            </w:tcBorders>
            <w:shd w:val="clear" w:color="auto" w:fill="auto"/>
            <w:vAlign w:val="center"/>
          </w:tcPr>
          <w:p w14:paraId="7F72455C">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不组织，投标人现场考察安全、费用等自行负责。</w:t>
            </w:r>
          </w:p>
        </w:tc>
      </w:tr>
      <w:tr w14:paraId="3F5E0E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0296ECBC">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757" w:type="dxa"/>
            <w:tcBorders>
              <w:tl2br w:val="nil"/>
              <w:tr2bl w:val="nil"/>
            </w:tcBorders>
            <w:shd w:val="clear" w:color="auto" w:fill="auto"/>
            <w:vAlign w:val="center"/>
          </w:tcPr>
          <w:p w14:paraId="517D373C">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样品提供</w:t>
            </w:r>
          </w:p>
        </w:tc>
        <w:tc>
          <w:tcPr>
            <w:tcW w:w="7156" w:type="dxa"/>
            <w:tcBorders>
              <w:tl2br w:val="nil"/>
              <w:tr2bl w:val="nil"/>
            </w:tcBorders>
            <w:shd w:val="clear" w:color="auto" w:fill="auto"/>
            <w:vAlign w:val="center"/>
          </w:tcPr>
          <w:p w14:paraId="11FCDE99">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63994648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MS Gothic" w:hAnsi="MS Gothic" w:eastAsia="仿宋" w:cs="仿宋"/>
                    <w:color w:val="auto"/>
                    <w:kern w:val="0"/>
                    <w:sz w:val="24"/>
                    <w:szCs w:val="24"/>
                    <w:lang w:val="zh-CN" w:eastAsia="zh-CN" w:bidi="zh-CN"/>
                  </w:rPr>
                  <w:t>☐</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p w14:paraId="58F485ED">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kern w:val="0"/>
                <w:sz w:val="24"/>
                <w:szCs w:val="24"/>
              </w:rPr>
            </w:pPr>
            <w:sdt>
              <w:sdtPr>
                <w:rPr>
                  <w:rFonts w:hint="eastAsia" w:ascii="仿宋" w:hAnsi="仿宋" w:eastAsia="仿宋" w:cs="仿宋"/>
                  <w:color w:val="auto"/>
                  <w:kern w:val="0"/>
                  <w:sz w:val="24"/>
                  <w:szCs w:val="24"/>
                </w:rPr>
                <w:id w:val="1026831988"/>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zh-CN" w:eastAsia="zh-CN" w:bidi="zh-CN"/>
                  </w:rPr>
                  <w:t>þ</w:t>
                </w:r>
              </w:sdtContent>
            </w:sdt>
            <w:r>
              <w:rPr>
                <w:rFonts w:hint="eastAsia" w:ascii="仿宋" w:hAnsi="仿宋" w:eastAsia="仿宋" w:cs="仿宋"/>
                <w:color w:val="auto"/>
                <w:kern w:val="0"/>
                <w:sz w:val="24"/>
                <w:szCs w:val="24"/>
              </w:rPr>
              <w:t>B要求提供，</w:t>
            </w:r>
          </w:p>
          <w:p w14:paraId="0B9511AA">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snapToGrid w:val="0"/>
                <w:color w:val="auto"/>
                <w:kern w:val="28"/>
                <w:sz w:val="24"/>
                <w:szCs w:val="24"/>
              </w:rPr>
              <w:t>样品：</w:t>
            </w:r>
            <w:r>
              <w:rPr>
                <w:rFonts w:hint="eastAsia" w:ascii="仿宋" w:hAnsi="仿宋" w:eastAsia="仿宋" w:cs="仿宋"/>
                <w:snapToGrid w:val="0"/>
                <w:color w:val="000000" w:themeColor="text1"/>
                <w:kern w:val="28"/>
                <w:sz w:val="24"/>
                <w:szCs w:val="24"/>
                <w:highlight w:val="none"/>
                <w:u w:val="single"/>
                <w14:textFill>
                  <w14:solidFill>
                    <w14:schemeClr w14:val="tx1"/>
                  </w14:solidFill>
                </w14:textFill>
              </w:rPr>
              <w:t>化学实验室：水槽柜</w:t>
            </w:r>
            <w:r>
              <w:rPr>
                <w:rFonts w:hint="eastAsia" w:ascii="仿宋" w:hAnsi="仿宋" w:eastAsia="仿宋" w:cs="仿宋"/>
                <w:color w:val="auto"/>
                <w:kern w:val="0"/>
                <w:sz w:val="24"/>
                <w:szCs w:val="24"/>
              </w:rPr>
              <w:t>；</w:t>
            </w:r>
          </w:p>
          <w:p w14:paraId="0DC0AEFB">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 xml:space="preserve"> 具体详见第三章 采购需求 </w:t>
            </w:r>
            <w:r>
              <w:rPr>
                <w:rFonts w:hint="eastAsia" w:ascii="仿宋" w:hAnsi="仿宋" w:eastAsia="仿宋" w:cs="仿宋"/>
                <w:color w:val="auto"/>
                <w:kern w:val="0"/>
                <w:sz w:val="24"/>
                <w:szCs w:val="24"/>
              </w:rPr>
              <w:t>；</w:t>
            </w:r>
          </w:p>
          <w:p w14:paraId="31CC683A">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snapToGrid w:val="0"/>
                <w:color w:val="auto"/>
                <w:kern w:val="28"/>
                <w:sz w:val="24"/>
                <w:szCs w:val="24"/>
                <w:u w:val="single"/>
              </w:rPr>
              <w:t>“第</w:t>
            </w:r>
            <w:r>
              <w:rPr>
                <w:rFonts w:hint="eastAsia" w:ascii="仿宋" w:hAnsi="仿宋" w:eastAsia="仿宋" w:cs="仿宋"/>
                <w:snapToGrid w:val="0"/>
                <w:color w:val="auto"/>
                <w:kern w:val="28"/>
                <w:sz w:val="24"/>
                <w:szCs w:val="24"/>
                <w:u w:val="single"/>
                <w:lang w:val="en-US" w:eastAsia="zh-CN"/>
              </w:rPr>
              <w:t>四</w:t>
            </w:r>
            <w:r>
              <w:rPr>
                <w:rFonts w:hint="eastAsia" w:ascii="仿宋" w:hAnsi="仿宋" w:eastAsia="仿宋" w:cs="仿宋"/>
                <w:snapToGrid w:val="0"/>
                <w:color w:val="auto"/>
                <w:kern w:val="28"/>
                <w:sz w:val="24"/>
                <w:szCs w:val="24"/>
                <w:u w:val="single"/>
              </w:rPr>
              <w:t>章 评标办法及评标标准”</w:t>
            </w:r>
            <w:r>
              <w:rPr>
                <w:rFonts w:hint="eastAsia" w:ascii="仿宋" w:hAnsi="仿宋" w:eastAsia="仿宋" w:cs="仿宋"/>
                <w:color w:val="auto"/>
                <w:kern w:val="0"/>
                <w:sz w:val="24"/>
                <w:szCs w:val="24"/>
              </w:rPr>
              <w:t>；</w:t>
            </w:r>
          </w:p>
          <w:p w14:paraId="72C676DC">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（4）是否需要随样品提交检测报告：</w:t>
            </w:r>
            <w:sdt>
              <w:sdtPr>
                <w:rPr>
                  <w:rFonts w:hint="eastAsia" w:ascii="仿宋" w:hAnsi="仿宋" w:eastAsia="仿宋" w:cs="仿宋"/>
                  <w:color w:val="auto"/>
                  <w:kern w:val="0"/>
                  <w:sz w:val="24"/>
                  <w:szCs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zh-CN" w:eastAsia="zh-CN" w:bidi="zh-CN"/>
                  </w:rPr>
                  <w:t>þ</w:t>
                </w:r>
              </w:sdtContent>
            </w:sdt>
            <w:r>
              <w:rPr>
                <w:rFonts w:hint="eastAsia" w:ascii="仿宋" w:hAnsi="仿宋" w:eastAsia="仿宋" w:cs="仿宋"/>
                <w:color w:val="auto"/>
                <w:kern w:val="0"/>
                <w:sz w:val="24"/>
                <w:szCs w:val="24"/>
              </w:rPr>
              <w:t>否；</w:t>
            </w:r>
            <w:sdt>
              <w:sdtPr>
                <w:rPr>
                  <w:rFonts w:hint="eastAsia" w:ascii="仿宋" w:hAnsi="仿宋" w:eastAsia="仿宋" w:cs="仿宋"/>
                  <w:color w:val="auto"/>
                  <w:kern w:val="0"/>
                  <w:sz w:val="24"/>
                  <w:szCs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是，检测机构的要求</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191C07EE">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（5）提供样品的时间：</w:t>
            </w:r>
            <w:r>
              <w:rPr>
                <w:rFonts w:hint="eastAsia" w:ascii="仿宋" w:hAnsi="仿宋" w:eastAsia="仿宋" w:cs="仿宋"/>
                <w:color w:val="auto"/>
                <w:sz w:val="24"/>
                <w:szCs w:val="24"/>
                <w:u w:val="single"/>
                <w:lang w:val="en-US" w:eastAsia="zh-CN"/>
              </w:rPr>
              <w:t>投标截止时间前</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提交样品</w:t>
            </w:r>
            <w:r>
              <w:rPr>
                <w:rFonts w:hint="eastAsia" w:ascii="仿宋" w:hAnsi="仿宋" w:eastAsia="仿宋" w:cs="仿宋"/>
                <w:color w:val="auto"/>
                <w:kern w:val="0"/>
                <w:sz w:val="24"/>
                <w:szCs w:val="24"/>
              </w:rPr>
              <w:t>地点：</w:t>
            </w:r>
            <w:r>
              <w:rPr>
                <w:rFonts w:hint="eastAsia" w:ascii="仿宋" w:hAnsi="仿宋" w:eastAsia="仿宋" w:cs="仿宋"/>
                <w:color w:val="auto"/>
                <w:sz w:val="24"/>
                <w:szCs w:val="24"/>
                <w:u w:val="single"/>
                <w:lang w:val="en-US" w:eastAsia="zh-CN"/>
              </w:rPr>
              <w:t>龙港市政务服务中心四楼</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；联系人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黄先生</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hint="eastAsia" w:ascii="仿宋" w:hAnsi="仿宋" w:eastAsia="仿宋" w:cs="仿宋"/>
                <w:color w:val="auto"/>
                <w:kern w:val="28"/>
                <w:sz w:val="24"/>
                <w:szCs w:val="24"/>
                <w:u w:val="single"/>
                <w:lang w:val="en-US" w:eastAsia="zh-CN"/>
              </w:rPr>
              <w:t>18267891565</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14:paraId="3ED0C996">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采购活动结束后，对于未中标人提供的样品，采购人、</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将通知未中标人在规定的时间内取回，逾期未取回的，采购人、</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不负保管义务；对于中标人提供的样品，采购人将进行保管、封存，并作为履约验收的参考。</w:t>
            </w:r>
          </w:p>
          <w:p w14:paraId="4BD70E9A">
            <w:pPr>
              <w:pStyle w:val="37"/>
              <w:keepNext w:val="0"/>
              <w:keepLines w:val="0"/>
              <w:pageBreakBefore w:val="0"/>
              <w:widowControl w:val="0"/>
              <w:kinsoku/>
              <w:wordWrap w:val="0"/>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（7）制作、运输、安装和保管样品所发生的一切费用由投标人自理。</w:t>
            </w:r>
          </w:p>
        </w:tc>
      </w:tr>
      <w:tr w14:paraId="431742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27D6BDB3">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18</w:t>
            </w:r>
          </w:p>
        </w:tc>
        <w:tc>
          <w:tcPr>
            <w:tcW w:w="1757" w:type="dxa"/>
            <w:tcBorders>
              <w:tl2br w:val="nil"/>
              <w:tr2bl w:val="nil"/>
            </w:tcBorders>
            <w:shd w:val="clear" w:color="auto" w:fill="auto"/>
            <w:vAlign w:val="center"/>
          </w:tcPr>
          <w:p w14:paraId="54080732">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产品功能演示</w:t>
            </w:r>
          </w:p>
          <w:p w14:paraId="5C2E3917">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w:t>
            </w:r>
          </w:p>
        </w:tc>
        <w:tc>
          <w:tcPr>
            <w:tcW w:w="7156" w:type="dxa"/>
            <w:tcBorders>
              <w:tl2br w:val="nil"/>
              <w:tr2bl w:val="nil"/>
            </w:tcBorders>
            <w:shd w:val="clear" w:color="auto" w:fill="auto"/>
            <w:vAlign w:val="center"/>
          </w:tcPr>
          <w:p w14:paraId="76159C03">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4747376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MS Gothic" w:hAnsi="MS Gothic" w:eastAsia="仿宋" w:cs="仿宋"/>
                    <w:color w:val="auto"/>
                    <w:kern w:val="0"/>
                    <w:sz w:val="24"/>
                    <w:szCs w:val="24"/>
                    <w:lang w:val="zh-CN" w:eastAsia="zh-CN" w:bidi="zh-CN"/>
                  </w:rPr>
                  <w:t>☐</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p w14:paraId="47DDF816">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kern w:val="0"/>
                <w:sz w:val="24"/>
                <w:szCs w:val="24"/>
              </w:rPr>
            </w:pPr>
            <w:sdt>
              <w:sdtPr>
                <w:rPr>
                  <w:rFonts w:hint="eastAsia" w:ascii="仿宋" w:hAnsi="仿宋" w:eastAsia="仿宋" w:cs="仿宋"/>
                  <w:color w:val="auto"/>
                  <w:kern w:val="0"/>
                  <w:sz w:val="24"/>
                  <w:szCs w:val="24"/>
                </w:rPr>
                <w:id w:val="147478278"/>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zh-CN" w:eastAsia="zh-CN" w:bidi="zh-CN"/>
                  </w:rPr>
                  <w:t>þ</w:t>
                </w:r>
              </w:sdtContent>
            </w:sdt>
            <w:r>
              <w:rPr>
                <w:rFonts w:hint="eastAsia" w:ascii="仿宋" w:hAnsi="仿宋" w:eastAsia="仿宋" w:cs="仿宋"/>
                <w:color w:val="auto"/>
                <w:kern w:val="0"/>
                <w:sz w:val="24"/>
                <w:szCs w:val="24"/>
              </w:rPr>
              <w:t>B要求提供，</w:t>
            </w:r>
          </w:p>
          <w:p w14:paraId="23CFE1B3">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snapToGrid w:val="0"/>
                <w:color w:val="auto"/>
                <w:kern w:val="28"/>
                <w:sz w:val="24"/>
                <w:szCs w:val="24"/>
                <w:lang w:val="en-US" w:eastAsia="zh-CN"/>
              </w:rPr>
              <w:t>演示内容</w:t>
            </w:r>
            <w:r>
              <w:rPr>
                <w:rFonts w:hint="eastAsia" w:ascii="仿宋" w:hAnsi="仿宋" w:eastAsia="仿宋" w:cs="仿宋"/>
                <w:snapToGrid w:val="0"/>
                <w:color w:val="auto"/>
                <w:kern w:val="28"/>
                <w:sz w:val="24"/>
                <w:szCs w:val="24"/>
              </w:rPr>
              <w:t>：</w:t>
            </w:r>
            <w:r>
              <w:rPr>
                <w:rFonts w:hint="eastAsia" w:ascii="仿宋" w:hAnsi="仿宋" w:eastAsia="仿宋" w:cs="仿宋"/>
                <w:snapToGrid w:val="0"/>
                <w:color w:val="auto"/>
                <w:kern w:val="28"/>
                <w:sz w:val="24"/>
                <w:szCs w:val="24"/>
                <w:u w:val="single"/>
                <w:lang w:val="en-US" w:eastAsia="zh-CN"/>
              </w:rPr>
              <w:t>具体详见</w:t>
            </w:r>
            <w:r>
              <w:rPr>
                <w:rFonts w:hint="eastAsia" w:ascii="仿宋" w:hAnsi="仿宋" w:eastAsia="仿宋" w:cs="仿宋"/>
                <w:color w:val="auto"/>
                <w:sz w:val="24"/>
                <w:szCs w:val="24"/>
                <w:u w:val="single"/>
              </w:rPr>
              <w:t>第四章 评标办法及评标标准</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产品</w:t>
            </w:r>
            <w:r>
              <w:rPr>
                <w:rFonts w:hint="eastAsia" w:ascii="仿宋" w:hAnsi="仿宋" w:eastAsia="仿宋" w:cs="仿宋"/>
                <w:color w:val="auto"/>
                <w:sz w:val="24"/>
                <w:szCs w:val="24"/>
                <w:u w:val="single"/>
                <w:lang w:eastAsia="zh-CN"/>
              </w:rPr>
              <w:t>功能演示”</w:t>
            </w:r>
            <w:r>
              <w:rPr>
                <w:rFonts w:hint="eastAsia" w:ascii="仿宋" w:hAnsi="仿宋" w:eastAsia="仿宋" w:cs="仿宋"/>
                <w:color w:val="auto"/>
                <w:sz w:val="24"/>
                <w:szCs w:val="24"/>
                <w:u w:val="single"/>
              </w:rPr>
              <w:t xml:space="preserve">内容 </w:t>
            </w:r>
            <w:r>
              <w:rPr>
                <w:rFonts w:hint="eastAsia" w:ascii="仿宋" w:hAnsi="仿宋" w:eastAsia="仿宋" w:cs="仿宋"/>
                <w:color w:val="auto"/>
                <w:kern w:val="0"/>
                <w:sz w:val="24"/>
                <w:szCs w:val="24"/>
              </w:rPr>
              <w:t>；</w:t>
            </w:r>
          </w:p>
          <w:p w14:paraId="00B8857E">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snapToGrid w:val="0"/>
                <w:color w:val="auto"/>
                <w:kern w:val="28"/>
                <w:sz w:val="24"/>
                <w:szCs w:val="24"/>
                <w:lang w:val="en-US" w:eastAsia="zh-CN"/>
              </w:rPr>
              <w:t>演示视频格式</w:t>
            </w:r>
            <w:r>
              <w:rPr>
                <w:rFonts w:hint="eastAsia" w:ascii="仿宋" w:hAnsi="仿宋" w:eastAsia="仿宋" w:cs="仿宋"/>
                <w:snapToGrid w:val="0"/>
                <w:color w:val="auto"/>
                <w:kern w:val="28"/>
                <w:sz w:val="24"/>
                <w:szCs w:val="24"/>
              </w:rPr>
              <w:t>：</w:t>
            </w:r>
            <w:r>
              <w:rPr>
                <w:rFonts w:hint="eastAsia" w:ascii="仿宋" w:hAnsi="仿宋" w:eastAsia="仿宋" w:cs="仿宋"/>
                <w:snapToGrid w:val="0"/>
                <w:color w:val="auto"/>
                <w:kern w:val="28"/>
                <w:sz w:val="24"/>
                <w:szCs w:val="24"/>
                <w:u w:val="single"/>
                <w:lang w:val="en-US" w:eastAsia="zh-CN"/>
              </w:rPr>
              <w:t>要求播放格式mp4</w:t>
            </w:r>
            <w:r>
              <w:rPr>
                <w:rFonts w:hint="eastAsia" w:ascii="仿宋" w:hAnsi="仿宋" w:eastAsia="仿宋" w:cs="仿宋"/>
                <w:color w:val="auto"/>
                <w:kern w:val="0"/>
                <w:sz w:val="24"/>
                <w:szCs w:val="24"/>
              </w:rPr>
              <w:t>；</w:t>
            </w:r>
          </w:p>
          <w:p w14:paraId="4533F9B9">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演示视频数量及时长：</w:t>
            </w:r>
            <w:r>
              <w:rPr>
                <w:rFonts w:hint="eastAsia" w:ascii="仿宋" w:hAnsi="仿宋" w:eastAsia="仿宋" w:cs="仿宋"/>
                <w:color w:val="auto"/>
                <w:kern w:val="0"/>
                <w:sz w:val="24"/>
                <w:szCs w:val="24"/>
                <w:u w:val="single"/>
                <w:lang w:val="en-US" w:eastAsia="zh-CN"/>
              </w:rPr>
              <w:t>按评分细则要求视频数量为 1个，演示时长不超过</w:t>
            </w:r>
            <w:r>
              <w:rPr>
                <w:rFonts w:hint="eastAsia" w:ascii="仿宋" w:hAnsi="仿宋" w:eastAsia="仿宋" w:cs="仿宋"/>
                <w:color w:val="0000FF"/>
                <w:kern w:val="0"/>
                <w:sz w:val="24"/>
                <w:szCs w:val="24"/>
                <w:highlight w:val="none"/>
                <w:u w:val="single"/>
                <w:lang w:val="en-US" w:eastAsia="zh-CN"/>
              </w:rPr>
              <w:t>15</w:t>
            </w:r>
            <w:r>
              <w:rPr>
                <w:rFonts w:hint="eastAsia" w:ascii="仿宋" w:hAnsi="仿宋" w:eastAsia="仿宋" w:cs="仿宋"/>
                <w:color w:val="auto"/>
                <w:kern w:val="0"/>
                <w:sz w:val="24"/>
                <w:szCs w:val="24"/>
                <w:u w:val="single"/>
                <w:lang w:val="en-US" w:eastAsia="zh-CN"/>
              </w:rPr>
              <w:t>分钟，否则超出部分不予评审</w:t>
            </w:r>
            <w:r>
              <w:rPr>
                <w:rFonts w:hint="eastAsia" w:ascii="仿宋" w:hAnsi="仿宋" w:eastAsia="仿宋" w:cs="仿宋"/>
                <w:color w:val="auto"/>
                <w:kern w:val="0"/>
                <w:sz w:val="24"/>
                <w:szCs w:val="24"/>
                <w:lang w:val="en-US" w:eastAsia="zh-CN"/>
              </w:rPr>
              <w:t>；</w:t>
            </w:r>
          </w:p>
          <w:p w14:paraId="4A5F9A3D">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存储介质</w:t>
            </w:r>
            <w:r>
              <w:rPr>
                <w:rFonts w:hint="eastAsia" w:ascii="仿宋" w:hAnsi="仿宋" w:eastAsia="仿宋" w:cs="仿宋"/>
                <w:snapToGrid w:val="0"/>
                <w:color w:val="auto"/>
                <w:kern w:val="28"/>
                <w:sz w:val="24"/>
                <w:szCs w:val="24"/>
              </w:rPr>
              <w:t>：</w:t>
            </w:r>
            <w:r>
              <w:rPr>
                <w:rFonts w:hint="eastAsia" w:ascii="仿宋" w:hAnsi="仿宋" w:eastAsia="仿宋" w:cs="仿宋"/>
                <w:snapToGrid w:val="0"/>
                <w:color w:val="auto"/>
                <w:kern w:val="28"/>
                <w:sz w:val="24"/>
                <w:szCs w:val="24"/>
                <w:u w:val="single"/>
                <w:lang w:val="en-US" w:eastAsia="zh-CN"/>
              </w:rPr>
              <w:t>U盘（可随备份投标文件存储同一U盘）</w:t>
            </w:r>
            <w:r>
              <w:rPr>
                <w:rFonts w:hint="eastAsia" w:ascii="仿宋" w:hAnsi="仿宋" w:eastAsia="仿宋" w:cs="仿宋"/>
                <w:color w:val="auto"/>
                <w:kern w:val="0"/>
                <w:sz w:val="24"/>
                <w:szCs w:val="24"/>
              </w:rPr>
              <w:t>；</w:t>
            </w:r>
          </w:p>
          <w:p w14:paraId="6A71D297">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（5）提供产品功能演示的时间：</w:t>
            </w:r>
            <w:r>
              <w:rPr>
                <w:rFonts w:hint="eastAsia" w:ascii="仿宋" w:hAnsi="仿宋" w:eastAsia="仿宋" w:cs="仿宋"/>
                <w:color w:val="auto"/>
                <w:sz w:val="24"/>
                <w:szCs w:val="24"/>
                <w:u w:val="single"/>
                <w:lang w:val="en-US" w:eastAsia="zh-CN"/>
              </w:rPr>
              <w:t>招标公告发出之日起至投标截止时间</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现场递交地点：</w:t>
            </w:r>
            <w:r>
              <w:rPr>
                <w:rFonts w:hint="eastAsia" w:ascii="仿宋" w:hAnsi="仿宋" w:eastAsia="仿宋" w:cs="仿宋"/>
                <w:color w:val="auto"/>
                <w:sz w:val="24"/>
                <w:szCs w:val="24"/>
                <w:u w:val="single"/>
                <w:lang w:val="en-US" w:eastAsia="zh-CN"/>
              </w:rPr>
              <w:t>龙港市政务服务中心四楼</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或邮寄指定</w:t>
            </w:r>
            <w:r>
              <w:rPr>
                <w:rFonts w:hint="eastAsia" w:ascii="仿宋" w:hAnsi="仿宋" w:eastAsia="仿宋" w:cs="仿宋"/>
                <w:color w:val="auto"/>
                <w:kern w:val="0"/>
                <w:sz w:val="24"/>
                <w:szCs w:val="24"/>
              </w:rPr>
              <w:t>地点：</w:t>
            </w:r>
            <w:r>
              <w:rPr>
                <w:rFonts w:hint="eastAsia" w:ascii="仿宋" w:hAnsi="仿宋" w:eastAsia="仿宋" w:cs="仿宋"/>
                <w:b w:val="0"/>
                <w:bCs w:val="0"/>
                <w:color w:val="auto"/>
                <w:sz w:val="24"/>
                <w:szCs w:val="24"/>
                <w:u w:val="single"/>
                <w:lang w:eastAsia="zh-CN"/>
              </w:rPr>
              <w:t>苍南县灵溪镇上江小区13幢1单元301室</w:t>
            </w:r>
            <w:r>
              <w:rPr>
                <w:rFonts w:hint="eastAsia" w:ascii="仿宋" w:hAnsi="仿宋" w:eastAsia="仿宋" w:cs="仿宋"/>
                <w:color w:val="auto"/>
                <w:kern w:val="0"/>
                <w:sz w:val="24"/>
                <w:szCs w:val="24"/>
              </w:rPr>
              <w:t>；联系人</w:t>
            </w: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u w:val="single"/>
                <w:lang w:val="en-US" w:eastAsia="zh-CN"/>
              </w:rPr>
              <w:t>黄先生</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hint="eastAsia" w:ascii="仿宋" w:hAnsi="仿宋" w:eastAsia="仿宋" w:cs="仿宋"/>
                <w:b w:val="0"/>
                <w:bCs w:val="0"/>
                <w:color w:val="auto"/>
                <w:sz w:val="24"/>
                <w:szCs w:val="24"/>
                <w:u w:val="single"/>
                <w:lang w:val="en-US" w:eastAsia="zh-CN"/>
              </w:rPr>
              <w:t>18267891565</w:t>
            </w:r>
            <w:r>
              <w:rPr>
                <w:rFonts w:hint="eastAsia" w:ascii="仿宋" w:hAnsi="仿宋" w:eastAsia="仿宋" w:cs="仿宋"/>
                <w:color w:val="auto"/>
                <w:sz w:val="24"/>
                <w:szCs w:val="24"/>
              </w:rPr>
              <w:t>。超过截止时间的，采购人或采购代理机构将不予接收。各供应商自行考虑邮寄在途时间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确保于响应截止时间前一天邮寄至代理机构处或响应截止时间当天现场递交。</w:t>
            </w:r>
          </w:p>
          <w:p w14:paraId="50D7EB1D">
            <w:pPr>
              <w:keepNext w:val="0"/>
              <w:keepLines w:val="0"/>
              <w:pageBreakBefore w:val="0"/>
              <w:widowControl w:val="0"/>
              <w:kinsoku/>
              <w:wordWrap w:val="0"/>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密封标记要求：投标人应确保密封的完整性和封闭性，在密封袋上标记</w:t>
            </w:r>
            <w:r>
              <w:rPr>
                <w:rFonts w:hint="eastAsia" w:ascii="仿宋" w:hAnsi="仿宋" w:eastAsia="仿宋" w:cs="仿宋"/>
                <w:color w:val="auto"/>
                <w:kern w:val="0"/>
                <w:sz w:val="24"/>
                <w:szCs w:val="24"/>
                <w:lang w:val="en-US" w:eastAsia="zh-CN"/>
              </w:rPr>
              <w:t>演示视频文件、</w:t>
            </w:r>
            <w:r>
              <w:rPr>
                <w:rFonts w:hint="eastAsia" w:ascii="仿宋" w:hAnsi="仿宋" w:eastAsia="仿宋" w:cs="仿宋"/>
                <w:color w:val="auto"/>
                <w:sz w:val="24"/>
                <w:szCs w:val="24"/>
                <w:lang w:val="en-US" w:eastAsia="zh-CN"/>
              </w:rPr>
              <w:t>投标项目名称、项目编号、投标人名称、评标时启封字样加盖投标人公章，否则不予签收</w:t>
            </w:r>
            <w:r>
              <w:rPr>
                <w:rFonts w:hint="eastAsia" w:ascii="仿宋" w:hAnsi="仿宋" w:eastAsia="仿宋" w:cs="仿宋"/>
                <w:color w:val="auto"/>
                <w:sz w:val="24"/>
                <w:szCs w:val="24"/>
              </w:rPr>
              <w:t>。</w:t>
            </w:r>
          </w:p>
          <w:p w14:paraId="77C6005B">
            <w:pPr>
              <w:pStyle w:val="37"/>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其他要求：</w:t>
            </w:r>
            <w:r>
              <w:rPr>
                <w:rFonts w:hint="eastAsia" w:ascii="仿宋" w:hAnsi="仿宋" w:eastAsia="仿宋" w:cs="仿宋"/>
                <w:color w:val="auto"/>
                <w:sz w:val="24"/>
                <w:szCs w:val="24"/>
                <w:lang w:val="en-US"/>
              </w:rPr>
              <w:t>未提交或未按要求提交产品功能演示造成的错评、漏评</w:t>
            </w:r>
            <w:r>
              <w:rPr>
                <w:rFonts w:hint="eastAsia" w:ascii="仿宋" w:hAnsi="仿宋" w:eastAsia="仿宋" w:cs="仿宋"/>
                <w:color w:val="auto"/>
                <w:sz w:val="24"/>
                <w:szCs w:val="24"/>
                <w:lang w:val="en-US" w:eastAsia="zh-CN"/>
              </w:rPr>
              <w:t>或因投标供应商制作原因导致无法播放</w:t>
            </w:r>
            <w:r>
              <w:rPr>
                <w:rFonts w:hint="eastAsia" w:ascii="仿宋" w:hAnsi="仿宋" w:eastAsia="仿宋" w:cs="仿宋"/>
                <w:color w:val="auto"/>
                <w:sz w:val="24"/>
                <w:szCs w:val="24"/>
                <w:lang w:val="en-US"/>
              </w:rPr>
              <w:t>等不利因素是</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lang w:val="en-US"/>
              </w:rPr>
              <w:t>责任，评标委员会概不负责</w:t>
            </w:r>
            <w:r>
              <w:rPr>
                <w:rFonts w:hint="eastAsia" w:ascii="仿宋" w:hAnsi="仿宋" w:eastAsia="仿宋" w:cs="仿宋"/>
                <w:color w:val="auto"/>
                <w:sz w:val="24"/>
                <w:szCs w:val="24"/>
                <w:lang w:val="en-US" w:eastAsia="zh-CN"/>
              </w:rPr>
              <w:t>，由此产生的后果由供应商自行承担。</w:t>
            </w:r>
          </w:p>
        </w:tc>
      </w:tr>
      <w:tr w14:paraId="6ADD69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vMerge w:val="restart"/>
            <w:tcBorders>
              <w:tl2br w:val="nil"/>
              <w:tr2bl w:val="nil"/>
            </w:tcBorders>
            <w:shd w:val="clear" w:color="auto" w:fill="auto"/>
            <w:vAlign w:val="center"/>
          </w:tcPr>
          <w:p w14:paraId="52C9F495">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1757" w:type="dxa"/>
            <w:vMerge w:val="restart"/>
            <w:tcBorders>
              <w:tl2br w:val="nil"/>
              <w:tr2bl w:val="nil"/>
            </w:tcBorders>
            <w:shd w:val="clear" w:color="auto" w:fill="auto"/>
            <w:vAlign w:val="center"/>
          </w:tcPr>
          <w:p w14:paraId="3F411EDD">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投标人应当提供的资格、资信证明文件</w:t>
            </w:r>
          </w:p>
        </w:tc>
        <w:tc>
          <w:tcPr>
            <w:tcW w:w="7156" w:type="dxa"/>
            <w:tcBorders>
              <w:tl2br w:val="nil"/>
              <w:tr2bl w:val="nil"/>
            </w:tcBorders>
            <w:shd w:val="clear" w:color="auto" w:fill="auto"/>
            <w:vAlign w:val="center"/>
          </w:tcPr>
          <w:p w14:paraId="393C9B0C">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w:t>
            </w:r>
            <w:r>
              <w:rPr>
                <w:rFonts w:hint="eastAsia" w:ascii="仿宋" w:hAnsi="仿宋" w:eastAsia="仿宋" w:cs="仿宋"/>
                <w:color w:val="auto"/>
                <w:sz w:val="24"/>
                <w:szCs w:val="24"/>
                <w:lang w:val="en-US" w:eastAsia="zh-CN"/>
              </w:rPr>
              <w:t>本章“三、投标”</w:t>
            </w:r>
            <w:r>
              <w:rPr>
                <w:rFonts w:hint="eastAsia" w:ascii="仿宋" w:hAnsi="仿宋" w:eastAsia="仿宋" w:cs="仿宋"/>
                <w:color w:val="auto"/>
                <w:sz w:val="24"/>
                <w:szCs w:val="24"/>
              </w:rPr>
              <w:t>。</w:t>
            </w:r>
          </w:p>
          <w:p w14:paraId="5C810353">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投标人未提供有效的资格证明文件的，视为投标人不具备招标文件中规定的资格要求，投标无效。</w:t>
            </w:r>
          </w:p>
        </w:tc>
      </w:tr>
      <w:tr w14:paraId="1E120C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vMerge w:val="continue"/>
            <w:tcBorders>
              <w:tl2br w:val="nil"/>
              <w:tr2bl w:val="nil"/>
            </w:tcBorders>
            <w:shd w:val="clear" w:color="auto" w:fill="auto"/>
            <w:vAlign w:val="center"/>
          </w:tcPr>
          <w:p w14:paraId="5BBA7CC5">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p>
        </w:tc>
        <w:tc>
          <w:tcPr>
            <w:tcW w:w="1757" w:type="dxa"/>
            <w:vMerge w:val="continue"/>
            <w:tcBorders>
              <w:tl2br w:val="nil"/>
              <w:tr2bl w:val="nil"/>
            </w:tcBorders>
            <w:shd w:val="clear" w:color="auto" w:fill="auto"/>
            <w:vAlign w:val="center"/>
          </w:tcPr>
          <w:p w14:paraId="22176EA8">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rPr>
            </w:pPr>
          </w:p>
        </w:tc>
        <w:tc>
          <w:tcPr>
            <w:tcW w:w="7156" w:type="dxa"/>
            <w:tcBorders>
              <w:tl2br w:val="nil"/>
              <w:tr2bl w:val="nil"/>
            </w:tcBorders>
            <w:shd w:val="clear" w:color="auto" w:fill="auto"/>
            <w:vAlign w:val="center"/>
          </w:tcPr>
          <w:p w14:paraId="260808E2">
            <w:pPr>
              <w:pStyle w:val="37"/>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（2）资信证明文件：根据招标文件“第</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章 评标办法及评标标准”提供。</w:t>
            </w:r>
          </w:p>
        </w:tc>
      </w:tr>
      <w:tr w14:paraId="48D28F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7908C2E0">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20</w:t>
            </w:r>
          </w:p>
        </w:tc>
        <w:tc>
          <w:tcPr>
            <w:tcW w:w="1757" w:type="dxa"/>
            <w:tcBorders>
              <w:tl2br w:val="nil"/>
              <w:tr2bl w:val="nil"/>
            </w:tcBorders>
            <w:vAlign w:val="center"/>
          </w:tcPr>
          <w:p w14:paraId="10383DBA">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节能产品、环境标志产品</w:t>
            </w:r>
          </w:p>
        </w:tc>
        <w:tc>
          <w:tcPr>
            <w:tcW w:w="7156" w:type="dxa"/>
            <w:tcBorders>
              <w:tl2br w:val="nil"/>
              <w:tr2bl w:val="nil"/>
            </w:tcBorders>
            <w:vAlign w:val="center"/>
          </w:tcPr>
          <w:p w14:paraId="6D02F9A0">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p>
        </w:tc>
      </w:tr>
      <w:tr w14:paraId="5C6D9B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71DD1452">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21</w:t>
            </w:r>
          </w:p>
        </w:tc>
        <w:tc>
          <w:tcPr>
            <w:tcW w:w="1757" w:type="dxa"/>
            <w:tcBorders>
              <w:tl2br w:val="nil"/>
              <w:tr2bl w:val="nil"/>
            </w:tcBorders>
            <w:vAlign w:val="center"/>
          </w:tcPr>
          <w:p w14:paraId="5F019BFB">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b w:val="0"/>
                <w:bCs w:val="0"/>
                <w:color w:val="auto"/>
                <w:kern w:val="0"/>
                <w:sz w:val="24"/>
                <w:szCs w:val="24"/>
                <w:highlight w:val="none"/>
              </w:rPr>
              <w:t>首台套政策</w:t>
            </w:r>
          </w:p>
        </w:tc>
        <w:tc>
          <w:tcPr>
            <w:tcW w:w="7156" w:type="dxa"/>
            <w:tcBorders>
              <w:tl2br w:val="nil"/>
              <w:tr2bl w:val="nil"/>
            </w:tcBorders>
            <w:vAlign w:val="center"/>
          </w:tcPr>
          <w:p w14:paraId="0243476B">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浙江省财政厅关于进一步加大政府采购支持中小企业力度助力扎实稳住经济的通知》（浙财采监〔2022〕8号）文件要求，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tc>
      </w:tr>
      <w:tr w14:paraId="06C83D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1B471FA8">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22</w:t>
            </w:r>
          </w:p>
        </w:tc>
        <w:tc>
          <w:tcPr>
            <w:tcW w:w="1757" w:type="dxa"/>
            <w:tcBorders>
              <w:tl2br w:val="nil"/>
              <w:tr2bl w:val="nil"/>
            </w:tcBorders>
            <w:vAlign w:val="center"/>
          </w:tcPr>
          <w:p w14:paraId="3C68EEED">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投标文件的组成</w:t>
            </w:r>
          </w:p>
        </w:tc>
        <w:tc>
          <w:tcPr>
            <w:tcW w:w="7156" w:type="dxa"/>
            <w:tcBorders>
              <w:tl2br w:val="nil"/>
              <w:tr2bl w:val="nil"/>
            </w:tcBorders>
            <w:vAlign w:val="center"/>
          </w:tcPr>
          <w:p w14:paraId="2FA16CBA">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完整的《投标文件》由“资格文件”、“报价文件”和“商务技术文件”三个部分组成。</w:t>
            </w:r>
          </w:p>
        </w:tc>
      </w:tr>
      <w:tr w14:paraId="55845B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70C5B44B">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23</w:t>
            </w:r>
          </w:p>
        </w:tc>
        <w:tc>
          <w:tcPr>
            <w:tcW w:w="1757" w:type="dxa"/>
            <w:tcBorders>
              <w:tl2br w:val="nil"/>
              <w:tr2bl w:val="nil"/>
            </w:tcBorders>
            <w:vAlign w:val="center"/>
          </w:tcPr>
          <w:p w14:paraId="0ED477F9">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投标文件的编制</w:t>
            </w:r>
          </w:p>
        </w:tc>
        <w:tc>
          <w:tcPr>
            <w:tcW w:w="7156" w:type="dxa"/>
            <w:tcBorders>
              <w:tl2br w:val="nil"/>
              <w:tr2bl w:val="nil"/>
            </w:tcBorders>
            <w:vAlign w:val="center"/>
          </w:tcPr>
          <w:p w14:paraId="14DEAC50">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（1）本项目通过“政府采购云平台（www.zcygov.cn）”实行在线投标响应（电子投标），</w:t>
            </w:r>
            <w:r>
              <w:rPr>
                <w:rFonts w:hint="eastAsia" w:ascii="仿宋" w:hAnsi="仿宋" w:eastAsia="仿宋" w:cs="仿宋"/>
                <w:b w:val="0"/>
                <w:bCs w:val="0"/>
                <w:color w:val="auto"/>
                <w:sz w:val="24"/>
                <w:szCs w:val="24"/>
                <w:highlight w:val="none"/>
                <w:lang w:val="en-US" w:eastAsia="zh-CN" w:bidi="ar"/>
              </w:rPr>
              <w:t>投标人</w:t>
            </w:r>
            <w:r>
              <w:rPr>
                <w:rFonts w:hint="eastAsia" w:ascii="仿宋" w:hAnsi="仿宋" w:eastAsia="仿宋" w:cs="仿宋"/>
                <w:b w:val="0"/>
                <w:bCs w:val="0"/>
                <w:color w:val="auto"/>
                <w:sz w:val="24"/>
                <w:szCs w:val="24"/>
                <w:highlight w:val="none"/>
                <w:lang w:bidi="ar"/>
              </w:rPr>
              <w:t>应先安装“政采云电子交易客户端”，并按照本招标文件和“政府采购云平台”的要求，通过“政采云电子交易客户端”编制并加密投标文件。</w:t>
            </w:r>
            <w:r>
              <w:rPr>
                <w:rFonts w:hint="eastAsia" w:ascii="仿宋" w:hAnsi="仿宋" w:eastAsia="仿宋" w:cs="仿宋"/>
                <w:b w:val="0"/>
                <w:bCs w:val="0"/>
                <w:color w:val="auto"/>
                <w:sz w:val="24"/>
                <w:szCs w:val="24"/>
                <w:highlight w:val="none"/>
                <w:lang w:val="en-US" w:eastAsia="zh-CN" w:bidi="ar"/>
              </w:rPr>
              <w:t>投标人</w:t>
            </w:r>
            <w:r>
              <w:rPr>
                <w:rFonts w:hint="eastAsia" w:ascii="仿宋" w:hAnsi="仿宋" w:eastAsia="仿宋" w:cs="仿宋"/>
                <w:b w:val="0"/>
                <w:bCs w:val="0"/>
                <w:color w:val="auto"/>
                <w:sz w:val="24"/>
                <w:szCs w:val="24"/>
                <w:highlight w:val="none"/>
                <w:lang w:bidi="ar"/>
              </w:rPr>
              <w:t>未按规定加密的投标文件，“政府采购云平台”将予以拒收。</w:t>
            </w:r>
          </w:p>
          <w:p w14:paraId="487F5241">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24EBC325">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（2）为确保网上操作合法、有效和安全，投标</w:t>
            </w:r>
            <w:r>
              <w:rPr>
                <w:rFonts w:hint="eastAsia" w:ascii="仿宋" w:hAnsi="仿宋" w:eastAsia="仿宋" w:cs="仿宋"/>
                <w:b w:val="0"/>
                <w:bCs w:val="0"/>
                <w:color w:val="auto"/>
                <w:sz w:val="24"/>
                <w:szCs w:val="24"/>
                <w:highlight w:val="none"/>
                <w:lang w:val="en-US" w:eastAsia="zh-CN" w:bidi="ar"/>
              </w:rPr>
              <w:t>人</w:t>
            </w:r>
            <w:r>
              <w:rPr>
                <w:rFonts w:hint="eastAsia" w:ascii="仿宋" w:hAnsi="仿宋" w:eastAsia="仿宋" w:cs="仿宋"/>
                <w:b w:val="0"/>
                <w:bCs w:val="0"/>
                <w:color w:val="auto"/>
                <w:sz w:val="24"/>
                <w:szCs w:val="24"/>
                <w:highlight w:val="none"/>
                <w:lang w:bidi="ar"/>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61221A64">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highlight w:val="none"/>
                <w:lang w:bidi="ar"/>
              </w:rPr>
              <w:t>（3）◆注意：投标</w:t>
            </w:r>
            <w:r>
              <w:rPr>
                <w:rFonts w:hint="eastAsia" w:ascii="仿宋" w:hAnsi="仿宋" w:eastAsia="仿宋" w:cs="仿宋"/>
                <w:b w:val="0"/>
                <w:bCs w:val="0"/>
                <w:color w:val="auto"/>
                <w:sz w:val="24"/>
                <w:szCs w:val="24"/>
                <w:highlight w:val="none"/>
                <w:lang w:val="en-US" w:eastAsia="zh-CN" w:bidi="ar"/>
              </w:rPr>
              <w:t>人</w:t>
            </w:r>
            <w:r>
              <w:rPr>
                <w:rFonts w:hint="eastAsia" w:ascii="仿宋" w:hAnsi="仿宋" w:eastAsia="仿宋" w:cs="仿宋"/>
                <w:b w:val="0"/>
                <w:bCs w:val="0"/>
                <w:color w:val="auto"/>
                <w:sz w:val="24"/>
                <w:szCs w:val="24"/>
                <w:highlight w:val="none"/>
                <w:lang w:bidi="ar"/>
              </w:rPr>
              <w:t>在编制电子投标文件和上传文件时需确保“政采云电子交易客户端”和“CA驱动端”为最新版本，请各投标</w:t>
            </w:r>
            <w:r>
              <w:rPr>
                <w:rFonts w:hint="eastAsia" w:ascii="仿宋" w:hAnsi="仿宋" w:eastAsia="仿宋" w:cs="仿宋"/>
                <w:b w:val="0"/>
                <w:bCs w:val="0"/>
                <w:color w:val="auto"/>
                <w:sz w:val="24"/>
                <w:szCs w:val="24"/>
                <w:highlight w:val="none"/>
                <w:lang w:val="en-US" w:eastAsia="zh-CN" w:bidi="ar"/>
              </w:rPr>
              <w:t>人</w:t>
            </w:r>
            <w:r>
              <w:rPr>
                <w:rFonts w:hint="eastAsia" w:ascii="仿宋" w:hAnsi="仿宋" w:eastAsia="仿宋" w:cs="仿宋"/>
                <w:b w:val="0"/>
                <w:bCs w:val="0"/>
                <w:color w:val="auto"/>
                <w:sz w:val="24"/>
                <w:szCs w:val="24"/>
                <w:highlight w:val="none"/>
                <w:lang w:bidi="ar"/>
              </w:rPr>
              <w:t>及时查看更新。</w:t>
            </w:r>
          </w:p>
        </w:tc>
      </w:tr>
      <w:tr w14:paraId="72D143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3DDB6AEB">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24</w:t>
            </w:r>
          </w:p>
        </w:tc>
        <w:tc>
          <w:tcPr>
            <w:tcW w:w="1757" w:type="dxa"/>
            <w:tcBorders>
              <w:tl2br w:val="nil"/>
              <w:tr2bl w:val="nil"/>
            </w:tcBorders>
            <w:vAlign w:val="center"/>
          </w:tcPr>
          <w:p w14:paraId="43C46DD1">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报价要求</w:t>
            </w:r>
          </w:p>
        </w:tc>
        <w:tc>
          <w:tcPr>
            <w:tcW w:w="7156" w:type="dxa"/>
            <w:tcBorders>
              <w:tl2br w:val="nil"/>
              <w:tr2bl w:val="nil"/>
            </w:tcBorders>
            <w:vAlign w:val="center"/>
          </w:tcPr>
          <w:p w14:paraId="052743E1">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b/>
                <w:bCs/>
                <w:color w:val="auto"/>
                <w:kern w:val="0"/>
                <w:sz w:val="24"/>
                <w:szCs w:val="24"/>
                <w:lang w:val="zh-CN"/>
              </w:rPr>
              <w:t>投标文件</w:t>
            </w:r>
            <w:r>
              <w:rPr>
                <w:rFonts w:hint="eastAsia" w:ascii="仿宋" w:hAnsi="仿宋" w:eastAsia="仿宋" w:cs="仿宋"/>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lang w:val="en-US" w:eastAsia="zh-CN"/>
              </w:rPr>
              <w:t xml:space="preserve"> </w:t>
            </w:r>
          </w:p>
          <w:p w14:paraId="3D0529CD">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投标报价出现下列情形的，投标无效：</w:t>
            </w:r>
          </w:p>
          <w:p w14:paraId="14E69120">
            <w:pPr>
              <w:keepNext w:val="0"/>
              <w:keepLines w:val="0"/>
              <w:pageBreakBefore w:val="0"/>
              <w:widowControl w:val="0"/>
              <w:kinsoku/>
              <w:wordWrap/>
              <w:overflowPunct/>
              <w:topLinePunct w:val="0"/>
              <w:autoSpaceDE w:val="0"/>
              <w:autoSpaceDN w:val="0"/>
              <w:bidi w:val="0"/>
              <w:adjustRightInd/>
              <w:snapToGrid/>
              <w:spacing w:line="400" w:lineRule="exact"/>
              <w:ind w:firstLine="241" w:firstLineChars="100"/>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投标文件出现不是唯一的、有选择性投标报价的；</w:t>
            </w:r>
          </w:p>
          <w:p w14:paraId="6663756F">
            <w:pPr>
              <w:keepNext w:val="0"/>
              <w:keepLines w:val="0"/>
              <w:pageBreakBefore w:val="0"/>
              <w:widowControl w:val="0"/>
              <w:kinsoku/>
              <w:wordWrap/>
              <w:overflowPunct/>
              <w:topLinePunct w:val="0"/>
              <w:autoSpaceDE w:val="0"/>
              <w:autoSpaceDN w:val="0"/>
              <w:bidi w:val="0"/>
              <w:adjustRightInd/>
              <w:snapToGrid/>
              <w:spacing w:line="400" w:lineRule="exact"/>
              <w:ind w:firstLine="241" w:firstLineChars="100"/>
              <w:jc w:val="left"/>
              <w:textAlignment w:val="auto"/>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投标报价超过招标文件中规定的预算金额或者最高限价的;</w:t>
            </w:r>
          </w:p>
          <w:p w14:paraId="47F2A7FF">
            <w:pPr>
              <w:keepNext w:val="0"/>
              <w:keepLines w:val="0"/>
              <w:pageBreakBefore w:val="0"/>
              <w:widowControl w:val="0"/>
              <w:kinsoku/>
              <w:wordWrap/>
              <w:overflowPunct/>
              <w:topLinePunct w:val="0"/>
              <w:autoSpaceDE w:val="0"/>
              <w:autoSpaceDN w:val="0"/>
              <w:bidi w:val="0"/>
              <w:adjustRightInd/>
              <w:snapToGrid/>
              <w:spacing w:line="400" w:lineRule="exact"/>
              <w:ind w:firstLine="241" w:firstLineChars="100"/>
              <w:textAlignment w:val="auto"/>
              <w:rPr>
                <w:rFonts w:hint="eastAsia" w:ascii="仿宋" w:hAnsi="仿宋" w:eastAsia="仿宋" w:cs="仿宋"/>
                <w:b/>
                <w:color w:val="auto"/>
                <w:sz w:val="24"/>
                <w:szCs w:val="24"/>
              </w:rPr>
            </w:pP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080F2AF5">
            <w:pPr>
              <w:pStyle w:val="37"/>
              <w:keepNext w:val="0"/>
              <w:keepLines w:val="0"/>
              <w:pageBreakBefore w:val="0"/>
              <w:widowControl w:val="0"/>
              <w:kinsoku/>
              <w:wordWrap/>
              <w:overflowPunct/>
              <w:topLinePunct w:val="0"/>
              <w:autoSpaceDE w:val="0"/>
              <w:autoSpaceDN w:val="0"/>
              <w:bidi w:val="0"/>
              <w:adjustRightInd/>
              <w:snapToGrid/>
              <w:spacing w:line="400" w:lineRule="exact"/>
              <w:ind w:firstLine="241" w:firstLineChars="100"/>
              <w:jc w:val="both"/>
              <w:textAlignment w:val="auto"/>
              <w:rPr>
                <w:rFonts w:hint="eastAsia" w:ascii="仿宋" w:hAnsi="仿宋" w:eastAsia="仿宋" w:cs="仿宋"/>
                <w:color w:val="auto"/>
                <w:sz w:val="24"/>
                <w:szCs w:val="24"/>
                <w:lang w:eastAsia="zh-CN"/>
              </w:rPr>
            </w:pPr>
            <w:r>
              <w:rPr>
                <w:rFonts w:hint="eastAsia" w:ascii="仿宋" w:hAnsi="仿宋" w:eastAsia="仿宋" w:cs="仿宋"/>
                <w:b/>
                <w:color w:val="auto"/>
                <w:kern w:val="0"/>
                <w:sz w:val="24"/>
                <w:szCs w:val="24"/>
              </w:rPr>
              <w:t>投标人对根据修正原则修正后的报价不确认的</w:t>
            </w:r>
            <w:r>
              <w:rPr>
                <w:rFonts w:hint="eastAsia" w:ascii="仿宋" w:hAnsi="仿宋" w:eastAsia="仿宋" w:cs="仿宋"/>
                <w:b/>
                <w:color w:val="auto"/>
                <w:sz w:val="24"/>
                <w:szCs w:val="24"/>
              </w:rPr>
              <w:t>。</w:t>
            </w:r>
          </w:p>
        </w:tc>
      </w:tr>
      <w:tr w14:paraId="29D0CF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1742AD64">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25</w:t>
            </w:r>
          </w:p>
        </w:tc>
        <w:tc>
          <w:tcPr>
            <w:tcW w:w="1757" w:type="dxa"/>
            <w:tcBorders>
              <w:tl2br w:val="nil"/>
              <w:tr2bl w:val="nil"/>
            </w:tcBorders>
            <w:vAlign w:val="center"/>
          </w:tcPr>
          <w:p w14:paraId="32301A5E">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中小企业信用融资</w:t>
            </w:r>
          </w:p>
        </w:tc>
        <w:tc>
          <w:tcPr>
            <w:tcW w:w="7156" w:type="dxa"/>
            <w:tcBorders>
              <w:tl2br w:val="nil"/>
              <w:tr2bl w:val="nil"/>
            </w:tcBorders>
            <w:vAlign w:val="center"/>
          </w:tcPr>
          <w:p w14:paraId="243A5FCE">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为支持和促进中小企业发展，供应商若有融资意向，可直接登录http://jinrong.zcygov.cn，查看信用融资政策文件及各相关银行服务方案，也可直接向各银行咨询相关业务。</w:t>
            </w:r>
          </w:p>
        </w:tc>
      </w:tr>
      <w:tr w14:paraId="1BA5D2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7A0848BF">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26</w:t>
            </w:r>
          </w:p>
        </w:tc>
        <w:tc>
          <w:tcPr>
            <w:tcW w:w="1757" w:type="dxa"/>
            <w:tcBorders>
              <w:tl2br w:val="nil"/>
              <w:tr2bl w:val="nil"/>
            </w:tcBorders>
            <w:vAlign w:val="center"/>
          </w:tcPr>
          <w:p w14:paraId="7C66C475">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备份投标文件送达地点和签收人员</w:t>
            </w:r>
          </w:p>
        </w:tc>
        <w:tc>
          <w:tcPr>
            <w:tcW w:w="7156" w:type="dxa"/>
            <w:tcBorders>
              <w:tl2br w:val="nil"/>
              <w:tr2bl w:val="nil"/>
            </w:tcBorders>
            <w:vAlign w:val="center"/>
          </w:tcPr>
          <w:p w14:paraId="1D4A9750">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8"/>
                <w:sz w:val="24"/>
                <w:szCs w:val="24"/>
              </w:rPr>
              <w:t>备份投标文件</w:t>
            </w:r>
            <w:r>
              <w:rPr>
                <w:rFonts w:hint="eastAsia" w:ascii="仿宋" w:hAnsi="仿宋" w:eastAsia="仿宋" w:cs="仿宋"/>
                <w:color w:val="auto"/>
                <w:kern w:val="28"/>
                <w:sz w:val="24"/>
                <w:szCs w:val="24"/>
                <w:lang w:val="en-US" w:eastAsia="zh-CN"/>
              </w:rPr>
              <w:t>寄送</w:t>
            </w:r>
            <w:r>
              <w:rPr>
                <w:rFonts w:hint="eastAsia" w:ascii="仿宋" w:hAnsi="仿宋" w:eastAsia="仿宋" w:cs="仿宋"/>
                <w:color w:val="auto"/>
                <w:kern w:val="28"/>
                <w:sz w:val="24"/>
                <w:szCs w:val="24"/>
              </w:rPr>
              <w:t>地点：</w:t>
            </w:r>
            <w:r>
              <w:rPr>
                <w:rFonts w:hint="eastAsia" w:ascii="仿宋" w:hAnsi="仿宋" w:eastAsia="仿宋" w:cs="仿宋"/>
                <w:b w:val="0"/>
                <w:bCs w:val="0"/>
                <w:color w:val="auto"/>
                <w:sz w:val="24"/>
                <w:szCs w:val="24"/>
                <w:u w:val="single"/>
                <w:lang w:eastAsia="zh-CN"/>
              </w:rPr>
              <w:t>苍南县灵溪镇上江小区13幢1单元301室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b w:val="0"/>
                <w:bCs w:val="0"/>
                <w:color w:val="auto"/>
                <w:sz w:val="24"/>
                <w:szCs w:val="24"/>
                <w:u w:val="single"/>
                <w:lang w:val="en-US" w:eastAsia="zh-CN"/>
              </w:rPr>
              <w:t>黄先生，18267891565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备份投标文件拷入U盘，数量1份，密封包装。</w:t>
            </w:r>
            <w:r>
              <w:rPr>
                <w:rFonts w:hint="eastAsia" w:ascii="仿宋" w:hAnsi="仿宋" w:eastAsia="仿宋" w:cs="仿宋"/>
                <w:color w:val="auto"/>
                <w:sz w:val="24"/>
                <w:szCs w:val="24"/>
              </w:rPr>
              <w:t>各供应商自行考虑邮寄在途时间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确保于响应截止时间前一天邮寄至代理机构处或响应截止时间当天现场递交，但不强制要求提交。逾期提交的代理机构将拒绝。</w:t>
            </w:r>
          </w:p>
          <w:p w14:paraId="3CB84022">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密封标记要求：投标人应确保密封的完整性和封闭性，在密封袋上标记</w:t>
            </w:r>
            <w:r>
              <w:rPr>
                <w:rFonts w:hint="eastAsia" w:ascii="仿宋" w:hAnsi="仿宋" w:eastAsia="仿宋" w:cs="仿宋"/>
                <w:color w:val="auto"/>
                <w:sz w:val="24"/>
                <w:szCs w:val="24"/>
                <w:lang w:val="en-US"/>
              </w:rPr>
              <w:t>备份投标文件</w:t>
            </w:r>
            <w:r>
              <w:rPr>
                <w:rFonts w:hint="eastAsia" w:ascii="仿宋" w:hAnsi="仿宋" w:eastAsia="仿宋" w:cs="仿宋"/>
                <w:color w:val="auto"/>
                <w:sz w:val="24"/>
                <w:szCs w:val="24"/>
                <w:lang w:val="en-US" w:eastAsia="zh-CN"/>
              </w:rPr>
              <w:t>、投标项目名称、项目编号、投标人名称、评标时启封字样加盖投标人公章，否则不予签收</w:t>
            </w:r>
            <w:r>
              <w:rPr>
                <w:rFonts w:hint="eastAsia" w:ascii="仿宋" w:hAnsi="仿宋" w:eastAsia="仿宋" w:cs="仿宋"/>
                <w:color w:val="auto"/>
                <w:sz w:val="24"/>
                <w:szCs w:val="24"/>
              </w:rPr>
              <w:t>。</w:t>
            </w:r>
          </w:p>
          <w:p w14:paraId="5ADF7C6C">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注：投标人务必按规定时间自行解密，若因政采云平台系统原因或者 CA 锁原因导致在规定时间内解密失败的，由代理机构在评标现场当场拆封并上传电子备份文件，若备份文件未提供或读取失败的作无效响应处理。</w:t>
            </w:r>
          </w:p>
        </w:tc>
      </w:tr>
      <w:tr w14:paraId="3BBB2E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69646579">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27</w:t>
            </w:r>
          </w:p>
        </w:tc>
        <w:tc>
          <w:tcPr>
            <w:tcW w:w="1757" w:type="dxa"/>
            <w:tcBorders>
              <w:tl2br w:val="nil"/>
              <w:tr2bl w:val="nil"/>
            </w:tcBorders>
            <w:vAlign w:val="center"/>
          </w:tcPr>
          <w:p w14:paraId="1F6B7A51">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电子加密投标文件的解密和异常情况处理</w:t>
            </w:r>
          </w:p>
        </w:tc>
        <w:tc>
          <w:tcPr>
            <w:tcW w:w="7156" w:type="dxa"/>
            <w:tcBorders>
              <w:tl2br w:val="nil"/>
              <w:tr2bl w:val="nil"/>
            </w:tcBorders>
            <w:vAlign w:val="center"/>
          </w:tcPr>
          <w:p w14:paraId="30F7F494">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（1）开标后，采购代理机构将向各投标人发出“电子加密投标文件”的解密通知，各投标人应当在接到解密通知后30分钟内自行完成“电子加密投标文件”的在线解密。</w:t>
            </w:r>
          </w:p>
          <w:p w14:paraId="60BCE749">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5EE9DB13">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pacing w:val="-2"/>
                <w:sz w:val="24"/>
                <w:szCs w:val="24"/>
                <w:lang w:val="en-US"/>
              </w:rPr>
            </w:pPr>
            <w:r>
              <w:rPr>
                <w:rFonts w:hint="eastAsia" w:ascii="仿宋" w:hAnsi="仿宋" w:eastAsia="仿宋" w:cs="仿宋"/>
                <w:color w:val="auto"/>
                <w:sz w:val="24"/>
                <w:szCs w:val="24"/>
                <w:lang w:val="en-US" w:eastAsia="zh-CN"/>
              </w:rPr>
              <w:t>（3）投标截止时间前，投标人仅递交了“备份投标文件”而未将电子加密投标文件上传至“政府采购云平台”的，投标无效。</w:t>
            </w:r>
          </w:p>
        </w:tc>
      </w:tr>
      <w:tr w14:paraId="26E8F4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66BFD703">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28</w:t>
            </w:r>
          </w:p>
        </w:tc>
        <w:tc>
          <w:tcPr>
            <w:tcW w:w="1757" w:type="dxa"/>
            <w:tcBorders>
              <w:tl2br w:val="nil"/>
              <w:tr2bl w:val="nil"/>
            </w:tcBorders>
            <w:vAlign w:val="center"/>
          </w:tcPr>
          <w:p w14:paraId="381D7BFA">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答疑与澄清</w:t>
            </w:r>
          </w:p>
        </w:tc>
        <w:tc>
          <w:tcPr>
            <w:tcW w:w="7156" w:type="dxa"/>
            <w:tcBorders>
              <w:tl2br w:val="nil"/>
              <w:tr2bl w:val="nil"/>
            </w:tcBorders>
            <w:vAlign w:val="center"/>
          </w:tcPr>
          <w:p w14:paraId="2B32A850">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pacing w:val="-2"/>
                <w:sz w:val="24"/>
                <w:szCs w:val="24"/>
                <w:lang w:val="en-US"/>
              </w:rPr>
            </w:pPr>
            <w:r>
              <w:rPr>
                <w:rFonts w:hint="eastAsia" w:ascii="仿宋" w:hAnsi="仿宋" w:eastAsia="仿宋" w:cs="仿宋"/>
                <w:color w:val="auto"/>
                <w:spacing w:val="-2"/>
                <w:sz w:val="24"/>
                <w:szCs w:val="24"/>
                <w:lang w:val="en-US"/>
              </w:rPr>
              <w:t>答疑与澄清：投标</w:t>
            </w:r>
            <w:r>
              <w:rPr>
                <w:rFonts w:hint="eastAsia" w:ascii="仿宋" w:hAnsi="仿宋" w:eastAsia="仿宋" w:cs="仿宋"/>
                <w:color w:val="auto"/>
                <w:spacing w:val="-2"/>
                <w:sz w:val="24"/>
                <w:szCs w:val="24"/>
                <w:lang w:val="en-US" w:eastAsia="zh-CN"/>
              </w:rPr>
              <w:t>人</w:t>
            </w:r>
            <w:r>
              <w:rPr>
                <w:rFonts w:hint="eastAsia" w:ascii="仿宋" w:hAnsi="仿宋" w:eastAsia="仿宋" w:cs="仿宋"/>
                <w:color w:val="auto"/>
                <w:spacing w:val="-2"/>
                <w:sz w:val="24"/>
                <w:szCs w:val="24"/>
                <w:lang w:val="en-US"/>
              </w:rPr>
              <w:t>如认为采购文件表述不清晰、存在歧视性或者其他违法内容的，应当于自获取采购文件之日或者采购文件公告期限届满之日（公告期限届满后获取采购文件的，以公告期限届满之日为准）起7个工作日内，以书面形式要求代理机构或采购人作出书面解释、澄清或者向代理机构提出书面质疑，逾期不再受理。▲</w:t>
            </w:r>
            <w:r>
              <w:rPr>
                <w:rFonts w:hint="eastAsia" w:ascii="仿宋" w:hAnsi="仿宋" w:eastAsia="仿宋" w:cs="仿宋"/>
                <w:color w:val="auto"/>
                <w:spacing w:val="-2"/>
                <w:sz w:val="24"/>
                <w:szCs w:val="24"/>
                <w:lang w:val="en-US" w:eastAsia="zh-CN"/>
              </w:rPr>
              <w:t>投标人要求解释、澄清或质疑应当一次性提出，采购</w:t>
            </w:r>
            <w:r>
              <w:rPr>
                <w:rFonts w:hint="eastAsia" w:ascii="仿宋" w:hAnsi="仿宋" w:eastAsia="仿宋" w:cs="仿宋"/>
                <w:color w:val="auto"/>
                <w:spacing w:val="-2"/>
                <w:sz w:val="24"/>
                <w:szCs w:val="24"/>
                <w:lang w:val="en-US"/>
              </w:rPr>
              <w:t>文件解释权归采购机构与采购人所有。</w:t>
            </w:r>
          </w:p>
        </w:tc>
      </w:tr>
      <w:tr w14:paraId="39850D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shd w:val="clear" w:color="auto" w:fill="auto"/>
            <w:vAlign w:val="center"/>
          </w:tcPr>
          <w:p w14:paraId="05F2508E">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rPr>
              <w:t>29</w:t>
            </w:r>
          </w:p>
        </w:tc>
        <w:tc>
          <w:tcPr>
            <w:tcW w:w="1757" w:type="dxa"/>
            <w:tcBorders>
              <w:tl2br w:val="nil"/>
              <w:tr2bl w:val="nil"/>
            </w:tcBorders>
            <w:vAlign w:val="center"/>
          </w:tcPr>
          <w:p w14:paraId="0F1714C3">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招标代理服务费</w:t>
            </w:r>
          </w:p>
        </w:tc>
        <w:tc>
          <w:tcPr>
            <w:tcW w:w="7156" w:type="dxa"/>
            <w:tcBorders>
              <w:tl2br w:val="nil"/>
              <w:tr2bl w:val="nil"/>
            </w:tcBorders>
            <w:vAlign w:val="center"/>
          </w:tcPr>
          <w:p w14:paraId="03C0A320">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中标供应商须向招标代理机构支付采购代理服务费，</w:t>
            </w:r>
            <w:r>
              <w:rPr>
                <w:rFonts w:hint="eastAsia" w:ascii="仿宋" w:hAnsi="仿宋" w:eastAsia="仿宋" w:cs="仿宋"/>
                <w:sz w:val="24"/>
                <w:szCs w:val="24"/>
                <w:highlight w:val="none"/>
              </w:rPr>
              <w:t>招标代理服务收费</w:t>
            </w:r>
            <w:r>
              <w:rPr>
                <w:rFonts w:hint="eastAsia" w:ascii="仿宋" w:hAnsi="仿宋" w:eastAsia="仿宋" w:cs="仿宋"/>
                <w:sz w:val="24"/>
                <w:szCs w:val="24"/>
                <w:highlight w:val="none"/>
                <w:lang w:eastAsia="zh-CN"/>
              </w:rPr>
              <w:t>按</w:t>
            </w:r>
            <w:r>
              <w:rPr>
                <w:rFonts w:hint="eastAsia" w:ascii="仿宋" w:hAnsi="仿宋" w:eastAsia="仿宋" w:cs="仿宋"/>
                <w:sz w:val="24"/>
                <w:szCs w:val="24"/>
                <w:highlight w:val="none"/>
              </w:rPr>
              <w:t>国家发展改革委关于进一步放开建设项目专业服务价格的通知发改价格〔2015〕299号文件</w:t>
            </w:r>
            <w:r>
              <w:rPr>
                <w:rFonts w:hint="eastAsia" w:ascii="仿宋" w:hAnsi="仿宋" w:eastAsia="仿宋" w:cs="仿宋"/>
                <w:sz w:val="24"/>
                <w:szCs w:val="24"/>
                <w:highlight w:val="none"/>
                <w:lang w:eastAsia="zh-CN"/>
              </w:rPr>
              <w:t>以</w:t>
            </w:r>
            <w:r>
              <w:rPr>
                <w:rFonts w:hint="eastAsia" w:ascii="仿宋" w:hAnsi="仿宋" w:eastAsia="仿宋" w:cs="仿宋"/>
                <w:color w:val="000000" w:themeColor="text1"/>
                <w:sz w:val="24"/>
                <w:szCs w:val="24"/>
                <w:highlight w:val="none"/>
                <w:lang w:val="en-US" w:eastAsia="zh-CN"/>
                <w14:textFill>
                  <w14:solidFill>
                    <w14:schemeClr w14:val="tx1"/>
                  </w14:solidFill>
                </w14:textFill>
              </w:rPr>
              <w:t>24146</w:t>
            </w:r>
            <w:r>
              <w:rPr>
                <w:rFonts w:hint="eastAsia" w:ascii="仿宋" w:hAnsi="仿宋" w:eastAsia="仿宋" w:cs="仿宋"/>
                <w:sz w:val="24"/>
                <w:szCs w:val="24"/>
                <w:highlight w:val="none"/>
              </w:rPr>
              <w:t>元包干</w:t>
            </w:r>
            <w:r>
              <w:rPr>
                <w:rFonts w:hint="eastAsia" w:ascii="仿宋" w:hAnsi="仿宋" w:eastAsia="仿宋" w:cs="仿宋"/>
                <w:color w:val="auto"/>
                <w:sz w:val="24"/>
                <w:szCs w:val="24"/>
              </w:rPr>
              <w:t>，招标代理服务费包含在投标总价中。</w:t>
            </w:r>
          </w:p>
        </w:tc>
      </w:tr>
      <w:tr w14:paraId="7A6EA3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745" w:type="dxa"/>
            <w:tcBorders>
              <w:tl2br w:val="nil"/>
              <w:tr2bl w:val="nil"/>
            </w:tcBorders>
            <w:vAlign w:val="center"/>
          </w:tcPr>
          <w:p w14:paraId="5C0AFB54">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757" w:type="dxa"/>
            <w:tcBorders>
              <w:tl2br w:val="nil"/>
              <w:tr2bl w:val="nil"/>
            </w:tcBorders>
            <w:vAlign w:val="center"/>
          </w:tcPr>
          <w:p w14:paraId="6442D6F6">
            <w:pPr>
              <w:pStyle w:val="37"/>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特殊说明</w:t>
            </w:r>
          </w:p>
        </w:tc>
        <w:tc>
          <w:tcPr>
            <w:tcW w:w="7156" w:type="dxa"/>
            <w:tcBorders>
              <w:tl2br w:val="nil"/>
              <w:tr2bl w:val="nil"/>
            </w:tcBorders>
            <w:vAlign w:val="center"/>
          </w:tcPr>
          <w:p w14:paraId="0E4DB5BA">
            <w:pPr>
              <w:pStyle w:val="37"/>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据浙江省财政厅《关于规范政府采购供应商资格设定及资格审查的通知》（浙财采监[2013]24号）的相关规定，金融、保险、通讯等特定行业的全国性企业所设立的区域性分支机构，以及个体工商户、个人独资企业、合伙企业，允许满足上述规定条款的供应商独立参加政府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tc>
      </w:tr>
    </w:tbl>
    <w:p w14:paraId="7AF0CDA5">
      <w:pPr>
        <w:rPr>
          <w:color w:val="auto"/>
          <w:sz w:val="24"/>
        </w:rPr>
        <w:sectPr>
          <w:footerReference r:id="rId4" w:type="default"/>
          <w:pgSz w:w="11910" w:h="16840"/>
          <w:pgMar w:top="1134" w:right="1134" w:bottom="1134" w:left="1134" w:header="0" w:footer="952" w:gutter="0"/>
          <w:pgBorders>
            <w:top w:val="none" w:sz="0" w:space="0"/>
            <w:left w:val="none" w:sz="0" w:space="0"/>
            <w:bottom w:val="none" w:sz="0" w:space="0"/>
            <w:right w:val="none" w:sz="0" w:space="0"/>
          </w:pgBorders>
          <w:pgNumType w:fmt="decimal" w:start="1"/>
          <w:cols w:equalWidth="0" w:num="1">
            <w:col w:w="10050"/>
          </w:cols>
        </w:sectPr>
      </w:pPr>
    </w:p>
    <w:p w14:paraId="6BA0346A">
      <w:pPr>
        <w:pStyle w:val="6"/>
        <w:tabs>
          <w:tab w:val="left" w:pos="2033"/>
        </w:tabs>
        <w:spacing w:line="240" w:lineRule="auto"/>
        <w:ind w:left="0" w:leftChars="0" w:right="0" w:firstLine="0" w:firstLineChars="0"/>
        <w:jc w:val="center"/>
        <w:outlineLvl w:val="1"/>
        <w:rPr>
          <w:rFonts w:ascii="仿宋" w:hAnsi="仿宋" w:eastAsia="仿宋" w:cs="仿宋"/>
          <w:b/>
          <w:bCs/>
          <w:color w:val="auto"/>
        </w:rPr>
      </w:pPr>
      <w:bookmarkStart w:id="58" w:name="一、总__则"/>
      <w:bookmarkEnd w:id="58"/>
      <w:bookmarkStart w:id="59" w:name="_Toc31457"/>
      <w:bookmarkStart w:id="60" w:name="_Toc26942"/>
      <w:bookmarkStart w:id="61" w:name="_Toc22592"/>
      <w:r>
        <w:rPr>
          <w:rFonts w:hint="eastAsia" w:ascii="仿宋" w:hAnsi="仿宋" w:eastAsia="仿宋" w:cs="仿宋"/>
          <w:b/>
          <w:bCs/>
          <w:color w:val="auto"/>
        </w:rPr>
        <w:t>一、总则</w:t>
      </w:r>
      <w:bookmarkEnd w:id="59"/>
      <w:bookmarkEnd w:id="60"/>
      <w:bookmarkEnd w:id="61"/>
    </w:p>
    <w:p w14:paraId="2093F802">
      <w:pPr>
        <w:pStyle w:val="2"/>
        <w:spacing w:line="360" w:lineRule="auto"/>
        <w:ind w:firstLine="480" w:firstLineChars="200"/>
        <w:outlineLvl w:val="2"/>
        <w:rPr>
          <w:rFonts w:ascii="仿宋" w:hAnsi="仿宋" w:eastAsia="仿宋" w:cs="仿宋"/>
          <w:color w:val="auto"/>
          <w:lang w:val="en-US"/>
        </w:rPr>
      </w:pPr>
      <w:bookmarkStart w:id="62" w:name="（一）适用范围"/>
      <w:bookmarkEnd w:id="62"/>
      <w:bookmarkStart w:id="63" w:name="_Toc19135"/>
      <w:bookmarkStart w:id="64" w:name="_Toc21393"/>
      <w:bookmarkStart w:id="65" w:name="_Toc6284"/>
      <w:r>
        <w:rPr>
          <w:rFonts w:hint="eastAsia" w:ascii="仿宋" w:hAnsi="仿宋" w:eastAsia="仿宋" w:cs="仿宋"/>
          <w:color w:val="auto"/>
          <w:lang w:val="en-US"/>
        </w:rPr>
        <w:t>（一）适用范围</w:t>
      </w:r>
      <w:bookmarkEnd w:id="63"/>
      <w:bookmarkEnd w:id="64"/>
      <w:bookmarkEnd w:id="65"/>
    </w:p>
    <w:p w14:paraId="18CB4C36">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本招标文件适用于该项目的招标、投标、开标、资格审查及信用信息查询、评标、定标、合同、验收等行为（法律、法规另有规定的，从其规定）。</w:t>
      </w:r>
    </w:p>
    <w:p w14:paraId="4AD465DF">
      <w:pPr>
        <w:pStyle w:val="2"/>
        <w:spacing w:line="360" w:lineRule="auto"/>
        <w:ind w:firstLine="480" w:firstLineChars="200"/>
        <w:outlineLvl w:val="2"/>
        <w:rPr>
          <w:rFonts w:ascii="仿宋" w:hAnsi="仿宋" w:eastAsia="仿宋" w:cs="仿宋"/>
          <w:color w:val="auto"/>
          <w:lang w:val="en-US"/>
        </w:rPr>
      </w:pPr>
      <w:bookmarkStart w:id="66" w:name="（二）定义"/>
      <w:bookmarkEnd w:id="66"/>
      <w:bookmarkStart w:id="67" w:name="_Toc27280"/>
      <w:bookmarkStart w:id="68" w:name="_Toc7060"/>
      <w:bookmarkStart w:id="69" w:name="_Toc8465"/>
      <w:r>
        <w:rPr>
          <w:rFonts w:hint="eastAsia" w:ascii="仿宋" w:hAnsi="仿宋" w:eastAsia="仿宋" w:cs="仿宋"/>
          <w:color w:val="auto"/>
          <w:lang w:val="en-US"/>
        </w:rPr>
        <w:t>（二）定义及解释</w:t>
      </w:r>
      <w:bookmarkEnd w:id="67"/>
      <w:bookmarkEnd w:id="68"/>
      <w:bookmarkEnd w:id="69"/>
    </w:p>
    <w:p w14:paraId="4C8E9247">
      <w:pPr>
        <w:pStyle w:val="36"/>
        <w:tabs>
          <w:tab w:val="left" w:pos="1313"/>
        </w:tabs>
        <w:spacing w:line="360" w:lineRule="auto"/>
        <w:ind w:left="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1.“采购人/采购单位”系指按政府采购法有关规定，提出招标项目、进行招标的</w:t>
      </w:r>
      <w:r>
        <w:rPr>
          <w:rFonts w:hint="eastAsia" w:ascii="仿宋" w:hAnsi="仿宋" w:eastAsia="仿宋" w:cs="仿宋"/>
          <w:color w:val="auto"/>
          <w:sz w:val="24"/>
          <w:szCs w:val="24"/>
          <w:lang w:val="en-US" w:eastAsia="zh-CN"/>
        </w:rPr>
        <w:t>龙港市世纪中学</w:t>
      </w:r>
      <w:r>
        <w:rPr>
          <w:rFonts w:hint="eastAsia" w:ascii="仿宋" w:hAnsi="仿宋" w:eastAsia="仿宋" w:cs="仿宋"/>
          <w:color w:val="auto"/>
          <w:sz w:val="24"/>
          <w:szCs w:val="24"/>
          <w:lang w:val="en-US"/>
        </w:rPr>
        <w:t>。</w:t>
      </w:r>
    </w:p>
    <w:p w14:paraId="67D9FCC4">
      <w:pPr>
        <w:pStyle w:val="36"/>
        <w:tabs>
          <w:tab w:val="left" w:pos="1313"/>
        </w:tabs>
        <w:spacing w:line="360" w:lineRule="auto"/>
        <w:ind w:left="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2.“采购代理机构/招标代理机构”指依法受采购人委托，组织本次招标的</w:t>
      </w:r>
      <w:r>
        <w:rPr>
          <w:rFonts w:hint="eastAsia" w:ascii="仿宋" w:hAnsi="仿宋" w:eastAsia="仿宋" w:cs="仿宋"/>
          <w:color w:val="auto"/>
          <w:sz w:val="24"/>
          <w:szCs w:val="24"/>
          <w:lang w:val="en-US" w:eastAsia="zh-CN"/>
        </w:rPr>
        <w:t>浙江东瓯工程造价咨询有限公司</w:t>
      </w:r>
      <w:r>
        <w:rPr>
          <w:rFonts w:hint="eastAsia" w:ascii="仿宋" w:hAnsi="仿宋" w:eastAsia="仿宋" w:cs="仿宋"/>
          <w:color w:val="auto"/>
          <w:sz w:val="24"/>
          <w:szCs w:val="24"/>
          <w:lang w:val="en-US"/>
        </w:rPr>
        <w:t>。</w:t>
      </w:r>
    </w:p>
    <w:p w14:paraId="2315EDF7">
      <w:pPr>
        <w:pStyle w:val="36"/>
        <w:tabs>
          <w:tab w:val="left" w:pos="1313"/>
        </w:tabs>
        <w:spacing w:line="360" w:lineRule="auto"/>
        <w:ind w:left="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3.“投标人/投标供应商</w:t>
      </w:r>
      <w:r>
        <w:rPr>
          <w:rFonts w:hint="eastAsia" w:ascii="仿宋" w:hAnsi="仿宋" w:eastAsia="仿宋" w:cs="仿宋"/>
          <w:color w:val="auto"/>
          <w:sz w:val="24"/>
          <w:szCs w:val="24"/>
          <w:lang w:val="en-US" w:eastAsia="zh-CN"/>
        </w:rPr>
        <w:t>/投标单位</w:t>
      </w:r>
      <w:r>
        <w:rPr>
          <w:rFonts w:hint="eastAsia" w:ascii="仿宋" w:hAnsi="仿宋" w:eastAsia="仿宋" w:cs="仿宋"/>
          <w:color w:val="auto"/>
          <w:sz w:val="24"/>
          <w:szCs w:val="24"/>
          <w:lang w:val="en-US"/>
        </w:rPr>
        <w:t>”系</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响应招标、参加投标竞争的法人、其他组织或者自然人。</w:t>
      </w:r>
    </w:p>
    <w:p w14:paraId="661899F9">
      <w:pPr>
        <w:pStyle w:val="36"/>
        <w:tabs>
          <w:tab w:val="left" w:pos="1313"/>
        </w:tabs>
        <w:spacing w:line="360" w:lineRule="auto"/>
        <w:ind w:left="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4.“负责人”系指法人企业的法定负责人，或其他组织为法律、行政法规规定代表单位行使职权的主要负责人，或自然人本人</w:t>
      </w:r>
    </w:p>
    <w:p w14:paraId="75EF4179">
      <w:pPr>
        <w:pStyle w:val="36"/>
        <w:tabs>
          <w:tab w:val="left" w:pos="1313"/>
        </w:tabs>
        <w:spacing w:line="360" w:lineRule="auto"/>
        <w:ind w:left="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rPr>
        <w:t>.“中标人/中标供应商/中标单位”系指经评标委员会推荐并经采购人确认的中标成交单位。</w:t>
      </w:r>
    </w:p>
    <w:p w14:paraId="464A3A5E">
      <w:pPr>
        <w:pStyle w:val="36"/>
        <w:tabs>
          <w:tab w:val="left" w:pos="1313"/>
        </w:tabs>
        <w:spacing w:line="360" w:lineRule="auto"/>
        <w:ind w:left="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en-US"/>
        </w:rPr>
        <w:t>.“评标委员会”系指依《政府采购法》组建的专门负责采购评审工作的临时性机构。</w:t>
      </w:r>
    </w:p>
    <w:p w14:paraId="7B228952">
      <w:pPr>
        <w:pStyle w:val="36"/>
        <w:tabs>
          <w:tab w:val="left" w:pos="1313"/>
        </w:tabs>
        <w:spacing w:line="360" w:lineRule="auto"/>
        <w:ind w:left="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en-US"/>
        </w:rPr>
        <w:t>.“日期”：系指公历日；“时间”：系指北京时间。</w:t>
      </w:r>
    </w:p>
    <w:p w14:paraId="5BE20728">
      <w:pPr>
        <w:pStyle w:val="36"/>
        <w:tabs>
          <w:tab w:val="left" w:pos="1313"/>
        </w:tabs>
        <w:spacing w:line="360" w:lineRule="auto"/>
        <w:ind w:left="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en-US"/>
        </w:rPr>
        <w:t>.“合同”：系指由采购所产生的合同或合约文件。</w:t>
      </w:r>
    </w:p>
    <w:p w14:paraId="6D5FE8CA">
      <w:pPr>
        <w:pStyle w:val="36"/>
        <w:keepNext w:val="0"/>
        <w:keepLines w:val="0"/>
        <w:pageBreakBefore w:val="0"/>
        <w:widowControl w:val="0"/>
        <w:tabs>
          <w:tab w:val="left" w:pos="1313"/>
        </w:tabs>
        <w:kinsoku/>
        <w:wordWrap w:val="0"/>
        <w:overflowPunct/>
        <w:topLinePunct w:val="0"/>
        <w:autoSpaceDE w:val="0"/>
        <w:autoSpaceDN w:val="0"/>
        <w:bidi w:val="0"/>
        <w:adjustRightInd/>
        <w:snapToGrid/>
        <w:spacing w:line="360" w:lineRule="auto"/>
        <w:ind w:left="0" w:firstLineChars="200"/>
        <w:textAlignment w:val="auto"/>
        <w:rPr>
          <w:rFonts w:ascii="仿宋" w:hAnsi="仿宋" w:eastAsia="仿宋" w:cs="仿宋"/>
          <w:color w:val="auto"/>
          <w:sz w:val="24"/>
          <w:szCs w:val="24"/>
          <w:lang w:val="en-US"/>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en-US"/>
        </w:rPr>
        <w:t>.“书面形式”：系指任何手写的、打印的或印刷的加盖公章的文件，包括电报和传真发送。</w:t>
      </w:r>
    </w:p>
    <w:p w14:paraId="69DC9898">
      <w:pPr>
        <w:pStyle w:val="36"/>
        <w:keepNext w:val="0"/>
        <w:keepLines w:val="0"/>
        <w:pageBreakBefore w:val="0"/>
        <w:widowControl w:val="0"/>
        <w:tabs>
          <w:tab w:val="left" w:pos="1313"/>
        </w:tabs>
        <w:kinsoku/>
        <w:wordWrap w:val="0"/>
        <w:overflowPunct/>
        <w:topLinePunct w:val="0"/>
        <w:autoSpaceDE w:val="0"/>
        <w:autoSpaceDN w:val="0"/>
        <w:bidi w:val="0"/>
        <w:adjustRightInd/>
        <w:snapToGrid/>
        <w:spacing w:line="360" w:lineRule="auto"/>
        <w:ind w:left="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en-US"/>
        </w:rPr>
        <w:t>.“采购文件/招标文件/</w:t>
      </w:r>
      <w:r>
        <w:rPr>
          <w:rFonts w:hint="eastAsia" w:ascii="仿宋" w:hAnsi="仿宋" w:eastAsia="仿宋" w:cs="仿宋"/>
          <w:color w:val="auto"/>
          <w:sz w:val="24"/>
          <w:szCs w:val="24"/>
          <w:lang w:val="en-US" w:eastAsia="zh-CN"/>
        </w:rPr>
        <w:t>公开招标</w:t>
      </w:r>
      <w:r>
        <w:rPr>
          <w:rFonts w:hint="eastAsia" w:ascii="仿宋" w:hAnsi="仿宋" w:eastAsia="仿宋" w:cs="仿宋"/>
          <w:color w:val="auto"/>
          <w:sz w:val="24"/>
          <w:szCs w:val="24"/>
          <w:lang w:val="en-US"/>
        </w:rPr>
        <w:t>采购文件”：均指本文件。</w:t>
      </w:r>
    </w:p>
    <w:p w14:paraId="4A0487C8">
      <w:pPr>
        <w:pStyle w:val="36"/>
        <w:keepNext w:val="0"/>
        <w:keepLines w:val="0"/>
        <w:pageBreakBefore w:val="0"/>
        <w:widowControl w:val="0"/>
        <w:tabs>
          <w:tab w:val="left" w:pos="1313"/>
        </w:tabs>
        <w:kinsoku/>
        <w:wordWrap w:val="0"/>
        <w:overflowPunct/>
        <w:topLinePunct w:val="0"/>
        <w:autoSpaceDE w:val="0"/>
        <w:autoSpaceDN w:val="0"/>
        <w:bidi w:val="0"/>
        <w:adjustRightInd/>
        <w:snapToGrid/>
        <w:spacing w:line="360" w:lineRule="auto"/>
        <w:ind w:left="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11.电子交易平台”系指本项目政府采购活动所依托的政府采购云平台（https://www.zcygov.cn/）。</w:t>
      </w:r>
    </w:p>
    <w:p w14:paraId="12D2E871">
      <w:pPr>
        <w:pStyle w:val="36"/>
        <w:tabs>
          <w:tab w:val="left" w:pos="1313"/>
        </w:tabs>
        <w:spacing w:line="360" w:lineRule="auto"/>
        <w:ind w:left="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val="en-US"/>
        </w:rPr>
        <w:t>.招标文件中的标题或题名仅起引导作用，而不应视为对招标文件内容的理解和解释。</w:t>
      </w:r>
    </w:p>
    <w:p w14:paraId="43854A33">
      <w:pPr>
        <w:pStyle w:val="2"/>
        <w:spacing w:line="360" w:lineRule="auto"/>
        <w:ind w:firstLine="480" w:firstLineChars="200"/>
        <w:outlineLvl w:val="2"/>
        <w:rPr>
          <w:rFonts w:ascii="仿宋" w:hAnsi="仿宋" w:eastAsia="仿宋" w:cs="仿宋"/>
          <w:color w:val="auto"/>
        </w:rPr>
      </w:pPr>
      <w:bookmarkStart w:id="70" w:name="（三）磋商委托"/>
      <w:bookmarkEnd w:id="70"/>
      <w:bookmarkStart w:id="71" w:name="_Toc1102"/>
      <w:bookmarkStart w:id="72" w:name="_Toc3920"/>
      <w:bookmarkStart w:id="73" w:name="_Toc5940"/>
      <w:r>
        <w:rPr>
          <w:rFonts w:hint="eastAsia" w:ascii="仿宋" w:hAnsi="仿宋" w:eastAsia="仿宋" w:cs="仿宋"/>
          <w:color w:val="auto"/>
        </w:rPr>
        <w:t>（三）</w:t>
      </w:r>
      <w:r>
        <w:rPr>
          <w:rFonts w:hint="eastAsia" w:ascii="仿宋" w:hAnsi="仿宋" w:eastAsia="仿宋" w:cs="仿宋"/>
          <w:color w:val="auto"/>
          <w:lang w:val="en-US"/>
        </w:rPr>
        <w:t>开标</w:t>
      </w:r>
      <w:r>
        <w:rPr>
          <w:rFonts w:hint="eastAsia" w:ascii="仿宋" w:hAnsi="仿宋" w:eastAsia="仿宋" w:cs="仿宋"/>
          <w:color w:val="auto"/>
        </w:rPr>
        <w:t>委托</w:t>
      </w:r>
      <w:bookmarkEnd w:id="71"/>
      <w:bookmarkEnd w:id="72"/>
      <w:bookmarkEnd w:id="73"/>
    </w:p>
    <w:p w14:paraId="1D4BDFF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rPr>
        <w:t>人</w:t>
      </w:r>
      <w:r>
        <w:rPr>
          <w:rFonts w:hint="eastAsia" w:ascii="仿宋" w:hAnsi="仿宋" w:eastAsia="仿宋" w:cs="仿宋"/>
          <w:color w:val="auto"/>
          <w:sz w:val="24"/>
          <w:szCs w:val="24"/>
        </w:rPr>
        <w:t>的法定代表人可以授权其单位的其他在职员工全权代表其处理与本次投标有关的事项，但其授权代表必须持有法定代表人出具的《法定代表人授权委托书》，《法定代表人授权委托书》必须经法定代表人签字（或盖章），否则视为无效授权（等同未提供）。</w:t>
      </w:r>
    </w:p>
    <w:p w14:paraId="19FD7A1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本项目无须投标人到场参加</w:t>
      </w:r>
      <w:r>
        <w:rPr>
          <w:rFonts w:hint="eastAsia" w:ascii="仿宋" w:hAnsi="仿宋" w:eastAsia="仿宋" w:cs="仿宋"/>
          <w:color w:val="auto"/>
          <w:sz w:val="24"/>
          <w:szCs w:val="24"/>
          <w:lang w:val="en-US"/>
        </w:rPr>
        <w:t>开标</w:t>
      </w:r>
      <w:r>
        <w:rPr>
          <w:rFonts w:hint="eastAsia" w:ascii="仿宋" w:hAnsi="仿宋" w:eastAsia="仿宋" w:cs="仿宋"/>
          <w:color w:val="auto"/>
          <w:sz w:val="24"/>
          <w:szCs w:val="24"/>
        </w:rPr>
        <w:t>会议。</w:t>
      </w:r>
    </w:p>
    <w:p w14:paraId="7DB0450A">
      <w:pPr>
        <w:pStyle w:val="2"/>
        <w:spacing w:line="360" w:lineRule="auto"/>
        <w:ind w:firstLine="480" w:firstLineChars="200"/>
        <w:outlineLvl w:val="2"/>
        <w:rPr>
          <w:rFonts w:ascii="仿宋" w:hAnsi="仿宋" w:eastAsia="仿宋" w:cs="仿宋"/>
          <w:color w:val="auto"/>
          <w:lang w:val="en-US"/>
        </w:rPr>
      </w:pPr>
      <w:bookmarkStart w:id="74" w:name="（四）投标费用"/>
      <w:bookmarkEnd w:id="74"/>
      <w:bookmarkStart w:id="75" w:name="_Toc15656"/>
      <w:bookmarkStart w:id="76" w:name="_Toc487"/>
      <w:bookmarkStart w:id="77" w:name="_Toc18119"/>
      <w:r>
        <w:rPr>
          <w:rFonts w:hint="eastAsia" w:ascii="仿宋" w:hAnsi="仿宋" w:eastAsia="仿宋" w:cs="仿宋"/>
          <w:color w:val="auto"/>
          <w:lang w:val="en-US"/>
        </w:rPr>
        <w:t>（四）投标费用</w:t>
      </w:r>
      <w:bookmarkEnd w:id="75"/>
      <w:bookmarkEnd w:id="76"/>
      <w:bookmarkEnd w:id="77"/>
    </w:p>
    <w:p w14:paraId="3DF8D52A">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不论采购结果如何，投标人均应自行承担所有与投标有关的全部费用（采购文件有其他规定的除外）。</w:t>
      </w:r>
    </w:p>
    <w:p w14:paraId="0269D824">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合同实施过程中，中标供应商须与采购人积极配合。中标供应商自行承担本次采购活动中所发生的全部费用。</w:t>
      </w:r>
    </w:p>
    <w:p w14:paraId="157DF52E">
      <w:pPr>
        <w:pStyle w:val="2"/>
        <w:spacing w:line="360" w:lineRule="auto"/>
        <w:ind w:firstLine="480" w:firstLineChars="200"/>
        <w:outlineLvl w:val="2"/>
        <w:rPr>
          <w:rFonts w:ascii="仿宋" w:hAnsi="仿宋" w:eastAsia="仿宋" w:cs="仿宋"/>
          <w:color w:val="auto"/>
          <w:lang w:val="en-US"/>
        </w:rPr>
      </w:pPr>
      <w:bookmarkStart w:id="78" w:name="（五）特别说明："/>
      <w:bookmarkEnd w:id="78"/>
      <w:bookmarkStart w:id="79" w:name="_Toc9543"/>
      <w:bookmarkStart w:id="80" w:name="_Toc3222"/>
      <w:bookmarkStart w:id="81" w:name="_Toc9705"/>
      <w:r>
        <w:rPr>
          <w:rFonts w:hint="eastAsia" w:ascii="仿宋" w:hAnsi="仿宋" w:eastAsia="仿宋" w:cs="仿宋"/>
          <w:color w:val="auto"/>
          <w:lang w:val="en-US"/>
        </w:rPr>
        <w:t>（五）特别说明</w:t>
      </w:r>
      <w:bookmarkEnd w:id="79"/>
      <w:bookmarkEnd w:id="80"/>
      <w:bookmarkEnd w:id="81"/>
    </w:p>
    <w:p w14:paraId="219E1C6B">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1.投标人应仔细阅读采购文件的所有内容，按照</w:t>
      </w:r>
      <w:r>
        <w:rPr>
          <w:rFonts w:hint="eastAsia" w:ascii="仿宋" w:hAnsi="仿宋" w:eastAsia="仿宋" w:cs="仿宋"/>
          <w:color w:val="auto"/>
          <w:lang w:val="en-US" w:eastAsia="zh-CN"/>
        </w:rPr>
        <w:t>招标文件</w:t>
      </w:r>
      <w:r>
        <w:rPr>
          <w:rFonts w:hint="eastAsia" w:ascii="仿宋" w:hAnsi="仿宋" w:eastAsia="仿宋" w:cs="仿宋"/>
          <w:color w:val="auto"/>
          <w:lang w:val="en-US"/>
        </w:rPr>
        <w:t>的要求提交投标文件，并对所提供的全部资料的真实性承担法律责任。</w:t>
      </w:r>
    </w:p>
    <w:p w14:paraId="5EB87F1F">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2.投标人在投标活动中提供任何虚假材料，其投标无效，并报监管部门查处；中标后发现的，中标人须根据《中华人民共和国政府采购法》第七十七条第一款第一项之规定，处以招标金额千分之五以上千分之十以下的罚款，列入不良行为记录名单，在一至三年内禁止参加政府采购活动，有违法所得的，并处没收违法所得，情节严重的，由工商行政管理</w:t>
      </w:r>
      <w:r>
        <w:rPr>
          <w:rFonts w:hint="eastAsia" w:ascii="仿宋" w:hAnsi="仿宋" w:eastAsia="仿宋" w:cs="仿宋"/>
          <w:color w:val="auto"/>
          <w:lang w:val="en-US" w:eastAsia="zh-CN"/>
        </w:rPr>
        <w:t>机关</w:t>
      </w:r>
      <w:r>
        <w:rPr>
          <w:rFonts w:hint="eastAsia" w:ascii="仿宋" w:hAnsi="仿宋" w:eastAsia="仿宋" w:cs="仿宋"/>
          <w:color w:val="auto"/>
          <w:lang w:val="en-US"/>
        </w:rPr>
        <w:t>吊销营业执照；构成犯罪的，依法追究刑事责任。</w:t>
      </w:r>
    </w:p>
    <w:p w14:paraId="23FA0B0C">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3.投标人不得相互串通投标报价，不得妨碍其他投标人的公平竞争，不得损害采购人或其他投标人的合法权益，投标人不得以向采购人、评标委员会成员行贿或者采取其他不正当手段谋取中标。</w:t>
      </w:r>
    </w:p>
    <w:p w14:paraId="0C62DA8F">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4.政府采购节能环保产品：</w:t>
      </w:r>
    </w:p>
    <w:p w14:paraId="73CC8EA5">
      <w:pPr>
        <w:pStyle w:val="2"/>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（1）节能环保要求：</w:t>
      </w:r>
    </w:p>
    <w:p w14:paraId="4498CA2C">
      <w:pPr>
        <w:pStyle w:val="2"/>
        <w:spacing w:line="360" w:lineRule="auto"/>
        <w:ind w:firstLine="480" w:firstLineChars="200"/>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根据财政部、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注：在最新一期节能产品品目清单发布之后开展的政府采购活动，执行最新一期节能清单。在此之前已经开展但尚未进入评审环节的政府采购活动，执行上期或最新一期品目清单。▲本项目如需采购节能品目清单中的政府强制采购的节能产品的，必须以强制采购的品目清单内产品投标，投标人未按要求提供品目清单内的节能产品或相关证明，投标无效。</w:t>
      </w:r>
    </w:p>
    <w:p w14:paraId="2FE73A47">
      <w:pPr>
        <w:pStyle w:val="2"/>
        <w:spacing w:line="360" w:lineRule="auto"/>
        <w:ind w:firstLine="480" w:firstLineChars="200"/>
        <w:rPr>
          <w:rFonts w:hint="default" w:ascii="仿宋" w:hAnsi="仿宋" w:eastAsia="仿宋" w:cs="仿宋"/>
          <w:color w:val="auto"/>
          <w:lang w:val="en-US" w:eastAsia="zh-CN"/>
        </w:rPr>
      </w:pPr>
      <w:r>
        <w:rPr>
          <w:rFonts w:hint="eastAsia" w:ascii="仿宋" w:hAnsi="仿宋" w:eastAsia="仿宋" w:cs="仿宋"/>
          <w:color w:val="auto"/>
          <w:lang w:val="en-US" w:eastAsia="zh-CN"/>
        </w:rPr>
        <w:t>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4603E7B1">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eastAsia="zh-CN"/>
        </w:rPr>
        <w:t>5</w:t>
      </w:r>
      <w:r>
        <w:rPr>
          <w:rFonts w:hint="eastAsia" w:ascii="仿宋" w:hAnsi="仿宋" w:eastAsia="仿宋" w:cs="仿宋"/>
          <w:color w:val="auto"/>
          <w:lang w:val="en-US"/>
        </w:rPr>
        <w:t>.</w:t>
      </w:r>
      <w:r>
        <w:rPr>
          <w:rFonts w:hint="eastAsia" w:ascii="仿宋" w:hAnsi="仿宋" w:eastAsia="仿宋" w:cs="仿宋"/>
          <w:color w:val="auto"/>
          <w:lang w:val="en-US" w:eastAsia="zh-CN"/>
        </w:rPr>
        <w:t>支持中小企业发展</w:t>
      </w:r>
    </w:p>
    <w:p w14:paraId="0793D017">
      <w:pPr>
        <w:numPr>
          <w:ilvl w:val="0"/>
          <w:numId w:val="0"/>
        </w:num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4CA5D4CC">
      <w:pPr>
        <w:numPr>
          <w:ilvl w:val="0"/>
          <w:numId w:val="0"/>
        </w:num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符合中小企业划分标准的个体工商户，在政府采购活动中视同中小企业。</w:t>
      </w:r>
    </w:p>
    <w:p w14:paraId="76C53650">
      <w:pPr>
        <w:numPr>
          <w:ilvl w:val="0"/>
          <w:numId w:val="0"/>
        </w:num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7B7224C">
      <w:pPr>
        <w:numPr>
          <w:ilvl w:val="0"/>
          <w:numId w:val="0"/>
        </w:num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以联合体形式参加政府采购活动，联合体各方均为中小企业的，联合体视同中小企业。其中，联合体各方均为小微企业的，联合体视同小微企业。</w:t>
      </w:r>
    </w:p>
    <w:p w14:paraId="248E0519">
      <w:pPr>
        <w:numPr>
          <w:ilvl w:val="0"/>
          <w:numId w:val="0"/>
        </w:num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（3）根据《政府采购促进中小企业发展管理办法》（财库〔2020〕46 号）、中小企业划型标准规定参照《关于印发中小企业划型标准规定的通知》（工信部联企业[2011]300号）、《浙江省财政厅关于进一步发挥政府采购政策功能全力推动经济稳进提质的通知》（浙财采监〔2022〕3号）相关规定，在评审时对小型和微型企业的投标报价给予</w:t>
      </w:r>
      <w:r>
        <w:rPr>
          <w:rFonts w:hint="eastAsia" w:ascii="仿宋" w:hAnsi="仿宋" w:eastAsia="仿宋" w:cs="仿宋"/>
          <w:b/>
          <w:bCs/>
          <w:color w:val="auto"/>
          <w:sz w:val="24"/>
          <w:szCs w:val="24"/>
          <w:lang w:val="en-US" w:eastAsia="zh-CN"/>
        </w:rPr>
        <w:t>10%</w:t>
      </w:r>
      <w:r>
        <w:rPr>
          <w:rFonts w:hint="eastAsia" w:ascii="仿宋" w:hAnsi="仿宋" w:eastAsia="仿宋" w:cs="仿宋"/>
          <w:b w:val="0"/>
          <w:bCs w:val="0"/>
          <w:color w:val="auto"/>
          <w:sz w:val="24"/>
          <w:szCs w:val="24"/>
          <w:lang w:val="en-US" w:eastAsia="zh-CN"/>
        </w:rPr>
        <w:t>的扣除，取扣除后的价格作为最终投标报价（此最终投标报价仅作为价格分计算）。</w:t>
      </w:r>
    </w:p>
    <w:p w14:paraId="2EAD1D86">
      <w:pPr>
        <w:numPr>
          <w:ilvl w:val="0"/>
          <w:numId w:val="0"/>
        </w:num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（4）符合《关于促进残疾人就业政府采购政策的通知》（财库〔2017〕141号）规定的条件并提供《残疾人福利性单位声明函》的残疾人福利性单位视同小型、微型企业。</w:t>
      </w:r>
    </w:p>
    <w:p w14:paraId="2DF1AF50">
      <w:pPr>
        <w:numPr>
          <w:ilvl w:val="0"/>
          <w:numId w:val="0"/>
        </w:num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0CD5990E">
      <w:pPr>
        <w:numPr>
          <w:ilvl w:val="0"/>
          <w:numId w:val="0"/>
        </w:num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E8B976">
      <w:pPr>
        <w:numPr>
          <w:ilvl w:val="0"/>
          <w:numId w:val="0"/>
        </w:numPr>
        <w:spacing w:line="360" w:lineRule="auto"/>
        <w:ind w:firstLine="480" w:firstLineChars="200"/>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（7）本项目所属行业为工业，行业规模划分标准详见“投标须知前附表”。</w:t>
      </w:r>
    </w:p>
    <w:p w14:paraId="50013559">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auto"/>
        <w:rPr>
          <w:rFonts w:hint="default" w:ascii="仿宋" w:hAnsi="仿宋" w:eastAsia="仿宋" w:cs="仿宋"/>
          <w:color w:val="auto"/>
          <w:sz w:val="24"/>
          <w:szCs w:val="24"/>
          <w:lang w:val="en-US" w:eastAsia="zh-CN"/>
        </w:rPr>
      </w:pPr>
      <w:bookmarkStart w:id="82" w:name="▲凡已在浙江政府采购网网上注册入库，并取得临安区政府采购合同的中小企业供应商，均"/>
      <w:bookmarkEnd w:id="82"/>
      <w:r>
        <w:rPr>
          <w:rFonts w:hint="eastAsia" w:ascii="仿宋" w:hAnsi="仿宋" w:eastAsia="仿宋" w:cs="仿宋"/>
          <w:color w:val="auto"/>
          <w:sz w:val="24"/>
          <w:szCs w:val="24"/>
          <w:lang w:val="en-US" w:eastAsia="zh-CN"/>
        </w:rPr>
        <w:t>6.支持创新发展</w:t>
      </w:r>
    </w:p>
    <w:p w14:paraId="7EDE23D7">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（1）采购人优先采购被认定为首台套产品和“制造精品”的自主创新产品。</w:t>
      </w:r>
    </w:p>
    <w:p w14:paraId="27E5FF32">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CBF061B">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7.政府采购</w:t>
      </w:r>
      <w:r>
        <w:rPr>
          <w:rFonts w:hint="eastAsia" w:ascii="仿宋" w:hAnsi="仿宋" w:eastAsia="仿宋" w:cs="仿宋"/>
          <w:bCs/>
          <w:color w:val="auto"/>
          <w:sz w:val="24"/>
          <w:szCs w:val="24"/>
        </w:rPr>
        <w:t>信用融资政策</w:t>
      </w:r>
      <w:r>
        <w:rPr>
          <w:rFonts w:hint="eastAsia" w:ascii="仿宋" w:hAnsi="仿宋" w:eastAsia="仿宋" w:cs="仿宋"/>
          <w:bCs/>
          <w:color w:val="auto"/>
          <w:sz w:val="24"/>
          <w:szCs w:val="24"/>
          <w:lang w:eastAsia="zh-CN"/>
        </w:rPr>
        <w:t>：</w:t>
      </w:r>
      <w:r>
        <w:rPr>
          <w:rFonts w:hint="eastAsia" w:ascii="仿宋" w:hAnsi="仿宋" w:eastAsia="仿宋" w:cs="仿宋"/>
          <w:color w:val="auto"/>
          <w:sz w:val="24"/>
          <w:szCs w:val="24"/>
        </w:rPr>
        <w:t>为支持和促进中小企业发展，供应商若有融资意向，可直接登录http://jinrong.zcygov.cn，查看信用融资政策文件及各相关银行服务方案，也可直接向各银行咨询相关业务。</w:t>
      </w:r>
    </w:p>
    <w:p w14:paraId="70A91F2B">
      <w:pPr>
        <w:pStyle w:val="36"/>
        <w:tabs>
          <w:tab w:val="left" w:pos="1313"/>
        </w:tabs>
        <w:spacing w:line="360" w:lineRule="auto"/>
        <w:ind w:left="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本项目谢绝联合投标，不允许转包，否则采购人有权追究责任。</w:t>
      </w:r>
      <w:bookmarkStart w:id="83" w:name="▲单位负责人为同一人或者存在直接控股、管理关系的不同供应商，不得参加同一合同项下"/>
      <w:bookmarkEnd w:id="83"/>
    </w:p>
    <w:p w14:paraId="575D09C0">
      <w:pPr>
        <w:pStyle w:val="7"/>
        <w:numPr>
          <w:ilvl w:val="0"/>
          <w:numId w:val="2"/>
        </w:numPr>
        <w:spacing w:line="360" w:lineRule="auto"/>
        <w:ind w:left="0" w:firstLine="480" w:firstLineChars="200"/>
        <w:outlineLvl w:val="2"/>
        <w:rPr>
          <w:rFonts w:hint="eastAsia" w:ascii="仿宋" w:hAnsi="仿宋" w:eastAsia="仿宋" w:cs="仿宋"/>
          <w:color w:val="auto"/>
          <w:sz w:val="24"/>
          <w:szCs w:val="24"/>
          <w:lang w:val="en-US" w:eastAsia="zh-CN" w:bidi="zh-CN"/>
        </w:rPr>
      </w:pPr>
      <w:bookmarkStart w:id="84" w:name="_Toc1577"/>
      <w:bookmarkStart w:id="85" w:name="_Toc18918"/>
      <w:bookmarkStart w:id="86" w:name="_Toc27455"/>
      <w:r>
        <w:rPr>
          <w:rFonts w:hint="eastAsia" w:ascii="仿宋" w:hAnsi="仿宋" w:eastAsia="仿宋" w:cs="仿宋"/>
          <w:color w:val="auto"/>
          <w:sz w:val="24"/>
          <w:szCs w:val="24"/>
          <w:lang w:val="en-US" w:eastAsia="zh-CN" w:bidi="zh-CN"/>
        </w:rPr>
        <w:t>关联供应商参加同一合同项下采购活动的限制</w:t>
      </w:r>
      <w:bookmarkEnd w:id="84"/>
      <w:bookmarkEnd w:id="85"/>
      <w:bookmarkEnd w:id="86"/>
    </w:p>
    <w:p w14:paraId="32A4E5A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所称“关联企业”，是指存在关联关系的企业；“关联关系”的界定适用《中华人民共和国公司法》相关规定。</w:t>
      </w:r>
    </w:p>
    <w:p w14:paraId="16426E6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单位负责人为同一人或者存在直接控股、管理关系的不同供应商，不得同时参加同一合同项下的政府采购活动，否则相关供应商的资格均作“不合格”处理。</w:t>
      </w:r>
    </w:p>
    <w:p w14:paraId="73F1F1A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存在以下利害关系的不同供应商，不得同时参加同一合同项下的政府采购活动，否则相关供应商的投标均作无效处理：</w:t>
      </w:r>
    </w:p>
    <w:p w14:paraId="52068C8F">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1）法定代表人或负责人或实际控制人是同一人；</w:t>
      </w:r>
    </w:p>
    <w:p w14:paraId="11EABEF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）法定代表人或负责人或实际控制人是夫妻关系；</w:t>
      </w:r>
    </w:p>
    <w:p w14:paraId="4FB0DBA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）法定代表人或负责人或实际控制人是直系血亲关系；</w:t>
      </w:r>
    </w:p>
    <w:p w14:paraId="67D56FC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）法定代表人或负责人或实际控制人存在三代以内旁系血亲关系；</w:t>
      </w:r>
    </w:p>
    <w:p w14:paraId="2F6833F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）法定代表人或负责人或实际控制人存在近姻亲关系；</w:t>
      </w:r>
    </w:p>
    <w:p w14:paraId="02E2AC6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）法定代表人或负责人或实际控制人存在股份控制或实际控制关系；</w:t>
      </w:r>
    </w:p>
    <w:p w14:paraId="3A5340C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）存在共同直接或间接投资设立子公司、联营企业和合营企业情况；</w:t>
      </w:r>
    </w:p>
    <w:p w14:paraId="3D82E89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）存在分级代理或代销关系、同一生产制造商关系、管理关系、重要业务（占主营业务收入 50%以上）或重要财务往来关系（如融资）等其他实质性控制关系。</w:t>
      </w:r>
    </w:p>
    <w:p w14:paraId="5C71AB7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除单一来源采购项目外，为采购项目提供整体设计、规范编制或者项目管理、监理、检测等服务的供应商，不得再参加该采购项目的其他采购活动，否则相关供应商的投标均作无效处理。</w:t>
      </w:r>
    </w:p>
    <w:p w14:paraId="0019941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综合评分法、单一产品采购项目适用）提供相同品牌产品且通过资格审查、符合性审查的不同投标供应商参加同一合同项下投标的，按一家投标供应商计算，评审后综合得分最高的同品牌投标供应商获得中标供应商推荐资格；综合得分相同时，投标报价最低的投标供应商获得中标供应商推荐资格；综合得分和投标报价均相同时，商务技术分最高的投标供应商获得中标供应商推荐资格；综合得分、投标报价、商务技术分均相同时，由评标委员会按少数服从多数的原则，集体决定；其他同品牌投标供应商不作为中标候选供应商。</w:t>
      </w:r>
    </w:p>
    <w:p w14:paraId="265B75A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（综合评分法、非单一产品采购项目适用）通过资格审查、符合性审查的同投标供应商参加同一合同项下投标时，提供的核心产品品牌均相同的，按照</w:t>
      </w:r>
      <w:r>
        <w:rPr>
          <w:rFonts w:hint="eastAsia" w:ascii="仿宋" w:hAnsi="仿宋" w:eastAsia="仿宋" w:cs="仿宋"/>
          <w:color w:val="auto"/>
          <w:sz w:val="24"/>
          <w:szCs w:val="24"/>
          <w:lang w:val="en-US"/>
        </w:rPr>
        <w:t>前</w:t>
      </w:r>
      <w:r>
        <w:rPr>
          <w:rFonts w:hint="eastAsia" w:ascii="仿宋" w:hAnsi="仿宋" w:eastAsia="仿宋" w:cs="仿宋"/>
          <w:color w:val="auto"/>
          <w:sz w:val="24"/>
          <w:szCs w:val="24"/>
        </w:rPr>
        <w:t>款处理。</w:t>
      </w:r>
    </w:p>
    <w:p w14:paraId="6553D627">
      <w:pPr>
        <w:spacing w:line="360" w:lineRule="auto"/>
        <w:ind w:firstLine="480" w:firstLine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6.其他说明：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p>
    <w:p w14:paraId="7AE0C6E7">
      <w:pPr>
        <w:pStyle w:val="2"/>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七</w:t>
      </w:r>
      <w:r>
        <w:rPr>
          <w:rFonts w:hint="eastAsia" w:ascii="仿宋" w:hAnsi="仿宋" w:eastAsia="仿宋" w:cs="仿宋"/>
          <w:color w:val="auto"/>
          <w:lang w:eastAsia="zh-CN"/>
        </w:rPr>
        <w:t>）询问、质疑、投诉</w:t>
      </w:r>
    </w:p>
    <w:p w14:paraId="7DD81B3D">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在线询问、质疑、投诉</w:t>
      </w:r>
    </w:p>
    <w:p w14:paraId="0DC30784">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FED4D5">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供应商询问</w:t>
      </w:r>
    </w:p>
    <w:p w14:paraId="79224860">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9AD4F8">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供应商质疑</w:t>
      </w:r>
    </w:p>
    <w:p w14:paraId="5E6299AF">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提出质疑的供应商应当是参与所质疑项目采购活动的供应商。潜在供应商已依法获取其可质疑的招标文件的，可以对该文件提出质疑。</w:t>
      </w:r>
    </w:p>
    <w:p w14:paraId="41AB8910">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75D8A8">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①</w:t>
      </w:r>
      <w:r>
        <w:rPr>
          <w:rFonts w:hint="eastAsia" w:ascii="仿宋" w:hAnsi="仿宋" w:eastAsia="仿宋" w:cs="仿宋"/>
          <w:color w:val="auto"/>
        </w:rPr>
        <w:t>对招标文件提出质疑的，质疑期限为供应商获得招标文件之日或者招标文件公告期限届满之日起计算。</w:t>
      </w:r>
    </w:p>
    <w:p w14:paraId="53182600">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②</w:t>
      </w:r>
      <w:r>
        <w:rPr>
          <w:rFonts w:hint="eastAsia" w:ascii="仿宋" w:hAnsi="仿宋" w:eastAsia="仿宋" w:cs="仿宋"/>
          <w:color w:val="auto"/>
        </w:rPr>
        <w:t>对采购过程提出质疑的，质疑期限为各采购程序环节结束之日起计算。</w:t>
      </w:r>
    </w:p>
    <w:p w14:paraId="797ED4E2">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③</w:t>
      </w:r>
      <w:r>
        <w:rPr>
          <w:rFonts w:hint="eastAsia" w:ascii="仿宋" w:hAnsi="仿宋" w:eastAsia="仿宋" w:cs="仿宋"/>
          <w:color w:val="auto"/>
        </w:rPr>
        <w:t>对采购结果提出质疑的，质疑期限自采购结果公告期限届满之日起计算。</w:t>
      </w:r>
    </w:p>
    <w:p w14:paraId="3E8C8D1C">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w:t>
      </w:r>
      <w:r>
        <w:rPr>
          <w:rFonts w:hint="eastAsia" w:ascii="仿宋" w:hAnsi="仿宋" w:eastAsia="仿宋" w:cs="仿宋"/>
          <w:color w:val="auto"/>
        </w:rPr>
        <w:t>供应商提出质疑应当提交质疑函和必要的证明材料。质疑函应当包括下列内容：</w:t>
      </w:r>
    </w:p>
    <w:p w14:paraId="718AA8BA">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①供应商的姓名或者名称、地址、邮编、联系人及联系电话；</w:t>
      </w:r>
    </w:p>
    <w:p w14:paraId="542510BC">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②质疑项目的名称、编号；</w:t>
      </w:r>
    </w:p>
    <w:p w14:paraId="68195650">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③具体、明确的质疑事项和与质疑事项相关的请求；</w:t>
      </w:r>
    </w:p>
    <w:p w14:paraId="4D5457AE">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④事实依据；</w:t>
      </w:r>
    </w:p>
    <w:p w14:paraId="564CE41D">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⑤必要的法律依据；</w:t>
      </w:r>
    </w:p>
    <w:p w14:paraId="15D1BD7C">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⑥提出质疑的日期。</w:t>
      </w:r>
    </w:p>
    <w:p w14:paraId="059D91A6">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0573C0E1">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质疑函范本</w:t>
      </w:r>
      <w:r>
        <w:rPr>
          <w:rFonts w:hint="eastAsia" w:ascii="仿宋" w:hAnsi="仿宋" w:eastAsia="仿宋" w:cs="仿宋"/>
          <w:color w:val="auto"/>
          <w:lang w:val="en-US" w:eastAsia="zh-CN"/>
        </w:rPr>
        <w:t>请到浙江政府采购网下载专区下载</w:t>
      </w:r>
      <w:r>
        <w:rPr>
          <w:rFonts w:hint="eastAsia" w:ascii="仿宋" w:hAnsi="仿宋" w:eastAsia="仿宋" w:cs="仿宋"/>
          <w:color w:val="auto"/>
        </w:rPr>
        <w:t>。</w:t>
      </w:r>
    </w:p>
    <w:p w14:paraId="5AACC25C">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rPr>
        <w:t>对同一采购程序环节的质疑，供应商须在法定质疑期内一次性提出。</w:t>
      </w:r>
    </w:p>
    <w:p w14:paraId="07B4FC76">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w:t>
      </w:r>
      <w:r>
        <w:rPr>
          <w:rFonts w:hint="eastAsia" w:ascii="仿宋" w:hAnsi="仿宋" w:eastAsia="仿宋" w:cs="仿宋"/>
          <w:color w:val="auto"/>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4F7BE78">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w:t>
      </w:r>
      <w:r>
        <w:rPr>
          <w:rFonts w:hint="eastAsia" w:ascii="仿宋" w:hAnsi="仿宋" w:eastAsia="仿宋" w:cs="仿宋"/>
          <w:color w:val="auto"/>
        </w:rPr>
        <w:t>询问或者质疑事项可能影响采购结果的，采购人应当暂停签订合同，已经签订合同的，应当中止履行合同。</w:t>
      </w:r>
    </w:p>
    <w:p w14:paraId="70DAE908">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供应商投诉</w:t>
      </w:r>
    </w:p>
    <w:p w14:paraId="090E4CCB">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质疑供应商对采购人、采购代理机构的答复不满意或者采购人、采购代理机构未在规定的时间内作出答复的，可以在答复期满后十五个工作日内向同级政府采购监督管理部门提出投诉。</w:t>
      </w:r>
    </w:p>
    <w:p w14:paraId="284FFD26">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rPr>
        <w:t>供应商投诉的事项不得超出已质疑事项的范围，基于质疑答复内容提出的投诉事项除外。</w:t>
      </w:r>
    </w:p>
    <w:p w14:paraId="12CA4275">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w:t>
      </w:r>
      <w:r>
        <w:rPr>
          <w:rFonts w:hint="eastAsia" w:ascii="仿宋" w:hAnsi="仿宋" w:eastAsia="仿宋" w:cs="仿宋"/>
          <w:color w:val="auto"/>
        </w:rPr>
        <w:t>供应商投诉应当有明确的请求和必要的证明材料。</w:t>
      </w:r>
    </w:p>
    <w:p w14:paraId="330A085A">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rPr>
        <w:t>以联合体形式参加政府采购活动的，其投诉应当由组成联合体的所有供应商共同提出。</w:t>
      </w:r>
    </w:p>
    <w:p w14:paraId="6B5BAB47">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w:t>
      </w:r>
      <w:r>
        <w:rPr>
          <w:rFonts w:hint="eastAsia" w:ascii="仿宋" w:hAnsi="仿宋" w:eastAsia="仿宋" w:cs="仿宋"/>
          <w:color w:val="auto"/>
          <w:lang w:val="en-US" w:eastAsia="zh-CN"/>
        </w:rPr>
        <w:t>本</w:t>
      </w:r>
      <w:r>
        <w:rPr>
          <w:rFonts w:hint="eastAsia" w:ascii="仿宋" w:hAnsi="仿宋" w:eastAsia="仿宋" w:cs="仿宋"/>
          <w:color w:val="auto"/>
        </w:rPr>
        <w:t>采购项目投诉材料可寄送至龙港市财政局（浙江省政府采购行政裁决服务中心（温州）），地址：温州市鹿城区滨江街道瓯江路展银大厦1606室，收件人：</w:t>
      </w:r>
      <w:r>
        <w:rPr>
          <w:rFonts w:hint="eastAsia" w:ascii="仿宋" w:hAnsi="仿宋" w:eastAsia="仿宋" w:cs="仿宋"/>
          <w:color w:val="auto"/>
          <w:lang w:val="en-US" w:eastAsia="zh-CN"/>
        </w:rPr>
        <w:t>温州市鹿城区滨江街道瓯江路展银大厦1606室</w:t>
      </w:r>
      <w:r>
        <w:rPr>
          <w:rFonts w:hint="eastAsia" w:ascii="仿宋" w:hAnsi="仿宋" w:eastAsia="仿宋" w:cs="仿宋"/>
          <w:color w:val="auto"/>
        </w:rPr>
        <w:t>，电话：0577-85501561，0577-85501562。</w:t>
      </w:r>
    </w:p>
    <w:p w14:paraId="3A937017">
      <w:pPr>
        <w:pStyle w:val="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投诉书范本请到浙江政府采购网下载专区下载。</w:t>
      </w:r>
    </w:p>
    <w:p w14:paraId="52477700">
      <w:pPr>
        <w:pStyle w:val="2"/>
        <w:spacing w:line="360" w:lineRule="auto"/>
        <w:ind w:firstLine="480" w:firstLineChars="200"/>
        <w:rPr>
          <w:rFonts w:hint="eastAsia" w:ascii="仿宋" w:hAnsi="仿宋" w:eastAsia="仿宋" w:cs="仿宋"/>
          <w:color w:val="auto"/>
          <w:lang w:eastAsia="zh-CN"/>
        </w:rPr>
      </w:pPr>
    </w:p>
    <w:p w14:paraId="35BCE604">
      <w:pPr>
        <w:pStyle w:val="2"/>
        <w:spacing w:line="360" w:lineRule="auto"/>
        <w:jc w:val="center"/>
        <w:rPr>
          <w:rFonts w:hint="eastAsia" w:ascii="仿宋" w:hAnsi="仿宋" w:eastAsia="仿宋" w:cs="仿宋"/>
          <w:b/>
          <w:bCs/>
          <w:color w:val="auto"/>
          <w:sz w:val="32"/>
          <w:szCs w:val="32"/>
          <w:lang w:val="zh-CN" w:eastAsia="zh-CN" w:bidi="zh-CN"/>
        </w:rPr>
      </w:pPr>
      <w:r>
        <w:rPr>
          <w:rFonts w:hint="eastAsia" w:ascii="仿宋" w:hAnsi="仿宋" w:eastAsia="仿宋" w:cs="仿宋"/>
          <w:b/>
          <w:bCs/>
          <w:color w:val="auto"/>
          <w:sz w:val="32"/>
          <w:szCs w:val="32"/>
          <w:lang w:val="en-US" w:eastAsia="zh-CN" w:bidi="zh-CN"/>
        </w:rPr>
        <w:t>二、</w:t>
      </w:r>
      <w:r>
        <w:rPr>
          <w:rFonts w:hint="eastAsia" w:ascii="仿宋" w:hAnsi="仿宋" w:eastAsia="仿宋" w:cs="仿宋"/>
          <w:b/>
          <w:bCs/>
          <w:color w:val="auto"/>
          <w:sz w:val="32"/>
          <w:szCs w:val="32"/>
          <w:lang w:val="zh-CN" w:eastAsia="zh-CN" w:bidi="zh-CN"/>
        </w:rPr>
        <w:t>招标文件的构成、澄清、修改</w:t>
      </w:r>
    </w:p>
    <w:p w14:paraId="5B02C972">
      <w:pPr>
        <w:pStyle w:val="36"/>
        <w:tabs>
          <w:tab w:val="left" w:pos="1313"/>
        </w:tabs>
        <w:spacing w:line="360" w:lineRule="auto"/>
        <w:ind w:left="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（一）招标文件的构成</w:t>
      </w:r>
    </w:p>
    <w:p w14:paraId="77FF5078">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（1）招标文件包括下列文件及附件：</w:t>
      </w:r>
    </w:p>
    <w:p w14:paraId="34C5179E">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①招标公告；</w:t>
      </w:r>
    </w:p>
    <w:p w14:paraId="1C4D20D8">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②投标人须知；</w:t>
      </w:r>
    </w:p>
    <w:p w14:paraId="285CAAE6">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③采购需求；</w:t>
      </w:r>
    </w:p>
    <w:p w14:paraId="0FB3CFE3">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④评标办法；</w:t>
      </w:r>
    </w:p>
    <w:p w14:paraId="0B9915A7">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⑤拟签订的合同文本；</w:t>
      </w:r>
    </w:p>
    <w:p w14:paraId="7EFEC3AB">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⑥应提交的有关格式范例。</w:t>
      </w:r>
    </w:p>
    <w:p w14:paraId="46B8C070">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（2）与本项目有关的澄清或者修改的内容为招标文件的组成部分。</w:t>
      </w:r>
    </w:p>
    <w:p w14:paraId="71A3E991">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（二）招标文件的澄清、修改</w:t>
      </w:r>
    </w:p>
    <w:p w14:paraId="01450E20">
      <w:pPr>
        <w:pStyle w:val="36"/>
        <w:tabs>
          <w:tab w:val="left" w:pos="1313"/>
        </w:tabs>
        <w:spacing w:line="360" w:lineRule="auto"/>
        <w:ind w:left="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（1）已获取招标文件的潜在投标人，若有问题需要澄清，应于投标截止时间前，以书面形式向采购代理机构提出。</w:t>
      </w:r>
    </w:p>
    <w:p w14:paraId="3AE1490C">
      <w:pPr>
        <w:pStyle w:val="36"/>
        <w:tabs>
          <w:tab w:val="left" w:pos="1313"/>
        </w:tabs>
        <w:spacing w:line="360" w:lineRule="auto"/>
        <w:ind w:left="0" w:firstLineChars="200"/>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（2）招标</w:t>
      </w:r>
      <w:r>
        <w:rPr>
          <w:rFonts w:hint="eastAsia" w:ascii="仿宋" w:hAnsi="仿宋" w:eastAsia="仿宋" w:cs="仿宋"/>
          <w:color w:val="auto"/>
          <w:sz w:val="24"/>
          <w:szCs w:val="24"/>
          <w:lang w:val="en-US"/>
        </w:rPr>
        <w:t>文件答复、澄清、修改、补充的内容为</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lang w:val="en-US"/>
        </w:rPr>
        <w:t>文件的组成部分。</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浙江政府采购网及龙港市公共资源交易中心网</w:t>
      </w:r>
      <w:r>
        <w:rPr>
          <w:rFonts w:hint="eastAsia" w:ascii="仿宋" w:hAnsi="仿宋" w:eastAsia="仿宋" w:cs="仿宋"/>
          <w:color w:val="auto"/>
          <w:sz w:val="24"/>
          <w:szCs w:val="24"/>
        </w:rPr>
        <w:t>发布更正公告。</w:t>
      </w:r>
      <w:r>
        <w:rPr>
          <w:rFonts w:hint="eastAsia" w:ascii="仿宋" w:hAnsi="仿宋" w:eastAsia="仿宋" w:cs="仿宋"/>
          <w:color w:val="auto"/>
          <w:sz w:val="24"/>
          <w:szCs w:val="24"/>
          <w:lang w:val="en-US"/>
        </w:rPr>
        <w:t>当</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lang w:val="en-US"/>
        </w:rPr>
        <w:t>文件与</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lang w:val="en-US"/>
        </w:rPr>
        <w:t>文件的答复、澄清、修改、补充就同一内容的表述不一致时，以最后发出的书面文件为准。</w:t>
      </w:r>
    </w:p>
    <w:p w14:paraId="43A1F757">
      <w:pPr>
        <w:pStyle w:val="36"/>
        <w:tabs>
          <w:tab w:val="left" w:pos="1313"/>
        </w:tabs>
        <w:spacing w:line="360" w:lineRule="auto"/>
        <w:ind w:left="0" w:firstLineChars="200"/>
        <w:jc w:val="center"/>
        <w:rPr>
          <w:rFonts w:hint="eastAsia" w:ascii="仿宋" w:hAnsi="仿宋" w:eastAsia="仿宋" w:cs="仿宋"/>
          <w:color w:val="auto"/>
          <w:sz w:val="24"/>
          <w:szCs w:val="24"/>
          <w:lang w:val="en-US" w:eastAsia="zh-CN"/>
        </w:rPr>
      </w:pPr>
    </w:p>
    <w:p w14:paraId="42596183">
      <w:pPr>
        <w:pStyle w:val="6"/>
        <w:tabs>
          <w:tab w:val="left" w:pos="2033"/>
        </w:tabs>
        <w:spacing w:line="240" w:lineRule="auto"/>
        <w:ind w:left="0" w:leftChars="0" w:right="0" w:firstLine="0" w:firstLineChars="0"/>
        <w:jc w:val="center"/>
        <w:outlineLvl w:val="1"/>
        <w:rPr>
          <w:rFonts w:hint="eastAsia" w:ascii="仿宋" w:hAnsi="仿宋" w:eastAsia="仿宋" w:cs="仿宋"/>
          <w:b/>
          <w:bCs/>
          <w:color w:val="auto"/>
        </w:rPr>
      </w:pPr>
      <w:bookmarkStart w:id="87" w:name="二、磋商响应文件的编制"/>
      <w:bookmarkEnd w:id="87"/>
      <w:bookmarkStart w:id="88" w:name="_Toc617"/>
      <w:bookmarkStart w:id="89" w:name="_Toc11799"/>
      <w:bookmarkStart w:id="90" w:name="_Toc3381"/>
      <w:r>
        <w:rPr>
          <w:rFonts w:hint="eastAsia" w:ascii="仿宋" w:hAnsi="仿宋" w:eastAsia="仿宋" w:cs="仿宋"/>
          <w:b/>
          <w:bCs/>
          <w:color w:val="auto"/>
          <w:lang w:val="en-US" w:eastAsia="zh-CN"/>
        </w:rPr>
        <w:t>三</w:t>
      </w:r>
      <w:r>
        <w:rPr>
          <w:rFonts w:hint="eastAsia" w:ascii="仿宋" w:hAnsi="仿宋" w:eastAsia="仿宋" w:cs="仿宋"/>
          <w:b/>
          <w:bCs/>
          <w:color w:val="auto"/>
        </w:rPr>
        <w:t>、</w:t>
      </w:r>
      <w:r>
        <w:rPr>
          <w:rFonts w:hint="eastAsia" w:ascii="仿宋" w:hAnsi="仿宋" w:eastAsia="仿宋" w:cs="仿宋"/>
          <w:b/>
          <w:bCs/>
          <w:color w:val="auto"/>
          <w:lang w:val="en-US"/>
        </w:rPr>
        <w:t>投标</w:t>
      </w:r>
      <w:bookmarkEnd w:id="88"/>
      <w:bookmarkEnd w:id="89"/>
      <w:bookmarkEnd w:id="90"/>
    </w:p>
    <w:p w14:paraId="1514BAC9">
      <w:pPr>
        <w:pStyle w:val="7"/>
        <w:spacing w:line="360" w:lineRule="auto"/>
        <w:ind w:left="0" w:firstLine="480" w:firstLineChars="200"/>
        <w:outlineLvl w:val="2"/>
        <w:rPr>
          <w:rFonts w:hint="eastAsia" w:ascii="仿宋" w:hAnsi="仿宋" w:eastAsia="仿宋" w:cs="仿宋"/>
          <w:color w:val="auto"/>
          <w:sz w:val="24"/>
          <w:szCs w:val="24"/>
        </w:rPr>
      </w:pPr>
      <w:bookmarkStart w:id="91" w:name="（一）响应文件的形式和效力"/>
      <w:bookmarkEnd w:id="91"/>
      <w:bookmarkStart w:id="92" w:name="_Toc29051"/>
      <w:bookmarkStart w:id="93" w:name="_Toc30774"/>
      <w:bookmarkStart w:id="94" w:name="_Toc23204"/>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招标文件的获取</w:t>
      </w:r>
      <w:bookmarkEnd w:id="92"/>
      <w:bookmarkEnd w:id="93"/>
    </w:p>
    <w:p w14:paraId="0ADA5309">
      <w:pPr>
        <w:pStyle w:val="7"/>
        <w:spacing w:line="360" w:lineRule="auto"/>
        <w:ind w:left="0" w:firstLine="480" w:firstLineChars="200"/>
        <w:outlineLvl w:val="2"/>
        <w:rPr>
          <w:rFonts w:hint="eastAsia" w:ascii="仿宋" w:hAnsi="仿宋" w:eastAsia="仿宋" w:cs="仿宋"/>
          <w:color w:val="auto"/>
          <w:sz w:val="24"/>
          <w:szCs w:val="24"/>
        </w:rPr>
      </w:pPr>
      <w:bookmarkStart w:id="95" w:name="_Toc23717"/>
      <w:bookmarkStart w:id="96" w:name="_Toc16474"/>
      <w:r>
        <w:rPr>
          <w:rFonts w:hint="eastAsia" w:ascii="仿宋" w:hAnsi="仿宋" w:eastAsia="仿宋" w:cs="仿宋"/>
          <w:color w:val="auto"/>
          <w:sz w:val="24"/>
          <w:szCs w:val="24"/>
        </w:rPr>
        <w:t>详见招标公告中获取招标文件的时间期限、地点、方式及招标文件售价。</w:t>
      </w:r>
      <w:bookmarkEnd w:id="95"/>
      <w:bookmarkEnd w:id="96"/>
    </w:p>
    <w:p w14:paraId="4196EF61">
      <w:pPr>
        <w:pStyle w:val="7"/>
        <w:spacing w:line="360" w:lineRule="auto"/>
        <w:ind w:left="0" w:firstLine="480" w:firstLineChars="200"/>
        <w:outlineLvl w:val="2"/>
        <w:rPr>
          <w:rFonts w:hint="eastAsia" w:ascii="仿宋" w:hAnsi="仿宋" w:eastAsia="仿宋" w:cs="仿宋"/>
          <w:color w:val="auto"/>
          <w:sz w:val="24"/>
          <w:szCs w:val="24"/>
        </w:rPr>
      </w:pPr>
      <w:bookmarkStart w:id="97" w:name="_Toc11129"/>
      <w:bookmarkStart w:id="98" w:name="_Toc6424"/>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开标前答疑会或现场考察</w:t>
      </w:r>
      <w:bookmarkEnd w:id="97"/>
      <w:bookmarkEnd w:id="98"/>
    </w:p>
    <w:p w14:paraId="67E52F0D">
      <w:pPr>
        <w:pStyle w:val="7"/>
        <w:spacing w:line="360" w:lineRule="auto"/>
        <w:ind w:left="0" w:firstLine="480" w:firstLineChars="200"/>
        <w:outlineLvl w:val="2"/>
        <w:rPr>
          <w:rFonts w:hint="eastAsia" w:ascii="仿宋" w:hAnsi="仿宋" w:eastAsia="仿宋" w:cs="仿宋"/>
          <w:color w:val="auto"/>
          <w:sz w:val="24"/>
          <w:szCs w:val="24"/>
        </w:rPr>
      </w:pPr>
      <w:bookmarkStart w:id="99" w:name="_Toc8633"/>
      <w:bookmarkStart w:id="100" w:name="_Toc19786"/>
      <w:r>
        <w:rPr>
          <w:rFonts w:hint="eastAsia" w:ascii="仿宋" w:hAnsi="仿宋" w:eastAsia="仿宋" w:cs="仿宋"/>
          <w:color w:val="auto"/>
          <w:sz w:val="24"/>
          <w:szCs w:val="24"/>
        </w:rPr>
        <w:t>采购人组织潜在投标人现场考察或者召开开标前答疑会的，潜在投标人按第二</w:t>
      </w:r>
      <w:r>
        <w:rPr>
          <w:rFonts w:hint="eastAsia" w:ascii="仿宋" w:hAnsi="仿宋" w:eastAsia="仿宋" w:cs="仿宋"/>
          <w:color w:val="auto"/>
          <w:sz w:val="24"/>
          <w:szCs w:val="24"/>
          <w:lang w:val="en-US" w:eastAsia="zh-CN"/>
        </w:rPr>
        <w:t>章</w:t>
      </w:r>
      <w:r>
        <w:rPr>
          <w:rFonts w:hint="eastAsia" w:ascii="仿宋" w:hAnsi="仿宋" w:eastAsia="仿宋" w:cs="仿宋"/>
          <w:color w:val="auto"/>
          <w:sz w:val="24"/>
          <w:szCs w:val="24"/>
        </w:rPr>
        <w:t>投标人须知前附表的规定参加现场考察或者开标前答疑会。</w:t>
      </w:r>
      <w:bookmarkEnd w:id="99"/>
      <w:bookmarkEnd w:id="100"/>
    </w:p>
    <w:p w14:paraId="54AED320">
      <w:pPr>
        <w:pStyle w:val="7"/>
        <w:spacing w:line="360" w:lineRule="auto"/>
        <w:ind w:left="0" w:firstLine="480" w:firstLineChars="200"/>
        <w:outlineLvl w:val="2"/>
        <w:rPr>
          <w:rFonts w:hint="eastAsia" w:ascii="仿宋" w:hAnsi="仿宋" w:eastAsia="仿宋" w:cs="仿宋"/>
          <w:color w:val="auto"/>
          <w:sz w:val="24"/>
          <w:szCs w:val="24"/>
        </w:rPr>
      </w:pPr>
      <w:bookmarkStart w:id="101" w:name="_Toc16286"/>
      <w:bookmarkStart w:id="102" w:name="_Toc7091"/>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投标保证金</w:t>
      </w:r>
      <w:bookmarkEnd w:id="101"/>
      <w:bookmarkEnd w:id="102"/>
    </w:p>
    <w:p w14:paraId="1B08F361">
      <w:pPr>
        <w:pStyle w:val="7"/>
        <w:spacing w:line="360" w:lineRule="auto"/>
        <w:ind w:left="0" w:firstLine="480" w:firstLineChars="200"/>
        <w:outlineLvl w:val="2"/>
        <w:rPr>
          <w:rFonts w:hint="eastAsia" w:ascii="仿宋" w:hAnsi="仿宋" w:eastAsia="仿宋" w:cs="仿宋"/>
          <w:color w:val="auto"/>
          <w:sz w:val="24"/>
          <w:szCs w:val="24"/>
        </w:rPr>
      </w:pPr>
      <w:bookmarkStart w:id="103" w:name="_Toc7511"/>
      <w:bookmarkStart w:id="104" w:name="_Toc18628"/>
      <w:r>
        <w:rPr>
          <w:rFonts w:hint="eastAsia" w:ascii="仿宋" w:hAnsi="仿宋" w:eastAsia="仿宋" w:cs="仿宋"/>
          <w:color w:val="auto"/>
          <w:sz w:val="24"/>
          <w:szCs w:val="24"/>
        </w:rPr>
        <w:t>本项目不需缴纳投标保证金。</w:t>
      </w:r>
      <w:bookmarkEnd w:id="103"/>
      <w:bookmarkEnd w:id="104"/>
    </w:p>
    <w:p w14:paraId="7E9B5393">
      <w:pPr>
        <w:pStyle w:val="7"/>
        <w:spacing w:line="360" w:lineRule="auto"/>
        <w:ind w:left="0" w:firstLine="480" w:firstLineChars="200"/>
        <w:outlineLvl w:val="2"/>
        <w:rPr>
          <w:rFonts w:ascii="仿宋" w:hAnsi="仿宋" w:eastAsia="仿宋" w:cs="仿宋"/>
          <w:color w:val="auto"/>
        </w:rPr>
      </w:pPr>
      <w:bookmarkStart w:id="105" w:name="_Toc450"/>
      <w:bookmarkStart w:id="106" w:name="_Toc7426"/>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）投标文件的形式和效力</w:t>
      </w:r>
      <w:bookmarkEnd w:id="94"/>
      <w:bookmarkEnd w:id="105"/>
      <w:bookmarkEnd w:id="106"/>
    </w:p>
    <w:p w14:paraId="0D62DA68">
      <w:pPr>
        <w:spacing w:line="360" w:lineRule="auto"/>
        <w:ind w:firstLine="482" w:firstLineChars="200"/>
        <w:rPr>
          <w:rFonts w:ascii="仿宋" w:hAnsi="仿宋" w:eastAsia="仿宋" w:cs="仿宋"/>
          <w:b/>
          <w:bCs/>
          <w:color w:val="auto"/>
          <w:sz w:val="24"/>
          <w:szCs w:val="24"/>
        </w:rPr>
      </w:pPr>
      <w:bookmarkStart w:id="107" w:name="1、响应文件为电子响应文件（包括加密文件和备份文件），电子响应文件按“政采云电子"/>
      <w:bookmarkEnd w:id="107"/>
      <w:r>
        <w:rPr>
          <w:rFonts w:hint="eastAsia" w:ascii="仿宋" w:hAnsi="仿宋" w:eastAsia="仿宋" w:cs="仿宋"/>
          <w:b/>
          <w:bCs/>
          <w:color w:val="auto"/>
          <w:sz w:val="24"/>
          <w:szCs w:val="24"/>
          <w:lang w:val="en-US"/>
        </w:rPr>
        <w:t>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val="en-US"/>
        </w:rPr>
        <w:t>投标文件为电子投标文件（包括加密文件和备份文件），电子投标文件按“政采云电子交易客户端”及本采购文件要求制作、加密并递交。</w:t>
      </w:r>
    </w:p>
    <w:p w14:paraId="072EA70B">
      <w:pPr>
        <w:spacing w:line="360" w:lineRule="auto"/>
        <w:ind w:firstLine="480" w:firstLineChars="200"/>
        <w:rPr>
          <w:rFonts w:ascii="仿宋" w:hAnsi="仿宋" w:eastAsia="仿宋" w:cs="仿宋"/>
          <w:color w:val="auto"/>
          <w:sz w:val="24"/>
          <w:szCs w:val="24"/>
        </w:rPr>
      </w:pPr>
      <w:bookmarkStart w:id="108" w:name="2、响应文件的效力"/>
      <w:bookmarkEnd w:id="108"/>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投标</w:t>
      </w:r>
      <w:r>
        <w:rPr>
          <w:rFonts w:hint="eastAsia" w:ascii="仿宋" w:hAnsi="仿宋" w:eastAsia="仿宋" w:cs="仿宋"/>
          <w:color w:val="auto"/>
          <w:sz w:val="24"/>
          <w:szCs w:val="24"/>
        </w:rPr>
        <w:t>文件的效力</w:t>
      </w:r>
    </w:p>
    <w:p w14:paraId="44B9E78A">
      <w:pPr>
        <w:spacing w:line="360" w:lineRule="auto"/>
        <w:ind w:firstLine="482" w:firstLineChars="200"/>
        <w:rPr>
          <w:rFonts w:ascii="仿宋" w:hAnsi="仿宋" w:eastAsia="仿宋" w:cs="仿宋"/>
          <w:color w:val="auto"/>
          <w:sz w:val="24"/>
          <w:szCs w:val="24"/>
          <w:lang w:val="en-US"/>
        </w:rPr>
      </w:pPr>
      <w:bookmarkStart w:id="109" w:name="响应文件的启用，按先后顺位分别为电子响应文件（加密文件）、电子响应文件（备份文件"/>
      <w:bookmarkEnd w:id="109"/>
      <w:r>
        <w:rPr>
          <w:rFonts w:hint="eastAsia" w:ascii="仿宋" w:hAnsi="仿宋" w:eastAsia="仿宋" w:cs="仿宋"/>
          <w:b/>
          <w:bCs/>
          <w:color w:val="auto"/>
          <w:sz w:val="24"/>
          <w:szCs w:val="24"/>
          <w:lang w:val="en-US"/>
        </w:rPr>
        <w:t>投标文件的启用，按先后顺位分别为电子投标文件（加密文件）、电子投标文件（备份文件）。在下一顺位的投标文件启用时，前一顺位的投标文件自动失效。</w:t>
      </w:r>
    </w:p>
    <w:p w14:paraId="022A8580">
      <w:pPr>
        <w:pStyle w:val="2"/>
        <w:spacing w:line="360" w:lineRule="auto"/>
        <w:ind w:firstLine="480" w:firstLineChars="200"/>
        <w:outlineLvl w:val="2"/>
        <w:rPr>
          <w:rFonts w:ascii="仿宋" w:hAnsi="仿宋" w:eastAsia="仿宋" w:cs="仿宋"/>
          <w:color w:val="auto"/>
        </w:rPr>
      </w:pPr>
      <w:bookmarkStart w:id="110" w:name="（二）磋商响应文件的组成"/>
      <w:bookmarkEnd w:id="110"/>
      <w:bookmarkStart w:id="111" w:name="_Toc18603"/>
      <w:bookmarkStart w:id="112" w:name="_Toc27533"/>
      <w:bookmarkStart w:id="113" w:name="_Toc18605"/>
      <w:r>
        <w:rPr>
          <w:rFonts w:hint="eastAsia" w:ascii="仿宋" w:hAnsi="仿宋" w:eastAsia="仿宋" w:cs="仿宋"/>
          <w:color w:val="auto"/>
        </w:rPr>
        <w:t>（</w:t>
      </w:r>
      <w:r>
        <w:rPr>
          <w:rFonts w:hint="eastAsia" w:ascii="仿宋" w:hAnsi="仿宋" w:eastAsia="仿宋" w:cs="仿宋"/>
          <w:color w:val="auto"/>
          <w:lang w:val="en-US" w:eastAsia="zh-CN"/>
        </w:rPr>
        <w:t>五</w:t>
      </w:r>
      <w:r>
        <w:rPr>
          <w:rFonts w:hint="eastAsia" w:ascii="仿宋" w:hAnsi="仿宋" w:eastAsia="仿宋" w:cs="仿宋"/>
          <w:color w:val="auto"/>
        </w:rPr>
        <w:t>）</w:t>
      </w:r>
      <w:r>
        <w:rPr>
          <w:rFonts w:hint="eastAsia" w:ascii="仿宋" w:hAnsi="仿宋" w:eastAsia="仿宋" w:cs="仿宋"/>
          <w:color w:val="auto"/>
          <w:lang w:val="en-US"/>
        </w:rPr>
        <w:t>投标</w:t>
      </w:r>
      <w:r>
        <w:rPr>
          <w:rFonts w:hint="eastAsia" w:ascii="仿宋" w:hAnsi="仿宋" w:eastAsia="仿宋" w:cs="仿宋"/>
          <w:color w:val="auto"/>
        </w:rPr>
        <w:t>文件的组成</w:t>
      </w:r>
      <w:bookmarkEnd w:id="111"/>
      <w:bookmarkEnd w:id="112"/>
      <w:bookmarkEnd w:id="113"/>
    </w:p>
    <w:p w14:paraId="68F46E13">
      <w:pPr>
        <w:spacing w:line="360" w:lineRule="auto"/>
        <w:ind w:firstLine="480" w:firstLineChars="200"/>
        <w:rPr>
          <w:rFonts w:ascii="仿宋" w:hAnsi="仿宋" w:eastAsia="仿宋" w:cs="仿宋"/>
          <w:color w:val="auto"/>
          <w:sz w:val="24"/>
          <w:szCs w:val="24"/>
        </w:rPr>
      </w:pPr>
      <w:bookmarkStart w:id="114" w:name="响应文件组成包括资格审查文件、技术商务文件、报价文件三部份。电子响应文件中所须加"/>
      <w:bookmarkEnd w:id="114"/>
      <w:r>
        <w:rPr>
          <w:rFonts w:hint="eastAsia" w:ascii="仿宋" w:hAnsi="仿宋" w:eastAsia="仿宋" w:cs="仿宋"/>
          <w:color w:val="auto"/>
          <w:sz w:val="24"/>
          <w:szCs w:val="24"/>
          <w:lang w:val="en-US"/>
        </w:rPr>
        <w:t>投标</w:t>
      </w:r>
      <w:r>
        <w:rPr>
          <w:rFonts w:hint="eastAsia" w:ascii="仿宋" w:hAnsi="仿宋" w:eastAsia="仿宋" w:cs="仿宋"/>
          <w:color w:val="auto"/>
          <w:sz w:val="24"/>
          <w:szCs w:val="24"/>
        </w:rPr>
        <w:t>文件组成包括资格审查文件、技术商务文件、报价文件三部份。电子投标文件中所须加盖公章部分均采用 CA 签章。▲投标人的投标文件未按照招标文件要求签署、盖章的，其投标无效。</w:t>
      </w:r>
    </w:p>
    <w:p w14:paraId="576A085F">
      <w:pPr>
        <w:spacing w:line="360" w:lineRule="auto"/>
        <w:ind w:firstLine="480" w:firstLineChars="200"/>
        <w:rPr>
          <w:rFonts w:ascii="仿宋" w:hAnsi="仿宋" w:eastAsia="仿宋" w:cs="仿宋"/>
          <w:color w:val="auto"/>
          <w:sz w:val="24"/>
          <w:szCs w:val="24"/>
          <w:lang w:val="en-US"/>
        </w:rPr>
      </w:pPr>
      <w:r>
        <w:rPr>
          <w:rFonts w:hint="eastAsia" w:ascii="仿宋" w:hAnsi="仿宋" w:eastAsia="仿宋" w:cs="仿宋"/>
          <w:color w:val="auto"/>
          <w:sz w:val="24"/>
          <w:szCs w:val="24"/>
          <w:u w:val="single"/>
          <w:lang w:val="en-US"/>
        </w:rPr>
        <w:t>▲其中资格审查文件和技术商务文件中不得出现本项目投标报价，否则投标无效。</w:t>
      </w:r>
    </w:p>
    <w:p w14:paraId="7F6F2072">
      <w:pPr>
        <w:pStyle w:val="2"/>
        <w:numPr>
          <w:ilvl w:val="0"/>
          <w:numId w:val="0"/>
        </w:numPr>
        <w:spacing w:line="360" w:lineRule="auto"/>
        <w:ind w:firstLine="480" w:firstLineChars="200"/>
        <w:rPr>
          <w:rFonts w:ascii="仿宋" w:hAnsi="仿宋" w:eastAsia="仿宋" w:cs="仿宋"/>
          <w:color w:val="auto"/>
          <w:lang w:val="en-US"/>
        </w:rPr>
      </w:pPr>
      <w:bookmarkStart w:id="115" w:name="1、资格审查文件"/>
      <w:bookmarkEnd w:id="115"/>
      <w:r>
        <w:rPr>
          <w:rFonts w:hint="eastAsia" w:ascii="仿宋" w:hAnsi="仿宋" w:eastAsia="仿宋" w:cs="仿宋"/>
          <w:color w:val="auto"/>
          <w:lang w:val="en-US" w:eastAsia="zh-CN"/>
        </w:rPr>
        <w:t>1.</w:t>
      </w:r>
      <w:r>
        <w:rPr>
          <w:rFonts w:hint="eastAsia" w:ascii="仿宋" w:hAnsi="仿宋" w:eastAsia="仿宋" w:cs="仿宋"/>
          <w:color w:val="auto"/>
          <w:lang w:val="en-US"/>
        </w:rPr>
        <w:t>资格审查文件</w:t>
      </w:r>
    </w:p>
    <w:p w14:paraId="570605E4">
      <w:pPr>
        <w:pStyle w:val="2"/>
        <w:numPr>
          <w:ilvl w:val="0"/>
          <w:numId w:val="3"/>
        </w:numPr>
        <w:spacing w:line="360" w:lineRule="auto"/>
        <w:ind w:left="480" w:leftChars="218"/>
        <w:rPr>
          <w:rFonts w:ascii="仿宋" w:hAnsi="仿宋" w:eastAsia="仿宋" w:cs="仿宋"/>
          <w:b/>
          <w:bCs/>
          <w:color w:val="auto"/>
          <w:lang w:val="en-US"/>
        </w:rPr>
      </w:pPr>
      <w:r>
        <w:rPr>
          <w:rFonts w:hint="eastAsia" w:ascii="仿宋" w:hAnsi="仿宋" w:eastAsia="仿宋" w:cs="仿宋"/>
          <w:b/>
          <w:bCs/>
          <w:color w:val="auto"/>
          <w:u w:val="single"/>
          <w:lang w:val="en-US"/>
        </w:rPr>
        <w:t>营业执照（或事业单位法人证书或执业许可证或自然人有效身份证明）</w:t>
      </w:r>
    </w:p>
    <w:p w14:paraId="79881257">
      <w:pPr>
        <w:pStyle w:val="2"/>
        <w:spacing w:line="360" w:lineRule="auto"/>
        <w:ind w:firstLine="482" w:firstLineChars="200"/>
        <w:rPr>
          <w:rFonts w:ascii="仿宋" w:hAnsi="仿宋" w:eastAsia="仿宋" w:cs="仿宋"/>
          <w:color w:val="auto"/>
          <w:lang w:val="en-US"/>
        </w:rPr>
      </w:pPr>
      <w:r>
        <w:rPr>
          <w:rFonts w:hint="eastAsia" w:ascii="仿宋" w:hAnsi="仿宋" w:eastAsia="仿宋" w:cs="仿宋"/>
          <w:b/>
          <w:bCs/>
          <w:color w:val="auto"/>
          <w:lang w:val="en-US"/>
        </w:rPr>
        <w:t>提示和说明：</w:t>
      </w:r>
      <w:r>
        <w:rPr>
          <w:rFonts w:hint="eastAsia" w:ascii="仿宋" w:hAnsi="仿宋" w:eastAsia="仿宋" w:cs="仿宋"/>
          <w:color w:val="auto"/>
          <w:lang w:val="en-US"/>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24311B7B">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6668FBD1">
      <w:pPr>
        <w:pStyle w:val="2"/>
        <w:numPr>
          <w:ilvl w:val="0"/>
          <w:numId w:val="0"/>
        </w:numPr>
        <w:spacing w:line="360" w:lineRule="auto"/>
        <w:ind w:firstLine="480" w:firstLineChars="200"/>
        <w:rPr>
          <w:rFonts w:hint="eastAsia" w:ascii="仿宋" w:hAnsi="仿宋" w:eastAsia="仿宋" w:cs="仿宋"/>
          <w:color w:val="auto"/>
          <w:lang w:val="en-US" w:eastAsia="zh-CN"/>
        </w:rPr>
      </w:pPr>
      <w:bookmarkStart w:id="116" w:name="（3）有效的依法纳税证明和社保缴纳证明"/>
      <w:bookmarkEnd w:id="116"/>
      <w:r>
        <w:rPr>
          <w:rFonts w:hint="eastAsia" w:ascii="仿宋" w:hAnsi="仿宋" w:eastAsia="仿宋" w:cs="仿宋"/>
          <w:color w:val="auto"/>
          <w:lang w:val="en-US"/>
        </w:rPr>
        <w:t>（2）符合参加政府采购活动应当具备的一般条件的承诺函</w:t>
      </w:r>
      <w:bookmarkStart w:id="117" w:name="（4）参加政府采购活动前3年内在经营活动中有/无重大违法记录的书面说明附件"/>
      <w:bookmarkEnd w:id="117"/>
      <w:bookmarkStart w:id="118" w:name="（6）其它特定资格条件要求的相关证明文件（如有效的营业执照副本复印件等）"/>
      <w:bookmarkEnd w:id="118"/>
      <w:r>
        <w:rPr>
          <w:rFonts w:hint="eastAsia" w:ascii="仿宋" w:hAnsi="仿宋" w:eastAsia="仿宋" w:cs="仿宋"/>
          <w:color w:val="auto"/>
          <w:lang w:val="en-US" w:eastAsia="zh-CN"/>
        </w:rPr>
        <w:t>。</w:t>
      </w:r>
    </w:p>
    <w:p w14:paraId="6EEA6C42">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2</w:t>
      </w:r>
      <w:r>
        <w:rPr>
          <w:rFonts w:hint="eastAsia" w:ascii="仿宋" w:hAnsi="仿宋" w:eastAsia="仿宋" w:cs="仿宋"/>
          <w:color w:val="auto"/>
          <w:lang w:val="en-US" w:eastAsia="zh-CN"/>
        </w:rPr>
        <w:t>.</w:t>
      </w:r>
      <w:r>
        <w:rPr>
          <w:rFonts w:hint="eastAsia" w:ascii="仿宋" w:hAnsi="仿宋" w:eastAsia="仿宋" w:cs="仿宋"/>
          <w:color w:val="auto"/>
          <w:lang w:val="en-US"/>
        </w:rPr>
        <w:t>技术商务文件</w:t>
      </w:r>
    </w:p>
    <w:p w14:paraId="6716EEE0">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（1）评分对应表（格式见附件，主要用于评委对应评分内容）；</w:t>
      </w:r>
    </w:p>
    <w:p w14:paraId="469E00E4">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（2）投标函；</w:t>
      </w:r>
    </w:p>
    <w:p w14:paraId="6E11761A">
      <w:pPr>
        <w:pStyle w:val="2"/>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（3）授权委托书或法定代表人（单位负责人、自然人本人）身份证明；</w:t>
      </w:r>
    </w:p>
    <w:p w14:paraId="1CCCF1DB">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4</w:t>
      </w:r>
      <w:r>
        <w:rPr>
          <w:rFonts w:hint="eastAsia" w:ascii="仿宋" w:hAnsi="仿宋" w:eastAsia="仿宋" w:cs="仿宋"/>
          <w:color w:val="auto"/>
          <w:lang w:val="en-US"/>
        </w:rPr>
        <w:t>）技术、商务偏离说明表；</w:t>
      </w:r>
    </w:p>
    <w:p w14:paraId="538EBE6E">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5</w:t>
      </w:r>
      <w:r>
        <w:rPr>
          <w:rFonts w:hint="eastAsia" w:ascii="仿宋" w:hAnsi="仿宋" w:eastAsia="仿宋" w:cs="仿宋"/>
          <w:color w:val="auto"/>
          <w:lang w:val="en-US"/>
        </w:rPr>
        <w:t>）投标人情况介绍（含企业简介、技术力量、规模、在职人员、荣誉、</w:t>
      </w:r>
      <w:r>
        <w:rPr>
          <w:rFonts w:hint="eastAsia" w:ascii="仿宋" w:hAnsi="仿宋" w:eastAsia="仿宋" w:cs="仿宋"/>
          <w:color w:val="auto"/>
          <w:lang w:val="en-US" w:eastAsia="zh-CN"/>
        </w:rPr>
        <w:t>相关证书、</w:t>
      </w:r>
      <w:r>
        <w:rPr>
          <w:rFonts w:hint="eastAsia" w:ascii="仿宋" w:hAnsi="仿宋" w:eastAsia="仿宋" w:cs="仿宋"/>
          <w:color w:val="auto"/>
          <w:lang w:val="en-US"/>
        </w:rPr>
        <w:t>经营状况等）；</w:t>
      </w:r>
    </w:p>
    <w:p w14:paraId="758C1DC4">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6</w:t>
      </w:r>
      <w:r>
        <w:rPr>
          <w:rFonts w:hint="eastAsia" w:ascii="仿宋" w:hAnsi="仿宋" w:eastAsia="仿宋" w:cs="仿宋"/>
          <w:color w:val="auto"/>
          <w:lang w:val="en-US"/>
        </w:rPr>
        <w:t>）投标人认为可以证明其能力或业绩的其他材料（提供项目实施情况一览表，并附合同等证明材料复印件或扫描件并加盖公章）；</w:t>
      </w:r>
    </w:p>
    <w:p w14:paraId="47D55EC2">
      <w:pPr>
        <w:pStyle w:val="2"/>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（7）项目实施人员一览表；</w:t>
      </w:r>
    </w:p>
    <w:p w14:paraId="14C940A9">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8</w:t>
      </w:r>
      <w:r>
        <w:rPr>
          <w:rFonts w:hint="eastAsia" w:ascii="仿宋" w:hAnsi="仿宋" w:eastAsia="仿宋" w:cs="仿宋"/>
          <w:color w:val="auto"/>
          <w:lang w:val="en-US"/>
        </w:rPr>
        <w:t>）投标技术、服务方案（对照评分要求编制）；</w:t>
      </w:r>
    </w:p>
    <w:p w14:paraId="153820FE">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9</w:t>
      </w:r>
      <w:r>
        <w:rPr>
          <w:rFonts w:hint="eastAsia" w:ascii="仿宋" w:hAnsi="仿宋" w:eastAsia="仿宋" w:cs="仿宋"/>
          <w:color w:val="auto"/>
          <w:lang w:val="en-US"/>
        </w:rPr>
        <w:t>）售后服务方案：包括本地化服务、服务响应等服务承诺如有前提设定的，应明示，否则将被认为是无条件的；服务如涉及费用，也应明示，否则将被认为是免费的；</w:t>
      </w:r>
    </w:p>
    <w:p w14:paraId="6FD4669F">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10</w:t>
      </w:r>
      <w:r>
        <w:rPr>
          <w:rFonts w:hint="eastAsia" w:ascii="仿宋" w:hAnsi="仿宋" w:eastAsia="仿宋" w:cs="仿宋"/>
          <w:color w:val="auto"/>
          <w:lang w:val="en-US"/>
        </w:rPr>
        <w:t>）优惠条件及特殊承诺（含本公司优势）；</w:t>
      </w:r>
    </w:p>
    <w:p w14:paraId="2DFFB45F">
      <w:pPr>
        <w:pStyle w:val="2"/>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（11）投标人对本项目的合理化建议和改进措施；</w:t>
      </w:r>
    </w:p>
    <w:p w14:paraId="05EE6421">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12</w:t>
      </w:r>
      <w:r>
        <w:rPr>
          <w:rFonts w:hint="eastAsia" w:ascii="仿宋" w:hAnsi="仿宋" w:eastAsia="仿宋" w:cs="仿宋"/>
          <w:color w:val="auto"/>
          <w:lang w:val="en-US"/>
        </w:rPr>
        <w:t>）关于对采购文件中有关条款的拒绝声明；</w:t>
      </w:r>
    </w:p>
    <w:p w14:paraId="7BAD47B4">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13</w:t>
      </w:r>
      <w:r>
        <w:rPr>
          <w:rFonts w:hint="eastAsia" w:ascii="仿宋" w:hAnsi="仿宋" w:eastAsia="仿宋" w:cs="仿宋"/>
          <w:color w:val="auto"/>
          <w:lang w:val="en-US"/>
        </w:rPr>
        <w:t>）投标产品属于政府采购节能、环保产品认证证书（如有，则提供）；</w:t>
      </w:r>
    </w:p>
    <w:p w14:paraId="252FE603">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14</w:t>
      </w:r>
      <w:r>
        <w:rPr>
          <w:rFonts w:hint="eastAsia" w:ascii="仿宋" w:hAnsi="仿宋" w:eastAsia="仿宋" w:cs="仿宋"/>
          <w:color w:val="auto"/>
          <w:lang w:val="en-US"/>
        </w:rPr>
        <w:t>）投标人需要说明的其他文件和资料（格式自拟）</w:t>
      </w:r>
      <w:r>
        <w:rPr>
          <w:rFonts w:hint="eastAsia" w:ascii="仿宋" w:hAnsi="仿宋" w:eastAsia="仿宋" w:cs="仿宋"/>
          <w:color w:val="auto"/>
          <w:lang w:val="en-US" w:eastAsia="zh-CN"/>
        </w:rPr>
        <w:t>。</w:t>
      </w:r>
    </w:p>
    <w:p w14:paraId="5BFB889C">
      <w:pPr>
        <w:pStyle w:val="2"/>
        <w:spacing w:line="360" w:lineRule="auto"/>
        <w:ind w:firstLine="480" w:firstLineChars="200"/>
        <w:rPr>
          <w:rFonts w:ascii="仿宋" w:hAnsi="仿宋" w:eastAsia="仿宋" w:cs="仿宋"/>
          <w:color w:val="auto"/>
          <w:lang w:val="en-US"/>
        </w:rPr>
      </w:pPr>
      <w:bookmarkStart w:id="119" w:name="注：以上目录是编制响应内容的基本格式要求，供参考，响应人可根据自身情况进一步补充"/>
      <w:bookmarkEnd w:id="119"/>
      <w:r>
        <w:rPr>
          <w:rFonts w:hint="eastAsia" w:ascii="仿宋" w:hAnsi="仿宋" w:eastAsia="仿宋" w:cs="仿宋"/>
          <w:color w:val="auto"/>
          <w:lang w:val="en-US"/>
        </w:rPr>
        <w:t>注：以上目录是编制响应内容的基本格式要求，供参考，投标人可根据评标标准及自身情况进一步补充、细化、优化。</w:t>
      </w:r>
    </w:p>
    <w:p w14:paraId="1D393376">
      <w:pPr>
        <w:pStyle w:val="2"/>
        <w:spacing w:line="360" w:lineRule="auto"/>
        <w:ind w:firstLine="480" w:firstLineChars="200"/>
        <w:rPr>
          <w:rFonts w:ascii="仿宋" w:hAnsi="仿宋" w:eastAsia="仿宋" w:cs="仿宋"/>
          <w:color w:val="auto"/>
          <w:lang w:val="en-US"/>
        </w:rPr>
      </w:pPr>
      <w:bookmarkStart w:id="120" w:name="3、报价文件："/>
      <w:bookmarkEnd w:id="120"/>
      <w:r>
        <w:rPr>
          <w:rFonts w:hint="eastAsia" w:ascii="仿宋" w:hAnsi="仿宋" w:eastAsia="仿宋" w:cs="仿宋"/>
          <w:color w:val="auto"/>
          <w:lang w:val="en-US"/>
        </w:rPr>
        <w:t>3</w:t>
      </w:r>
      <w:r>
        <w:rPr>
          <w:rFonts w:hint="eastAsia" w:ascii="仿宋" w:hAnsi="仿宋" w:eastAsia="仿宋" w:cs="仿宋"/>
          <w:color w:val="auto"/>
          <w:lang w:val="en-US" w:eastAsia="zh-CN"/>
        </w:rPr>
        <w:t>.</w:t>
      </w:r>
      <w:r>
        <w:rPr>
          <w:rFonts w:hint="eastAsia" w:ascii="仿宋" w:hAnsi="仿宋" w:eastAsia="仿宋" w:cs="仿宋"/>
          <w:color w:val="auto"/>
          <w:lang w:val="en-US"/>
        </w:rPr>
        <w:t>报价文件：</w:t>
      </w:r>
    </w:p>
    <w:p w14:paraId="004E73E7">
      <w:pPr>
        <w:pStyle w:val="2"/>
        <w:spacing w:line="360" w:lineRule="auto"/>
        <w:ind w:firstLine="480" w:firstLineChars="200"/>
        <w:rPr>
          <w:rFonts w:ascii="仿宋" w:hAnsi="仿宋" w:eastAsia="仿宋" w:cs="仿宋"/>
          <w:color w:val="auto"/>
          <w:lang w:val="en-US"/>
        </w:rPr>
      </w:pPr>
      <w:bookmarkStart w:id="121" w:name="（1）磋商报价一览表（首次报价）"/>
      <w:bookmarkEnd w:id="121"/>
      <w:r>
        <w:rPr>
          <w:rFonts w:hint="eastAsia" w:ascii="仿宋" w:hAnsi="仿宋" w:eastAsia="仿宋" w:cs="仿宋"/>
          <w:color w:val="auto"/>
          <w:lang w:val="en-US"/>
        </w:rPr>
        <w:t>（1）开标一览表；</w:t>
      </w:r>
    </w:p>
    <w:p w14:paraId="22035860">
      <w:pPr>
        <w:pStyle w:val="2"/>
        <w:spacing w:line="360" w:lineRule="auto"/>
        <w:ind w:firstLine="480" w:firstLineChars="200"/>
        <w:rPr>
          <w:rFonts w:ascii="仿宋" w:hAnsi="仿宋" w:eastAsia="仿宋" w:cs="仿宋"/>
          <w:color w:val="auto"/>
          <w:lang w:val="en-US"/>
        </w:rPr>
      </w:pPr>
      <w:bookmarkStart w:id="122" w:name="（2）报价明细表（须详细列明本次项目投标报价的组成明细，格式自拟）"/>
      <w:bookmarkEnd w:id="122"/>
      <w:r>
        <w:rPr>
          <w:rFonts w:hint="eastAsia" w:ascii="仿宋" w:hAnsi="仿宋" w:eastAsia="仿宋" w:cs="仿宋"/>
          <w:color w:val="auto"/>
          <w:lang w:val="en-US"/>
        </w:rPr>
        <w:t>（2）报价明细表；</w:t>
      </w:r>
    </w:p>
    <w:p w14:paraId="352926E0">
      <w:pPr>
        <w:pStyle w:val="2"/>
        <w:numPr>
          <w:ilvl w:val="0"/>
          <w:numId w:val="0"/>
        </w:numPr>
        <w:spacing w:line="360" w:lineRule="auto"/>
        <w:ind w:firstLine="480" w:firstLineChars="200"/>
        <w:rPr>
          <w:rFonts w:hint="eastAsia" w:ascii="仿宋" w:hAnsi="仿宋" w:eastAsia="仿宋" w:cs="仿宋"/>
          <w:color w:val="auto"/>
          <w:lang w:val="en-US" w:eastAsia="zh-CN"/>
        </w:rPr>
      </w:pPr>
      <w:bookmarkStart w:id="123" w:name="（3）小微企业声明函【如有提供，后附“国家企业信用信息公示系统——小微企业名录”"/>
      <w:bookmarkEnd w:id="123"/>
      <w:bookmarkStart w:id="124" w:name="（4）采购文件要求的或响应人认为需要的其它资料"/>
      <w:bookmarkEnd w:id="124"/>
      <w:r>
        <w:rPr>
          <w:rFonts w:hint="eastAsia" w:ascii="仿宋" w:hAnsi="仿宋" w:eastAsia="仿宋" w:cs="仿宋"/>
          <w:color w:val="auto"/>
          <w:lang w:val="en-US" w:eastAsia="zh-CN"/>
        </w:rPr>
        <w:t>（3）《中小企业声明函（货物）》/监狱企业证明文件（如有）/《残疾人福利性单位声明函》；</w:t>
      </w:r>
    </w:p>
    <w:p w14:paraId="29DE0ECD">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firstLine="482" w:firstLineChars="200"/>
        <w:textAlignment w:val="auto"/>
        <w:rPr>
          <w:rFonts w:hint="eastAsia" w:ascii="仿宋" w:hAnsi="仿宋" w:eastAsia="仿宋" w:cs="仿宋"/>
          <w:color w:val="auto"/>
          <w:sz w:val="24"/>
          <w:szCs w:val="24"/>
          <w:lang w:val="en-US"/>
        </w:rPr>
      </w:pPr>
      <w:r>
        <w:rPr>
          <w:rFonts w:hint="eastAsia" w:ascii="仿宋" w:hAnsi="仿宋" w:eastAsia="仿宋" w:cs="仿宋"/>
          <w:b/>
          <w:bCs/>
          <w:color w:val="auto"/>
          <w:sz w:val="24"/>
          <w:szCs w:val="24"/>
          <w:lang w:val="en-US"/>
        </w:rPr>
        <w:t>提示和说明：</w:t>
      </w:r>
      <w:r>
        <w:rPr>
          <w:rFonts w:hint="eastAsia" w:ascii="仿宋" w:hAnsi="仿宋" w:eastAsia="仿宋" w:cs="仿宋"/>
          <w:b/>
          <w:bCs/>
          <w:color w:val="auto"/>
          <w:sz w:val="24"/>
          <w:szCs w:val="24"/>
          <w:lang w:val="en-US" w:eastAsia="zh-CN"/>
        </w:rPr>
        <w:t>a.货物全部由符合政策要求的中小企业制造；</w:t>
      </w:r>
      <w:r>
        <w:rPr>
          <w:rFonts w:hint="eastAsia" w:ascii="仿宋" w:hAnsi="仿宋" w:eastAsia="仿宋" w:cs="仿宋"/>
          <w:color w:val="auto"/>
          <w:sz w:val="24"/>
          <w:szCs w:val="24"/>
          <w:lang w:val="en-US"/>
        </w:rPr>
        <w:t>依据《财政部、司法部关于政府采购支持监狱企业发展有关问题的通知》（财库[2014]68 号）规定，在政府采购活动中，监狱企业视同小型、微型企业；依据《财政部、民政部、中国残疾人联合会关于促进残疾人就业政府采购政策的通知》（财库[2017]141 号）规定，在政府采购活动中，残疾⼈福利性单位视同小型、微型企业。</w:t>
      </w:r>
    </w:p>
    <w:p w14:paraId="327EE615">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b.若投标人提供的某项货物为监狱企业生产的，另须提供省级或以上监狱管理局、戒毒管理局（含新疆生产建设兵团）出具的属于监狱企业的证明文件。</w:t>
      </w:r>
    </w:p>
    <w:p w14:paraId="6E4B25D3">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c.若投标人提供的某项货物为残疾人福利性单位生产的，另须提供《残疾人福利性单位声明函》，并对声明的真实性负责。</w:t>
      </w:r>
    </w:p>
    <w:p w14:paraId="2382C51D">
      <w:pPr>
        <w:pStyle w:val="2"/>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rPr>
        <w:t>（</w:t>
      </w:r>
      <w:r>
        <w:rPr>
          <w:rFonts w:hint="eastAsia" w:ascii="仿宋" w:hAnsi="仿宋" w:eastAsia="仿宋" w:cs="仿宋"/>
          <w:color w:val="auto"/>
          <w:lang w:val="en-US" w:eastAsia="zh-CN"/>
        </w:rPr>
        <w:t>4</w:t>
      </w:r>
      <w:r>
        <w:rPr>
          <w:rFonts w:hint="eastAsia" w:ascii="仿宋" w:hAnsi="仿宋" w:eastAsia="仿宋" w:cs="仿宋"/>
          <w:color w:val="auto"/>
          <w:lang w:val="en-US"/>
        </w:rPr>
        <w:t>）报价文件要求的或投标人认为需要的其它资料</w:t>
      </w:r>
      <w:r>
        <w:rPr>
          <w:rFonts w:hint="eastAsia" w:ascii="仿宋" w:hAnsi="仿宋" w:eastAsia="仿宋" w:cs="仿宋"/>
          <w:color w:val="auto"/>
          <w:lang w:val="en-US" w:eastAsia="zh-CN"/>
        </w:rPr>
        <w:t>。</w:t>
      </w:r>
    </w:p>
    <w:p w14:paraId="3CC3E529">
      <w:pPr>
        <w:pStyle w:val="2"/>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投标文件含有采购人不能接受的附加条件的，投标无效；</w:t>
      </w:r>
    </w:p>
    <w:p w14:paraId="18965B5F">
      <w:pPr>
        <w:pStyle w:val="2"/>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val="en-US" w:eastAsia="zh-CN"/>
        </w:rPr>
        <w:t>投标人提供虚假材料投标的，投标无效。</w:t>
      </w:r>
    </w:p>
    <w:p w14:paraId="7675601E">
      <w:pPr>
        <w:pStyle w:val="2"/>
        <w:spacing w:line="360" w:lineRule="auto"/>
        <w:ind w:firstLine="480" w:firstLineChars="200"/>
        <w:outlineLvl w:val="2"/>
        <w:rPr>
          <w:rFonts w:ascii="仿宋" w:hAnsi="仿宋" w:eastAsia="仿宋" w:cs="仿宋"/>
          <w:color w:val="auto"/>
        </w:rPr>
      </w:pPr>
      <w:bookmarkStart w:id="125" w:name="（三）磋商响应文件的语言及计量"/>
      <w:bookmarkEnd w:id="125"/>
      <w:bookmarkStart w:id="126" w:name="_Toc23669"/>
      <w:bookmarkStart w:id="127" w:name="_Toc4246"/>
      <w:bookmarkStart w:id="128" w:name="_Toc10850"/>
      <w:r>
        <w:rPr>
          <w:rFonts w:hint="eastAsia" w:ascii="仿宋" w:hAnsi="仿宋" w:eastAsia="仿宋" w:cs="仿宋"/>
          <w:color w:val="auto"/>
        </w:rPr>
        <w:t>（</w:t>
      </w:r>
      <w:r>
        <w:rPr>
          <w:rFonts w:hint="eastAsia" w:ascii="仿宋" w:hAnsi="仿宋" w:eastAsia="仿宋" w:cs="仿宋"/>
          <w:color w:val="auto"/>
          <w:lang w:val="en-US" w:eastAsia="zh-CN"/>
        </w:rPr>
        <w:t>六</w:t>
      </w:r>
      <w:r>
        <w:rPr>
          <w:rFonts w:hint="eastAsia" w:ascii="仿宋" w:hAnsi="仿宋" w:eastAsia="仿宋" w:cs="仿宋"/>
          <w:color w:val="auto"/>
        </w:rPr>
        <w:t>）投标文件的语言及计量</w:t>
      </w:r>
      <w:bookmarkEnd w:id="126"/>
      <w:bookmarkEnd w:id="127"/>
      <w:bookmarkEnd w:id="128"/>
    </w:p>
    <w:p w14:paraId="13292E83">
      <w:pPr>
        <w:pStyle w:val="36"/>
        <w:tabs>
          <w:tab w:val="left" w:pos="1313"/>
        </w:tabs>
        <w:spacing w:line="360" w:lineRule="auto"/>
        <w:ind w:left="0" w:firstLineChars="200"/>
        <w:jc w:val="both"/>
        <w:rPr>
          <w:rFonts w:ascii="仿宋" w:hAnsi="仿宋" w:eastAsia="仿宋" w:cs="仿宋"/>
          <w:color w:val="auto"/>
          <w:sz w:val="24"/>
          <w:szCs w:val="24"/>
        </w:rPr>
      </w:pP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投标文件以及投标人与代理机构就有关投标事宜的所有来往函电，均应以中文汉语书写。除签名、盖章、专用名称等特殊情形外，以中文汉语以外的文字表述的投标文件视同未提供。</w:t>
      </w:r>
    </w:p>
    <w:p w14:paraId="6BDF493A">
      <w:pPr>
        <w:pStyle w:val="36"/>
        <w:tabs>
          <w:tab w:val="left" w:pos="1313"/>
        </w:tabs>
        <w:spacing w:line="360" w:lineRule="auto"/>
        <w:ind w:left="0" w:firstLineChars="200"/>
        <w:jc w:val="both"/>
        <w:rPr>
          <w:rFonts w:ascii="仿宋" w:hAnsi="仿宋" w:eastAsia="仿宋" w:cs="仿宋"/>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投标计量单位，采购文件已有明确规定的，使用采购文件规定的计量单位，采购文件没有规定的，应采用中华人民共和国法定计量单位（货币单位：人民币元），否则视同未响应。</w:t>
      </w:r>
      <w:bookmarkStart w:id="129" w:name="（四）投标报价"/>
      <w:bookmarkEnd w:id="129"/>
    </w:p>
    <w:p w14:paraId="657D82C4">
      <w:pPr>
        <w:pStyle w:val="36"/>
        <w:tabs>
          <w:tab w:val="left" w:pos="1313"/>
        </w:tabs>
        <w:spacing w:line="360" w:lineRule="auto"/>
        <w:ind w:left="0" w:firstLineChars="200"/>
        <w:jc w:val="both"/>
        <w:outlineLvl w:val="2"/>
        <w:rPr>
          <w:rFonts w:ascii="仿宋" w:hAnsi="仿宋" w:eastAsia="仿宋" w:cs="仿宋"/>
          <w:color w:val="auto"/>
          <w:sz w:val="24"/>
          <w:szCs w:val="24"/>
        </w:rPr>
      </w:pPr>
      <w:bookmarkStart w:id="130" w:name="_Toc27893"/>
      <w:bookmarkStart w:id="131" w:name="_Toc16807"/>
      <w:bookmarkStart w:id="132" w:name="_Toc14156"/>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）投标报价</w:t>
      </w:r>
      <w:bookmarkEnd w:id="130"/>
      <w:bookmarkEnd w:id="131"/>
      <w:bookmarkEnd w:id="132"/>
    </w:p>
    <w:p w14:paraId="56314455">
      <w:pPr>
        <w:pStyle w:val="36"/>
        <w:tabs>
          <w:tab w:val="left" w:pos="1313"/>
        </w:tabs>
        <w:spacing w:line="360" w:lineRule="auto"/>
        <w:ind w:left="0"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lang w:val="en-US"/>
        </w:rPr>
        <w:t>1.</w:t>
      </w:r>
      <w:r>
        <w:rPr>
          <w:rFonts w:hint="eastAsia" w:ascii="仿宋" w:hAnsi="仿宋" w:eastAsia="仿宋" w:cs="仿宋"/>
          <w:b/>
          <w:bCs/>
          <w:color w:val="auto"/>
          <w:sz w:val="24"/>
          <w:szCs w:val="24"/>
        </w:rPr>
        <w:t>报价一览表和报价明细清单中每一项目只允许有一个报价，任何有选择的报价将不予接受。报价应按采购文件中相关附表格式填报。</w:t>
      </w:r>
    </w:p>
    <w:p w14:paraId="0274A74A">
      <w:pPr>
        <w:spacing w:line="360" w:lineRule="auto"/>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lang w:val="en-US"/>
        </w:rPr>
        <w:t>投标人</w:t>
      </w:r>
      <w:r>
        <w:rPr>
          <w:rFonts w:hint="eastAsia" w:ascii="仿宋" w:hAnsi="仿宋" w:eastAsia="仿宋" w:cs="仿宋"/>
          <w:color w:val="auto"/>
          <w:sz w:val="24"/>
          <w:szCs w:val="24"/>
        </w:rPr>
        <w:t>应按照本采购文件确定的工作范围、</w:t>
      </w:r>
      <w:r>
        <w:rPr>
          <w:rFonts w:hint="eastAsia" w:ascii="仿宋" w:hAnsi="仿宋" w:eastAsia="仿宋" w:cs="仿宋"/>
          <w:color w:val="auto"/>
          <w:sz w:val="24"/>
          <w:szCs w:val="24"/>
          <w:lang w:val="en-US"/>
        </w:rPr>
        <w:t>采购人</w:t>
      </w:r>
      <w:r>
        <w:rPr>
          <w:rFonts w:hint="eastAsia" w:ascii="仿宋" w:hAnsi="仿宋" w:eastAsia="仿宋" w:cs="仿宋"/>
          <w:color w:val="auto"/>
          <w:sz w:val="24"/>
          <w:szCs w:val="24"/>
        </w:rPr>
        <w:t>给定资料以及现场勘查情况，结合市场竞争的原则及现行行业规范规定，以投标文件中(包括但不限于)所报方案，在充分考虑实际工作量、</w:t>
      </w:r>
      <w:r>
        <w:rPr>
          <w:rFonts w:hint="eastAsia" w:ascii="仿宋" w:hAnsi="仿宋" w:eastAsia="仿宋" w:cs="仿宋"/>
          <w:color w:val="auto"/>
          <w:sz w:val="24"/>
          <w:szCs w:val="24"/>
          <w:lang w:val="en-US"/>
        </w:rPr>
        <w:t>货物价格</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技术难度</w:t>
      </w:r>
      <w:r>
        <w:rPr>
          <w:rFonts w:hint="eastAsia" w:ascii="仿宋" w:hAnsi="仿宋" w:eastAsia="仿宋" w:cs="仿宋"/>
          <w:color w:val="auto"/>
          <w:sz w:val="24"/>
          <w:szCs w:val="24"/>
        </w:rPr>
        <w:t>、复杂性、项目推进遇阻致使服务期限延长等所有因素及风险的基础上考虑报价。</w:t>
      </w:r>
    </w:p>
    <w:p w14:paraId="4B8DB5F4">
      <w:pPr>
        <w:numPr>
          <w:ilvl w:val="0"/>
          <w:numId w:val="0"/>
        </w:numPr>
        <w:tabs>
          <w:tab w:val="left" w:pos="1315"/>
        </w:tabs>
        <w:spacing w:line="360" w:lineRule="auto"/>
        <w:ind w:firstLine="480" w:firstLineChars="200"/>
        <w:jc w:val="both"/>
        <w:rPr>
          <w:rFonts w:hint="eastAsia" w:ascii="仿宋" w:hAnsi="仿宋" w:eastAsia="仿宋" w:cs="仿宋"/>
          <w:color w:val="auto"/>
          <w:sz w:val="24"/>
          <w:szCs w:val="24"/>
          <w:u w:val="single"/>
          <w:lang w:val="en-US"/>
        </w:rPr>
      </w:pP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single"/>
          <w:lang w:val="en-US" w:eastAsia="zh-CN"/>
        </w:rPr>
        <w:t>报价即合同履行价，应包含货物总价（含税、运保、货物附件等费用），同时包括货物技术服务费（含货物安装调试直至能够正常使用的费用）、材料费、税金、调试费、人工费、运杂费、装卸费、运输保险费、技术培训费、验收费、招标代理服务费等。属于完成本次项目所必需的但投标人未列入报价的费用将被视为投标人优惠，采购人均不予支付。</w:t>
      </w:r>
    </w:p>
    <w:p w14:paraId="671A462B">
      <w:pPr>
        <w:spacing w:line="360" w:lineRule="auto"/>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3.有实物工程量而无报价的，在实施后，采购人将不予以支付，并视作该项费用</w:t>
      </w:r>
      <w:r>
        <w:rPr>
          <w:rFonts w:hint="eastAsia" w:ascii="仿宋" w:hAnsi="仿宋" w:eastAsia="仿宋" w:cs="仿宋"/>
          <w:b/>
          <w:color w:val="auto"/>
          <w:sz w:val="24"/>
          <w:szCs w:val="24"/>
        </w:rPr>
        <w:t>已包括在其它有价款的单价或合价内。</w:t>
      </w:r>
      <w:r>
        <w:rPr>
          <w:rFonts w:hint="eastAsia" w:ascii="仿宋" w:hAnsi="仿宋" w:eastAsia="仿宋" w:cs="仿宋"/>
          <w:color w:val="auto"/>
          <w:sz w:val="24"/>
          <w:szCs w:val="24"/>
        </w:rPr>
        <w:t>各</w:t>
      </w:r>
      <w:r>
        <w:rPr>
          <w:rFonts w:hint="eastAsia" w:ascii="仿宋" w:hAnsi="仿宋" w:eastAsia="仿宋" w:cs="仿宋"/>
          <w:color w:val="auto"/>
          <w:sz w:val="24"/>
          <w:szCs w:val="24"/>
          <w:lang w:val="en-US"/>
        </w:rPr>
        <w:t>投标人</w:t>
      </w:r>
      <w:r>
        <w:rPr>
          <w:rFonts w:hint="eastAsia" w:ascii="仿宋" w:hAnsi="仿宋" w:eastAsia="仿宋" w:cs="仿宋"/>
          <w:color w:val="auto"/>
          <w:sz w:val="24"/>
          <w:szCs w:val="24"/>
        </w:rPr>
        <w:t>根据自身的综合实力，充分考虑本项目的各种情况竞争报价。</w:t>
      </w:r>
    </w:p>
    <w:p w14:paraId="0424D277">
      <w:pPr>
        <w:pStyle w:val="2"/>
        <w:spacing w:line="360" w:lineRule="auto"/>
        <w:ind w:firstLine="480" w:firstLineChars="200"/>
        <w:rPr>
          <w:rFonts w:ascii="仿宋" w:hAnsi="仿宋" w:eastAsia="仿宋" w:cs="仿宋"/>
          <w:color w:val="auto"/>
        </w:rPr>
      </w:pPr>
      <w:bookmarkStart w:id="133" w:name="4.所有投标报价必须以人民币报价，否则不予接受。"/>
      <w:bookmarkEnd w:id="133"/>
      <w:r>
        <w:rPr>
          <w:rFonts w:hint="eastAsia" w:ascii="仿宋" w:hAnsi="仿宋" w:eastAsia="仿宋" w:cs="仿宋"/>
          <w:color w:val="auto"/>
        </w:rPr>
        <w:t>4.所有投标报价必须以人民币报价，否则不予接受。</w:t>
      </w:r>
    </w:p>
    <w:p w14:paraId="24D80259">
      <w:pPr>
        <w:pStyle w:val="2"/>
        <w:spacing w:line="360" w:lineRule="auto"/>
        <w:ind w:firstLine="480" w:firstLineChars="200"/>
        <w:outlineLvl w:val="2"/>
        <w:rPr>
          <w:rFonts w:ascii="仿宋" w:hAnsi="仿宋" w:eastAsia="仿宋" w:cs="仿宋"/>
          <w:color w:val="auto"/>
        </w:rPr>
      </w:pPr>
      <w:bookmarkStart w:id="134" w:name="（五）磋商响应文件的有效期"/>
      <w:bookmarkEnd w:id="134"/>
      <w:bookmarkStart w:id="135" w:name="_Toc2697"/>
      <w:bookmarkStart w:id="136" w:name="_Toc26446"/>
      <w:bookmarkStart w:id="137" w:name="_Toc18242"/>
      <w:r>
        <w:rPr>
          <w:rFonts w:hint="eastAsia" w:ascii="仿宋" w:hAnsi="仿宋" w:eastAsia="仿宋" w:cs="仿宋"/>
          <w:color w:val="auto"/>
        </w:rPr>
        <w:t>（</w:t>
      </w:r>
      <w:r>
        <w:rPr>
          <w:rFonts w:hint="eastAsia" w:ascii="仿宋" w:hAnsi="仿宋" w:eastAsia="仿宋" w:cs="仿宋"/>
          <w:color w:val="auto"/>
          <w:lang w:val="en-US" w:eastAsia="zh-CN"/>
        </w:rPr>
        <w:t>八</w:t>
      </w:r>
      <w:r>
        <w:rPr>
          <w:rFonts w:hint="eastAsia" w:ascii="仿宋" w:hAnsi="仿宋" w:eastAsia="仿宋" w:cs="仿宋"/>
          <w:color w:val="auto"/>
        </w:rPr>
        <w:t>）投标文件的有效期</w:t>
      </w:r>
      <w:bookmarkEnd w:id="135"/>
      <w:bookmarkEnd w:id="136"/>
      <w:bookmarkEnd w:id="137"/>
    </w:p>
    <w:p w14:paraId="796944C5">
      <w:pPr>
        <w:pStyle w:val="36"/>
        <w:tabs>
          <w:tab w:val="left" w:pos="1314"/>
        </w:tabs>
        <w:spacing w:line="360" w:lineRule="auto"/>
        <w:ind w:left="0" w:firstLineChars="200"/>
        <w:rPr>
          <w:rFonts w:ascii="仿宋" w:hAnsi="仿宋" w:eastAsia="仿宋" w:cs="仿宋"/>
          <w:color w:val="auto"/>
          <w:sz w:val="24"/>
          <w:szCs w:val="24"/>
        </w:rPr>
      </w:pPr>
      <w:bookmarkStart w:id="138" w:name="1.自投标截止日起90天内磋商响应文件应保持有效。有效期不足的磋商响应文件将被拒"/>
      <w:bookmarkEnd w:id="138"/>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 xml:space="preserve">自投标截止日起 </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 xml:space="preserve"> 天内投标文件应保持有效。有效期不足的投标文件将被拒绝。</w:t>
      </w:r>
    </w:p>
    <w:p w14:paraId="6CC78BF5">
      <w:pPr>
        <w:pStyle w:val="36"/>
        <w:tabs>
          <w:tab w:val="left" w:pos="1313"/>
        </w:tabs>
        <w:spacing w:line="360" w:lineRule="auto"/>
        <w:ind w:left="0" w:firstLineChars="200"/>
        <w:rPr>
          <w:rFonts w:hint="eastAsia" w:ascii="仿宋" w:hAnsi="仿宋" w:eastAsia="仿宋" w:cs="仿宋"/>
          <w:color w:val="auto"/>
          <w:sz w:val="24"/>
          <w:szCs w:val="24"/>
        </w:rPr>
      </w:pPr>
      <w:bookmarkStart w:id="139" w:name="2.成交企业的磋商响应文件自磋商之日起至合同履行完毕止均应保持有效。"/>
      <w:bookmarkEnd w:id="139"/>
      <w:r>
        <w:rPr>
          <w:rFonts w:hint="eastAsia" w:ascii="仿宋" w:hAnsi="仿宋" w:eastAsia="仿宋" w:cs="仿宋"/>
          <w:color w:val="auto"/>
          <w:sz w:val="24"/>
          <w:szCs w:val="24"/>
          <w:lang w:val="en-US"/>
        </w:rPr>
        <w:t>2.中标单位</w:t>
      </w:r>
      <w:r>
        <w:rPr>
          <w:rFonts w:hint="eastAsia" w:ascii="仿宋" w:hAnsi="仿宋" w:eastAsia="仿宋" w:cs="仿宋"/>
          <w:color w:val="auto"/>
          <w:sz w:val="24"/>
          <w:szCs w:val="24"/>
        </w:rPr>
        <w:t>的投标文件自</w:t>
      </w:r>
      <w:r>
        <w:rPr>
          <w:rFonts w:hint="eastAsia" w:ascii="仿宋" w:hAnsi="仿宋" w:eastAsia="仿宋" w:cs="仿宋"/>
          <w:color w:val="auto"/>
          <w:sz w:val="24"/>
          <w:szCs w:val="24"/>
          <w:lang w:val="en-US"/>
        </w:rPr>
        <w:t>投标截止</w:t>
      </w:r>
      <w:r>
        <w:rPr>
          <w:rFonts w:hint="eastAsia" w:ascii="仿宋" w:hAnsi="仿宋" w:eastAsia="仿宋" w:cs="仿宋"/>
          <w:color w:val="auto"/>
          <w:sz w:val="24"/>
          <w:szCs w:val="24"/>
        </w:rPr>
        <w:t>之日起至合同履行完毕止均应保持有效。</w:t>
      </w:r>
    </w:p>
    <w:p w14:paraId="5EEA0341">
      <w:pPr>
        <w:pStyle w:val="36"/>
        <w:tabs>
          <w:tab w:val="left" w:pos="1313"/>
        </w:tabs>
        <w:spacing w:line="360" w:lineRule="auto"/>
        <w:ind w:left="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3.在原定投标有效期满之前，如果出现特殊情况，采购代理机构可以以书面形式通知投标人延长投标有效期。投标人同意延长的，不得要求或被允许修改其投标文件，投标人拒绝延长的，其投标无效。</w:t>
      </w:r>
    </w:p>
    <w:p w14:paraId="66DB0F54">
      <w:pPr>
        <w:pStyle w:val="2"/>
        <w:spacing w:line="360" w:lineRule="auto"/>
        <w:ind w:firstLine="480" w:firstLineChars="200"/>
        <w:outlineLvl w:val="2"/>
        <w:rPr>
          <w:rFonts w:ascii="仿宋" w:hAnsi="仿宋" w:eastAsia="仿宋" w:cs="仿宋"/>
          <w:color w:val="auto"/>
        </w:rPr>
      </w:pPr>
      <w:bookmarkStart w:id="140" w:name="（六）磋商保证金"/>
      <w:bookmarkEnd w:id="140"/>
      <w:bookmarkStart w:id="141" w:name="（七）磋商响应文件的签署和份数"/>
      <w:bookmarkEnd w:id="141"/>
      <w:bookmarkStart w:id="142" w:name="_Toc1641"/>
      <w:bookmarkStart w:id="143" w:name="_Toc12970"/>
      <w:bookmarkStart w:id="144" w:name="_Toc13471"/>
      <w:r>
        <w:rPr>
          <w:rFonts w:hint="eastAsia" w:ascii="仿宋" w:hAnsi="仿宋" w:eastAsia="仿宋" w:cs="仿宋"/>
          <w:color w:val="auto"/>
        </w:rPr>
        <w:t>（</w:t>
      </w:r>
      <w:r>
        <w:rPr>
          <w:rFonts w:hint="eastAsia" w:ascii="仿宋" w:hAnsi="仿宋" w:eastAsia="仿宋" w:cs="仿宋"/>
          <w:color w:val="auto"/>
          <w:lang w:val="en-US" w:eastAsia="zh-CN"/>
        </w:rPr>
        <w:t>九</w:t>
      </w:r>
      <w:r>
        <w:rPr>
          <w:rFonts w:hint="eastAsia" w:ascii="仿宋" w:hAnsi="仿宋" w:eastAsia="仿宋" w:cs="仿宋"/>
          <w:color w:val="auto"/>
        </w:rPr>
        <w:t>）投标文件的签署和份数</w:t>
      </w:r>
      <w:bookmarkEnd w:id="142"/>
      <w:bookmarkEnd w:id="143"/>
      <w:bookmarkEnd w:id="144"/>
    </w:p>
    <w:p w14:paraId="7DF4F92C">
      <w:pPr>
        <w:spacing w:line="360" w:lineRule="auto"/>
        <w:ind w:firstLine="480" w:firstLineChars="200"/>
        <w:rPr>
          <w:rFonts w:ascii="仿宋" w:hAnsi="仿宋" w:eastAsia="仿宋" w:cs="仿宋"/>
          <w:color w:val="auto"/>
          <w:sz w:val="24"/>
          <w:szCs w:val="24"/>
        </w:rPr>
      </w:pPr>
      <w:bookmarkStart w:id="145" w:name="响应人应根据“政采云电子交易客户端”及本采购文件规定的格式和顺序编制电子响应文件"/>
      <w:bookmarkEnd w:id="145"/>
      <w:r>
        <w:rPr>
          <w:rFonts w:hint="eastAsia" w:ascii="仿宋" w:hAnsi="仿宋" w:eastAsia="仿宋" w:cs="仿宋"/>
          <w:color w:val="auto"/>
          <w:sz w:val="24"/>
          <w:szCs w:val="24"/>
        </w:rPr>
        <w:t>投标人应根据“政采云电子交易客户端”及本采购文件规定的格式和顺序编制电子投标文件并进行关联定位。</w:t>
      </w:r>
    </w:p>
    <w:p w14:paraId="0756270D">
      <w:pPr>
        <w:spacing w:line="360" w:lineRule="auto"/>
        <w:ind w:firstLine="480" w:firstLineChars="200"/>
        <w:jc w:val="both"/>
        <w:rPr>
          <w:rFonts w:ascii="仿宋" w:hAnsi="仿宋" w:eastAsia="仿宋" w:cs="仿宋"/>
          <w:color w:val="auto"/>
          <w:sz w:val="24"/>
          <w:szCs w:val="24"/>
        </w:rPr>
      </w:pPr>
      <w:bookmarkStart w:id="146" w:name="电子响应文件（加密文件）上传至政采云平台，电子响应文件（备份文件）拷入U盘，数量"/>
      <w:bookmarkEnd w:id="146"/>
      <w:r>
        <w:rPr>
          <w:rFonts w:hint="eastAsia" w:ascii="仿宋" w:hAnsi="仿宋" w:eastAsia="仿宋" w:cs="仿宋"/>
          <w:color w:val="auto"/>
          <w:sz w:val="24"/>
          <w:szCs w:val="24"/>
        </w:rPr>
        <w:t>电子投标文件（加密文件）上传至政采云平台，电子投标文件（备份文件）拷入</w:t>
      </w: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rPr>
        <w:t>U 盘，数量 1 份，密封包装，于响应截止时间前邮寄或现场递交至代理机构处（以代理机构收到为准），但不强制要求提交。逾期提交的代理机构将拒绝。（邮寄地址：</w:t>
      </w:r>
      <w:r>
        <w:rPr>
          <w:rFonts w:hint="eastAsia" w:ascii="仿宋" w:hAnsi="仿宋" w:eastAsia="仿宋" w:cs="仿宋"/>
          <w:color w:val="auto"/>
          <w:sz w:val="24"/>
          <w:szCs w:val="24"/>
          <w:lang w:val="en-US" w:eastAsia="zh-CN"/>
        </w:rPr>
        <w:t>浙江东瓯工程造价咨询有限公司</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苍南县灵溪镇上江小区13幢1单元301室</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黄先生</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0577-68898877，18267891565</w:t>
      </w:r>
      <w:r>
        <w:rPr>
          <w:rFonts w:hint="eastAsia" w:ascii="仿宋" w:hAnsi="仿宋" w:eastAsia="仿宋" w:cs="仿宋"/>
          <w:color w:val="auto"/>
          <w:sz w:val="24"/>
          <w:szCs w:val="24"/>
        </w:rPr>
        <w:t>）</w:t>
      </w:r>
      <w:bookmarkStart w:id="147" w:name="电子响应文件（备份文件）表面应粘贴标签，标明响应人名称，外包封标明项目名称、项目"/>
      <w:bookmarkEnd w:id="147"/>
      <w:r>
        <w:rPr>
          <w:rFonts w:hint="eastAsia" w:ascii="仿宋" w:hAnsi="仿宋" w:eastAsia="仿宋" w:cs="仿宋"/>
          <w:color w:val="auto"/>
          <w:sz w:val="24"/>
          <w:szCs w:val="24"/>
        </w:rPr>
        <w:t>电子投标文件（备份文件）表面应粘贴标签，标明</w:t>
      </w:r>
      <w:r>
        <w:rPr>
          <w:rFonts w:hint="eastAsia" w:ascii="仿宋" w:hAnsi="仿宋" w:eastAsia="仿宋" w:cs="仿宋"/>
          <w:color w:val="auto"/>
          <w:sz w:val="24"/>
          <w:szCs w:val="24"/>
          <w:lang w:val="en-US"/>
        </w:rPr>
        <w:t>投标</w:t>
      </w:r>
      <w:r>
        <w:rPr>
          <w:rFonts w:hint="eastAsia" w:ascii="仿宋" w:hAnsi="仿宋" w:eastAsia="仿宋" w:cs="仿宋"/>
          <w:color w:val="auto"/>
          <w:sz w:val="24"/>
          <w:szCs w:val="24"/>
        </w:rPr>
        <w:t>人名称，外包封标明项目名称、项目编号、电子投标文件（备份文件）、采购人名称，并加盖投标人公章。封套的封口处也应加盖投标人单位公章。</w:t>
      </w:r>
    </w:p>
    <w:p w14:paraId="6B6046CE">
      <w:pPr>
        <w:pStyle w:val="2"/>
        <w:spacing w:line="360" w:lineRule="auto"/>
        <w:ind w:firstLine="480" w:firstLineChars="200"/>
        <w:outlineLvl w:val="2"/>
        <w:rPr>
          <w:rFonts w:hint="eastAsia" w:ascii="仿宋" w:hAnsi="仿宋" w:eastAsia="仿宋" w:cs="仿宋"/>
          <w:color w:val="auto"/>
        </w:rPr>
      </w:pPr>
      <w:bookmarkStart w:id="148" w:name="_Toc11502"/>
      <w:bookmarkStart w:id="149" w:name="_Toc2454"/>
      <w:bookmarkStart w:id="150" w:name="_Toc1346"/>
      <w:r>
        <w:rPr>
          <w:rFonts w:hint="eastAsia" w:ascii="仿宋" w:hAnsi="仿宋" w:eastAsia="仿宋" w:cs="仿宋"/>
          <w:color w:val="auto"/>
          <w:lang w:eastAsia="zh-CN"/>
        </w:rPr>
        <w:t>（</w:t>
      </w:r>
      <w:r>
        <w:rPr>
          <w:rFonts w:hint="eastAsia" w:ascii="仿宋" w:hAnsi="仿宋" w:eastAsia="仿宋" w:cs="仿宋"/>
          <w:color w:val="auto"/>
          <w:lang w:val="en-US" w:eastAsia="zh-CN"/>
        </w:rPr>
        <w:t>十</w:t>
      </w:r>
      <w:r>
        <w:rPr>
          <w:rFonts w:hint="eastAsia" w:ascii="仿宋" w:hAnsi="仿宋" w:eastAsia="仿宋" w:cs="仿宋"/>
          <w:color w:val="auto"/>
          <w:lang w:eastAsia="zh-CN"/>
        </w:rPr>
        <w:t>）</w:t>
      </w:r>
      <w:r>
        <w:rPr>
          <w:rFonts w:hint="eastAsia" w:ascii="仿宋" w:hAnsi="仿宋" w:eastAsia="仿宋" w:cs="仿宋"/>
          <w:color w:val="auto"/>
        </w:rPr>
        <w:t>投标文件的提交、补充、修改、撤回</w:t>
      </w:r>
      <w:bookmarkEnd w:id="148"/>
      <w:bookmarkEnd w:id="149"/>
    </w:p>
    <w:p w14:paraId="591965A5">
      <w:pPr>
        <w:pStyle w:val="2"/>
        <w:spacing w:line="360" w:lineRule="auto"/>
        <w:ind w:firstLine="480" w:firstLineChars="200"/>
        <w:outlineLvl w:val="2"/>
        <w:rPr>
          <w:rFonts w:hint="eastAsia" w:ascii="仿宋" w:hAnsi="仿宋" w:eastAsia="仿宋" w:cs="仿宋"/>
          <w:color w:val="auto"/>
        </w:rPr>
      </w:pPr>
      <w:bookmarkStart w:id="151" w:name="_Toc32197"/>
      <w:bookmarkStart w:id="152" w:name="_Toc7580"/>
      <w:r>
        <w:rPr>
          <w:rFonts w:hint="eastAsia" w:ascii="仿宋" w:hAnsi="仿宋" w:eastAsia="仿宋" w:cs="仿宋"/>
          <w:color w:val="auto"/>
          <w:lang w:val="en-US" w:eastAsia="zh-CN"/>
        </w:rPr>
        <w:t>1.投标人</w:t>
      </w:r>
      <w:r>
        <w:rPr>
          <w:rFonts w:hint="eastAsia" w:ascii="仿宋" w:hAnsi="仿宋" w:eastAsia="仿宋" w:cs="仿宋"/>
          <w:color w:val="auto"/>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bookmarkEnd w:id="151"/>
      <w:bookmarkEnd w:id="152"/>
    </w:p>
    <w:p w14:paraId="7FA1F7C9">
      <w:pPr>
        <w:pStyle w:val="2"/>
        <w:spacing w:line="360" w:lineRule="auto"/>
        <w:ind w:firstLine="480" w:firstLineChars="200"/>
        <w:outlineLvl w:val="2"/>
        <w:rPr>
          <w:rFonts w:hint="eastAsia" w:ascii="仿宋" w:hAnsi="仿宋" w:eastAsia="仿宋" w:cs="仿宋"/>
          <w:color w:val="auto"/>
        </w:rPr>
      </w:pPr>
      <w:bookmarkStart w:id="153" w:name="_Toc2694"/>
      <w:bookmarkStart w:id="154" w:name="_Toc18131"/>
      <w:r>
        <w:rPr>
          <w:rFonts w:hint="eastAsia" w:ascii="仿宋" w:hAnsi="仿宋" w:eastAsia="仿宋" w:cs="仿宋"/>
          <w:color w:val="auto"/>
          <w:lang w:val="en-US" w:eastAsia="zh-CN"/>
        </w:rPr>
        <w:t>2.</w:t>
      </w:r>
      <w:r>
        <w:rPr>
          <w:rFonts w:hint="eastAsia" w:ascii="仿宋" w:hAnsi="仿宋" w:eastAsia="仿宋" w:cs="仿宋"/>
          <w:color w:val="auto"/>
        </w:rPr>
        <w:t>电子交易平台收到投标文件，将妥善保存并即时向供应商发出确认回执通知。在投标截止时间前，除供应商补充、修改或者撤回投标文件外，任何单位和个人不得解密或提取投标文件。</w:t>
      </w:r>
      <w:bookmarkEnd w:id="153"/>
      <w:bookmarkEnd w:id="154"/>
    </w:p>
    <w:p w14:paraId="10E61F0B">
      <w:pPr>
        <w:pStyle w:val="2"/>
        <w:spacing w:line="360" w:lineRule="auto"/>
        <w:ind w:firstLine="480" w:firstLineChars="200"/>
        <w:outlineLvl w:val="2"/>
        <w:rPr>
          <w:rFonts w:hint="eastAsia" w:ascii="仿宋" w:hAnsi="仿宋" w:eastAsia="仿宋" w:cs="仿宋"/>
          <w:color w:val="auto"/>
        </w:rPr>
      </w:pPr>
      <w:bookmarkStart w:id="155" w:name="_Toc16649"/>
      <w:bookmarkStart w:id="156" w:name="_Toc19548"/>
      <w:r>
        <w:rPr>
          <w:rFonts w:hint="eastAsia" w:ascii="仿宋" w:hAnsi="仿宋" w:eastAsia="仿宋" w:cs="仿宋"/>
          <w:color w:val="auto"/>
          <w:lang w:val="en-US" w:eastAsia="zh-CN"/>
        </w:rPr>
        <w:t>3.</w:t>
      </w:r>
      <w:r>
        <w:rPr>
          <w:rFonts w:hint="eastAsia" w:ascii="仿宋" w:hAnsi="仿宋" w:eastAsia="仿宋" w:cs="仿宋"/>
          <w:color w:val="auto"/>
        </w:rPr>
        <w:t>采购人、采购代理机构可以视情况延长投标文件提交的截止时间。在上述情况下，采购代理机构与投标人以前在投标截止期方面的全部权利、责任和义务，将适用于延长至新的投标截止期。</w:t>
      </w:r>
      <w:bookmarkEnd w:id="155"/>
      <w:bookmarkEnd w:id="156"/>
    </w:p>
    <w:p w14:paraId="190349E3">
      <w:pPr>
        <w:pStyle w:val="2"/>
        <w:spacing w:line="360" w:lineRule="auto"/>
        <w:ind w:firstLine="480" w:firstLineChars="200"/>
        <w:outlineLvl w:val="2"/>
        <w:rPr>
          <w:rFonts w:ascii="仿宋" w:hAnsi="仿宋" w:eastAsia="仿宋" w:cs="仿宋"/>
          <w:color w:val="auto"/>
        </w:rPr>
      </w:pPr>
      <w:bookmarkStart w:id="157" w:name="_Toc8032"/>
      <w:bookmarkStart w:id="158" w:name="_Toc32033"/>
      <w:r>
        <w:rPr>
          <w:rFonts w:hint="eastAsia" w:ascii="仿宋" w:hAnsi="仿宋" w:eastAsia="仿宋" w:cs="仿宋"/>
          <w:color w:val="auto"/>
        </w:rPr>
        <w:t>（</w:t>
      </w:r>
      <w:r>
        <w:rPr>
          <w:rFonts w:hint="eastAsia" w:ascii="仿宋" w:hAnsi="仿宋" w:eastAsia="仿宋" w:cs="仿宋"/>
          <w:color w:val="auto"/>
          <w:lang w:val="en-US" w:eastAsia="zh-CN"/>
        </w:rPr>
        <w:t>十一</w:t>
      </w:r>
      <w:r>
        <w:rPr>
          <w:rFonts w:hint="eastAsia" w:ascii="仿宋" w:hAnsi="仿宋" w:eastAsia="仿宋" w:cs="仿宋"/>
          <w:color w:val="auto"/>
        </w:rPr>
        <w:t>）投标文件的递交与接收</w:t>
      </w:r>
      <w:bookmarkEnd w:id="150"/>
      <w:bookmarkEnd w:id="157"/>
      <w:bookmarkEnd w:id="158"/>
    </w:p>
    <w:p w14:paraId="4718D8C5">
      <w:pPr>
        <w:spacing w:line="360" w:lineRule="auto"/>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投标文件，将被政采云平台拒收。</w:t>
      </w:r>
    </w:p>
    <w:p w14:paraId="338609E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投标人递交电子备份文件时，如出现下列情况之一的，将被拒收：</w:t>
      </w:r>
    </w:p>
    <w:p w14:paraId="72E46E56">
      <w:pPr>
        <w:tabs>
          <w:tab w:val="left" w:pos="1433"/>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）未按规定密封或标记的；</w:t>
      </w:r>
    </w:p>
    <w:p w14:paraId="3C9D9E7F">
      <w:pPr>
        <w:tabs>
          <w:tab w:val="left" w:pos="1433"/>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由于包装不妥，在送交途中严重破损或失散的；</w:t>
      </w:r>
    </w:p>
    <w:p w14:paraId="1755977B">
      <w:pPr>
        <w:tabs>
          <w:tab w:val="left" w:pos="1433"/>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未成功办理投标人报名手续的；</w:t>
      </w:r>
    </w:p>
    <w:p w14:paraId="4DABD2F7">
      <w:pPr>
        <w:tabs>
          <w:tab w:val="left" w:pos="1433"/>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超过投标截止时间送达的；</w:t>
      </w:r>
    </w:p>
    <w:p w14:paraId="3113ADB6">
      <w:pPr>
        <w:tabs>
          <w:tab w:val="left" w:pos="1433"/>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仅提供电子备份文件的，投标无效。</w:t>
      </w:r>
    </w:p>
    <w:p w14:paraId="692775E5">
      <w:pPr>
        <w:tabs>
          <w:tab w:val="left" w:pos="1433"/>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投标人中标后应提供电子投标文件的纸质版一正</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副给采购人</w:t>
      </w:r>
      <w:r>
        <w:rPr>
          <w:rFonts w:hint="eastAsia" w:ascii="仿宋" w:hAnsi="仿宋" w:eastAsia="仿宋" w:cs="仿宋"/>
          <w:color w:val="auto"/>
          <w:sz w:val="24"/>
          <w:szCs w:val="24"/>
          <w:lang w:val="en-US" w:eastAsia="zh-CN"/>
        </w:rPr>
        <w:t>或其委托的招标代理机构</w:t>
      </w:r>
      <w:r>
        <w:rPr>
          <w:rFonts w:hint="eastAsia" w:ascii="仿宋" w:hAnsi="仿宋" w:eastAsia="仿宋" w:cs="仿宋"/>
          <w:color w:val="auto"/>
          <w:sz w:val="24"/>
          <w:szCs w:val="24"/>
        </w:rPr>
        <w:t>。</w:t>
      </w:r>
    </w:p>
    <w:p w14:paraId="14AE2126">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十二</w:t>
      </w:r>
      <w:r>
        <w:rPr>
          <w:rFonts w:hint="eastAsia" w:ascii="仿宋" w:hAnsi="仿宋" w:eastAsia="仿宋" w:cs="仿宋"/>
          <w:color w:val="auto"/>
          <w:sz w:val="24"/>
          <w:szCs w:val="24"/>
          <w:lang w:eastAsia="zh-CN"/>
        </w:rPr>
        <w:t>）投标文件的无效处理</w:t>
      </w:r>
    </w:p>
    <w:p w14:paraId="77B303A8">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有招标文件第</w:t>
      </w:r>
      <w:r>
        <w:rPr>
          <w:rFonts w:hint="eastAsia" w:ascii="仿宋" w:hAnsi="仿宋" w:eastAsia="仿宋" w:cs="仿宋"/>
          <w:color w:val="auto"/>
          <w:sz w:val="24"/>
          <w:szCs w:val="24"/>
          <w:lang w:val="en-US" w:eastAsia="zh-CN"/>
        </w:rPr>
        <w:t>四章</w:t>
      </w:r>
      <w:r>
        <w:rPr>
          <w:rFonts w:hint="eastAsia" w:ascii="仿宋" w:hAnsi="仿宋" w:eastAsia="仿宋" w:cs="仿宋"/>
          <w:color w:val="auto"/>
          <w:sz w:val="24"/>
          <w:szCs w:val="24"/>
          <w:lang w:eastAsia="zh-CN"/>
        </w:rPr>
        <w:t>4.2规定的情形之一的，投标无效。</w:t>
      </w:r>
    </w:p>
    <w:p w14:paraId="3E40D15B">
      <w:pPr>
        <w:tabs>
          <w:tab w:val="left" w:pos="1433"/>
        </w:tabs>
        <w:spacing w:line="360" w:lineRule="auto"/>
        <w:ind w:firstLine="480" w:firstLineChars="200"/>
        <w:rPr>
          <w:rFonts w:hint="eastAsia" w:ascii="仿宋" w:hAnsi="仿宋" w:eastAsia="仿宋" w:cs="仿宋"/>
          <w:color w:val="auto"/>
          <w:sz w:val="24"/>
          <w:szCs w:val="24"/>
          <w:lang w:eastAsia="zh-CN"/>
        </w:rPr>
      </w:pPr>
    </w:p>
    <w:p w14:paraId="3579D38E">
      <w:pPr>
        <w:tabs>
          <w:tab w:val="left" w:pos="1433"/>
        </w:tabs>
        <w:spacing w:line="360" w:lineRule="auto"/>
        <w:jc w:val="center"/>
        <w:rPr>
          <w:rFonts w:hint="default" w:ascii="仿宋" w:hAnsi="仿宋" w:eastAsia="仿宋" w:cs="仿宋"/>
          <w:b/>
          <w:bCs/>
          <w:color w:val="auto"/>
          <w:sz w:val="32"/>
          <w:szCs w:val="32"/>
          <w:lang w:val="en-US" w:eastAsia="zh-CN" w:bidi="zh-CN"/>
        </w:rPr>
      </w:pPr>
      <w:r>
        <w:rPr>
          <w:rFonts w:hint="eastAsia" w:ascii="仿宋" w:hAnsi="仿宋" w:eastAsia="仿宋" w:cs="仿宋"/>
          <w:b/>
          <w:bCs/>
          <w:color w:val="auto"/>
          <w:sz w:val="32"/>
          <w:szCs w:val="32"/>
          <w:lang w:val="en-US" w:eastAsia="zh-CN" w:bidi="zh-CN"/>
        </w:rPr>
        <w:t>四、开标、资格审查与信用信息查询</w:t>
      </w:r>
    </w:p>
    <w:p w14:paraId="6DA7F8F2">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 xml:space="preserve">）开标 </w:t>
      </w:r>
    </w:p>
    <w:p w14:paraId="0C24D0B1">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采购代理机构按照招标文件规定的时间通过电子交易平台组织开标，所有投标人均应当准时在线参加。投标人不足3家的，不得开标。</w:t>
      </w:r>
    </w:p>
    <w:p w14:paraId="56F6E2D4">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开标时，电子交易平台按开标时间自动提取所有投标文件。采购代理机构依托电子交易平台发起开始解密指令，投标人按照平台提示和招标文件的规定在</w:t>
      </w:r>
      <w:r>
        <w:rPr>
          <w:rFonts w:hint="eastAsia" w:ascii="仿宋" w:hAnsi="仿宋" w:eastAsia="仿宋" w:cs="仿宋"/>
          <w:color w:val="auto"/>
          <w:sz w:val="24"/>
          <w:szCs w:val="24"/>
          <w:lang w:val="en-US" w:eastAsia="zh-CN"/>
        </w:rPr>
        <w:t>30分钟</w:t>
      </w:r>
      <w:r>
        <w:rPr>
          <w:rFonts w:hint="eastAsia" w:ascii="仿宋" w:hAnsi="仿宋" w:eastAsia="仿宋" w:cs="仿宋"/>
          <w:color w:val="auto"/>
          <w:sz w:val="24"/>
          <w:szCs w:val="24"/>
          <w:lang w:eastAsia="zh-CN"/>
        </w:rPr>
        <w:t>内完成在线解密。</w:t>
      </w:r>
    </w:p>
    <w:p w14:paraId="682170F5">
      <w:pPr>
        <w:tabs>
          <w:tab w:val="left" w:pos="1433"/>
        </w:tabs>
        <w:spacing w:line="360" w:lineRule="auto"/>
        <w:ind w:firstLine="482" w:firstLineChars="200"/>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注：投标文件解密结束，届时采购代理机构将以询标形式要求投标人30分钟内回复（上传）《政府采购活动现场确认声明书》，请投标人实时关注平台消息。</w:t>
      </w:r>
    </w:p>
    <w:p w14:paraId="55E9EB12">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投标文件未按时解密，投标人提供了备份投标文件的，以备份投标文件作为依据，否则视为投标文件撤回。投标文件已按时解密的，备份投标文件自动失效。</w:t>
      </w:r>
    </w:p>
    <w:p w14:paraId="7E420616">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）资格审查</w:t>
      </w:r>
    </w:p>
    <w:p w14:paraId="5586B2B6">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采购人或采购代理机构依据法律法规和招标文件的规定，对投标人的资格进行审查。</w:t>
      </w:r>
    </w:p>
    <w:p w14:paraId="2492A9EA">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投标人未按照招标文件要求提供与资格条件相应的有效资格证明材料的，视为投标人不具备招标文件中规定的资格要求，其投标无效。</w:t>
      </w:r>
    </w:p>
    <w:p w14:paraId="68FCA563">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对未通过资格审查的投标人，采购人或采购代理机构告知其未通过的原因。</w:t>
      </w:r>
    </w:p>
    <w:p w14:paraId="3A4C473C">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合格投标人不足3家的，不再评标。</w:t>
      </w:r>
    </w:p>
    <w:p w14:paraId="500540D7">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）信用信息查询</w:t>
      </w:r>
    </w:p>
    <w:p w14:paraId="7D637A6F">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信用信息查询渠道及截止时间：采购代理机构将在资格审查时通过“信用中国”网站(www.creditchina.gov.cn)、中国政府采购网(www.ccgp.gov.cn)渠道查询投标人接受资格审查时的信用记录。</w:t>
      </w:r>
    </w:p>
    <w:p w14:paraId="0B31A3FF">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信用信息查询记录和证据留存的具体方式：现场查询的投标人的信用记录、查询结果经确认后将与采购文件一起存档。</w:t>
      </w:r>
    </w:p>
    <w:p w14:paraId="43A7BB78">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信用信息的使用规则：经查询列入失信被执行人名单、重大税收违法案件当事人名单、政府采购严重违法失信行为记录名单的投标人将被拒绝参与政府采购活动。</w:t>
      </w:r>
    </w:p>
    <w:p w14:paraId="7F8B2A45">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3C38A7">
      <w:pPr>
        <w:tabs>
          <w:tab w:val="left" w:pos="1433"/>
        </w:tabs>
        <w:spacing w:line="360" w:lineRule="auto"/>
        <w:ind w:firstLine="480" w:firstLineChars="200"/>
        <w:rPr>
          <w:rFonts w:hint="eastAsia" w:ascii="仿宋" w:hAnsi="仿宋" w:eastAsia="仿宋" w:cs="仿宋"/>
          <w:color w:val="auto"/>
          <w:sz w:val="24"/>
          <w:szCs w:val="24"/>
          <w:lang w:eastAsia="zh-CN"/>
        </w:rPr>
      </w:pPr>
    </w:p>
    <w:p w14:paraId="55FB34C1">
      <w:pPr>
        <w:tabs>
          <w:tab w:val="left" w:pos="1433"/>
        </w:tabs>
        <w:spacing w:line="360" w:lineRule="auto"/>
        <w:jc w:val="center"/>
        <w:rPr>
          <w:rFonts w:hint="default" w:ascii="仿宋" w:hAnsi="仿宋" w:eastAsia="仿宋" w:cs="仿宋"/>
          <w:b/>
          <w:bCs/>
          <w:color w:val="auto"/>
          <w:sz w:val="32"/>
          <w:szCs w:val="32"/>
          <w:lang w:val="en-US" w:eastAsia="zh-CN" w:bidi="zh-CN"/>
        </w:rPr>
      </w:pPr>
      <w:r>
        <w:rPr>
          <w:rFonts w:hint="eastAsia" w:ascii="仿宋" w:hAnsi="仿宋" w:eastAsia="仿宋" w:cs="仿宋"/>
          <w:b/>
          <w:bCs/>
          <w:color w:val="auto"/>
          <w:sz w:val="32"/>
          <w:szCs w:val="32"/>
          <w:lang w:val="en-US" w:eastAsia="zh-CN" w:bidi="zh-CN"/>
        </w:rPr>
        <w:t>五、评标</w:t>
      </w:r>
    </w:p>
    <w:p w14:paraId="62ADDD9D">
      <w:pPr>
        <w:tabs>
          <w:tab w:val="left" w:pos="1433"/>
        </w:tabs>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w:t>
      </w:r>
      <w:r>
        <w:rPr>
          <w:rFonts w:hint="eastAsia" w:ascii="仿宋" w:hAnsi="仿宋" w:eastAsia="仿宋" w:cs="仿宋"/>
          <w:color w:val="auto"/>
          <w:sz w:val="24"/>
          <w:szCs w:val="24"/>
          <w:lang w:val="en-US" w:eastAsia="zh-CN"/>
        </w:rPr>
        <w:t xml:space="preserve">章  </w:t>
      </w:r>
      <w:r>
        <w:rPr>
          <w:rFonts w:hint="eastAsia" w:ascii="仿宋" w:hAnsi="仿宋" w:eastAsia="仿宋" w:cs="仿宋"/>
          <w:color w:val="auto"/>
          <w:sz w:val="24"/>
          <w:szCs w:val="24"/>
          <w:lang w:eastAsia="zh-CN"/>
        </w:rPr>
        <w:t>评标办法</w:t>
      </w:r>
      <w:r>
        <w:rPr>
          <w:rFonts w:hint="eastAsia" w:ascii="仿宋" w:hAnsi="仿宋" w:eastAsia="仿宋" w:cs="仿宋"/>
          <w:color w:val="auto"/>
          <w:sz w:val="24"/>
          <w:szCs w:val="24"/>
          <w:lang w:val="en-US" w:eastAsia="zh-CN"/>
        </w:rPr>
        <w:t>及评分标准</w:t>
      </w:r>
      <w:r>
        <w:rPr>
          <w:rFonts w:hint="eastAsia" w:ascii="仿宋" w:hAnsi="仿宋" w:eastAsia="仿宋" w:cs="仿宋"/>
          <w:color w:val="auto"/>
          <w:sz w:val="24"/>
          <w:szCs w:val="24"/>
          <w:lang w:eastAsia="zh-CN"/>
        </w:rPr>
        <w:t>”。</w:t>
      </w:r>
    </w:p>
    <w:p w14:paraId="33DDC246">
      <w:pPr>
        <w:tabs>
          <w:tab w:val="left" w:pos="1433"/>
        </w:tabs>
        <w:spacing w:line="360" w:lineRule="auto"/>
        <w:ind w:firstLine="480" w:firstLineChars="200"/>
        <w:rPr>
          <w:rFonts w:hint="eastAsia" w:ascii="仿宋" w:hAnsi="仿宋" w:eastAsia="仿宋" w:cs="仿宋"/>
          <w:color w:val="auto"/>
          <w:sz w:val="24"/>
          <w:szCs w:val="24"/>
          <w:lang w:eastAsia="zh-CN"/>
        </w:rPr>
      </w:pPr>
    </w:p>
    <w:p w14:paraId="111A795D">
      <w:pPr>
        <w:pStyle w:val="6"/>
        <w:tabs>
          <w:tab w:val="left" w:pos="2033"/>
        </w:tabs>
        <w:spacing w:line="360" w:lineRule="auto"/>
        <w:ind w:left="0" w:leftChars="0" w:right="0" w:firstLine="0" w:firstLineChars="0"/>
        <w:jc w:val="center"/>
        <w:outlineLvl w:val="1"/>
        <w:rPr>
          <w:rFonts w:hint="eastAsia" w:ascii="仿宋" w:hAnsi="仿宋" w:eastAsia="仿宋" w:cs="仿宋"/>
          <w:b/>
          <w:bCs/>
          <w:color w:val="auto"/>
          <w:sz w:val="32"/>
          <w:szCs w:val="32"/>
          <w:lang w:val="en-US" w:eastAsia="zh-CN" w:bidi="zh-CN"/>
        </w:rPr>
      </w:pPr>
      <w:bookmarkStart w:id="159" w:name="_Toc6755"/>
      <w:bookmarkStart w:id="160" w:name="_Toc1509"/>
      <w:bookmarkStart w:id="161" w:name="_Toc2082"/>
      <w:r>
        <w:rPr>
          <w:rFonts w:hint="eastAsia" w:ascii="仿宋" w:hAnsi="仿宋" w:eastAsia="仿宋" w:cs="仿宋"/>
          <w:b/>
          <w:bCs/>
          <w:color w:val="auto"/>
          <w:sz w:val="32"/>
          <w:szCs w:val="32"/>
          <w:lang w:val="en-US" w:eastAsia="zh-CN" w:bidi="zh-CN"/>
        </w:rPr>
        <w:t>六、定标</w:t>
      </w:r>
      <w:bookmarkEnd w:id="159"/>
      <w:bookmarkEnd w:id="160"/>
      <w:bookmarkEnd w:id="161"/>
    </w:p>
    <w:p w14:paraId="7A5EC759">
      <w:pPr>
        <w:pStyle w:val="2"/>
        <w:spacing w:line="360" w:lineRule="auto"/>
        <w:ind w:firstLine="480" w:firstLineChars="200"/>
        <w:rPr>
          <w:rFonts w:ascii="仿宋" w:hAnsi="仿宋" w:eastAsia="仿宋" w:cs="仿宋"/>
          <w:color w:val="auto"/>
        </w:rPr>
      </w:pPr>
      <w:r>
        <w:rPr>
          <w:rFonts w:hint="eastAsia" w:ascii="仿宋" w:hAnsi="仿宋" w:eastAsia="仿宋" w:cs="仿宋"/>
          <w:color w:val="auto"/>
        </w:rPr>
        <w:t>（一）确定中标人。本项目由采购人确定中标人。</w:t>
      </w:r>
    </w:p>
    <w:p w14:paraId="1274D570">
      <w:pPr>
        <w:pStyle w:val="36"/>
        <w:tabs>
          <w:tab w:val="left" w:pos="1313"/>
        </w:tabs>
        <w:spacing w:line="360" w:lineRule="auto"/>
        <w:ind w:left="0" w:firstLineChars="200"/>
        <w:rPr>
          <w:rFonts w:ascii="仿宋" w:hAnsi="仿宋" w:eastAsia="仿宋" w:cs="仿宋"/>
          <w:color w:val="auto"/>
          <w:sz w:val="24"/>
          <w:szCs w:val="24"/>
        </w:rPr>
      </w:pP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评标结束，评审报告经采购人确认后，将采购结果在采购公告发布的网站上，进行 1 个工作日的中标（成交）结果公示。</w:t>
      </w:r>
    </w:p>
    <w:p w14:paraId="0A015AF5">
      <w:pPr>
        <w:pStyle w:val="36"/>
        <w:tabs>
          <w:tab w:val="left" w:pos="1313"/>
        </w:tabs>
        <w:spacing w:line="360" w:lineRule="auto"/>
        <w:ind w:left="0" w:firstLineChars="200"/>
        <w:rPr>
          <w:rFonts w:ascii="仿宋" w:hAnsi="仿宋" w:eastAsia="仿宋" w:cs="仿宋"/>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采购人对评标结果无异议的，采购人应在收到评标报告后 2 个工作日内对评标结果进行确认。</w:t>
      </w:r>
    </w:p>
    <w:p w14:paraId="579B0167">
      <w:pPr>
        <w:pStyle w:val="36"/>
        <w:tabs>
          <w:tab w:val="left" w:pos="1313"/>
        </w:tabs>
        <w:spacing w:line="360" w:lineRule="auto"/>
        <w:ind w:left="0" w:firstLineChars="200"/>
        <w:rPr>
          <w:rFonts w:ascii="仿宋" w:hAnsi="仿宋" w:eastAsia="仿宋" w:cs="仿宋"/>
          <w:color w:val="auto"/>
          <w:sz w:val="24"/>
          <w:szCs w:val="24"/>
        </w:rPr>
      </w:pP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质疑处理：相关</w:t>
      </w:r>
      <w:r>
        <w:rPr>
          <w:rFonts w:hint="eastAsia" w:ascii="仿宋" w:hAnsi="仿宋" w:eastAsia="仿宋" w:cs="仿宋"/>
          <w:color w:val="auto"/>
          <w:sz w:val="24"/>
          <w:szCs w:val="24"/>
          <w:lang w:val="en-US"/>
        </w:rPr>
        <w:t>投标人</w:t>
      </w:r>
      <w:r>
        <w:rPr>
          <w:rFonts w:hint="eastAsia" w:ascii="仿宋" w:hAnsi="仿宋" w:eastAsia="仿宋" w:cs="仿宋"/>
          <w:color w:val="auto"/>
          <w:sz w:val="24"/>
          <w:szCs w:val="24"/>
        </w:rPr>
        <w:t>提出质疑后，采购人有权要求</w:t>
      </w:r>
      <w:r>
        <w:rPr>
          <w:rFonts w:hint="eastAsia" w:ascii="仿宋" w:hAnsi="仿宋" w:eastAsia="仿宋" w:cs="仿宋"/>
          <w:color w:val="auto"/>
          <w:sz w:val="24"/>
          <w:szCs w:val="24"/>
          <w:lang w:val="en-US"/>
        </w:rPr>
        <w:t>中标</w:t>
      </w:r>
      <w:r>
        <w:rPr>
          <w:rFonts w:hint="eastAsia" w:ascii="仿宋" w:hAnsi="仿宋" w:eastAsia="仿宋" w:cs="仿宋"/>
          <w:color w:val="auto"/>
          <w:sz w:val="24"/>
          <w:szCs w:val="24"/>
        </w:rPr>
        <w:t>候选人提供相关证明材料。</w:t>
      </w:r>
    </w:p>
    <w:p w14:paraId="7B5E7D98">
      <w:pPr>
        <w:pStyle w:val="2"/>
        <w:spacing w:line="360" w:lineRule="auto"/>
        <w:ind w:firstLine="480" w:firstLineChars="200"/>
        <w:rPr>
          <w:rFonts w:ascii="仿宋" w:hAnsi="仿宋" w:eastAsia="仿宋" w:cs="仿宋"/>
          <w:color w:val="auto"/>
        </w:rPr>
      </w:pPr>
      <w:r>
        <w:rPr>
          <w:rFonts w:hint="eastAsia" w:ascii="仿宋" w:hAnsi="仿宋" w:eastAsia="仿宋" w:cs="仿宋"/>
          <w:color w:val="auto"/>
        </w:rPr>
        <w:t>（二）采购人依法确定中标单位后，代理机构以书面形式发出《</w:t>
      </w:r>
      <w:r>
        <w:rPr>
          <w:rFonts w:hint="eastAsia" w:ascii="仿宋" w:hAnsi="仿宋" w:eastAsia="仿宋" w:cs="仿宋"/>
          <w:color w:val="auto"/>
          <w:lang w:val="en-US"/>
        </w:rPr>
        <w:t>中标</w:t>
      </w:r>
      <w:r>
        <w:rPr>
          <w:rFonts w:hint="eastAsia" w:ascii="仿宋" w:hAnsi="仿宋" w:eastAsia="仿宋" w:cs="仿宋"/>
          <w:color w:val="auto"/>
        </w:rPr>
        <w:t>通知书》。</w:t>
      </w:r>
      <w:bookmarkStart w:id="162" w:name="六、合同授予"/>
      <w:bookmarkEnd w:id="162"/>
    </w:p>
    <w:p w14:paraId="71BE4DB6">
      <w:pPr>
        <w:pStyle w:val="2"/>
        <w:spacing w:line="360" w:lineRule="auto"/>
        <w:ind w:firstLine="482" w:firstLineChars="200"/>
        <w:outlineLvl w:val="1"/>
        <w:rPr>
          <w:rFonts w:hint="eastAsia" w:ascii="仿宋" w:hAnsi="仿宋" w:eastAsia="仿宋" w:cs="仿宋"/>
          <w:b/>
          <w:color w:val="auto"/>
        </w:rPr>
      </w:pPr>
      <w:bookmarkStart w:id="163" w:name="_Toc10576"/>
    </w:p>
    <w:p w14:paraId="17E63EB2">
      <w:pPr>
        <w:pStyle w:val="2"/>
        <w:spacing w:line="240" w:lineRule="auto"/>
        <w:jc w:val="center"/>
        <w:outlineLvl w:val="1"/>
        <w:rPr>
          <w:rFonts w:hint="eastAsia" w:ascii="仿宋" w:hAnsi="仿宋" w:eastAsia="仿宋" w:cs="仿宋"/>
          <w:b/>
          <w:bCs/>
          <w:color w:val="auto"/>
          <w:sz w:val="32"/>
          <w:szCs w:val="32"/>
          <w:lang w:val="en-US" w:eastAsia="zh-CN" w:bidi="zh-CN"/>
        </w:rPr>
      </w:pPr>
      <w:bookmarkStart w:id="164" w:name="_Toc21590"/>
      <w:bookmarkStart w:id="165" w:name="_Toc20145"/>
      <w:r>
        <w:rPr>
          <w:rFonts w:hint="eastAsia" w:ascii="仿宋" w:hAnsi="仿宋" w:eastAsia="仿宋" w:cs="仿宋"/>
          <w:b/>
          <w:bCs/>
          <w:color w:val="auto"/>
          <w:sz w:val="32"/>
          <w:szCs w:val="32"/>
          <w:lang w:val="en-US" w:eastAsia="zh-CN" w:bidi="zh-CN"/>
        </w:rPr>
        <w:t>七、合同授予</w:t>
      </w:r>
      <w:bookmarkEnd w:id="163"/>
      <w:bookmarkEnd w:id="164"/>
      <w:bookmarkEnd w:id="165"/>
    </w:p>
    <w:p w14:paraId="5385FC63">
      <w:pPr>
        <w:pStyle w:val="2"/>
        <w:spacing w:line="360" w:lineRule="auto"/>
        <w:ind w:firstLine="480" w:firstLineChars="200"/>
        <w:outlineLvl w:val="2"/>
        <w:rPr>
          <w:rFonts w:ascii="仿宋" w:hAnsi="仿宋" w:eastAsia="仿宋" w:cs="仿宋"/>
          <w:color w:val="auto"/>
        </w:rPr>
      </w:pPr>
      <w:bookmarkStart w:id="166" w:name="_Toc16631"/>
      <w:bookmarkStart w:id="167" w:name="_Toc5123"/>
      <w:bookmarkStart w:id="168" w:name="_Toc28597"/>
      <w:r>
        <w:rPr>
          <w:rFonts w:hint="eastAsia" w:ascii="仿宋" w:hAnsi="仿宋" w:eastAsia="仿宋" w:cs="仿宋"/>
          <w:color w:val="auto"/>
        </w:rPr>
        <w:t>（一）签订合同</w:t>
      </w:r>
      <w:bookmarkEnd w:id="166"/>
      <w:bookmarkEnd w:id="167"/>
      <w:bookmarkEnd w:id="168"/>
    </w:p>
    <w:p w14:paraId="6465E688">
      <w:pPr>
        <w:pStyle w:val="36"/>
        <w:tabs>
          <w:tab w:val="left" w:pos="1313"/>
        </w:tabs>
        <w:spacing w:line="360" w:lineRule="auto"/>
        <w:ind w:left="0" w:firstLineChars="200"/>
        <w:rPr>
          <w:rFonts w:ascii="仿宋" w:hAnsi="仿宋" w:eastAsia="仿宋" w:cs="仿宋"/>
          <w:color w:val="auto"/>
          <w:sz w:val="24"/>
          <w:szCs w:val="24"/>
        </w:rPr>
      </w:pP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 xml:space="preserve">中标人应自中标通知书发出后 </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日历天</w:t>
      </w:r>
      <w:r>
        <w:rPr>
          <w:rFonts w:hint="eastAsia" w:ascii="仿宋" w:hAnsi="仿宋" w:eastAsia="仿宋" w:cs="仿宋"/>
          <w:color w:val="auto"/>
          <w:sz w:val="24"/>
          <w:szCs w:val="24"/>
        </w:rPr>
        <w:t>内与采购人签定合同。</w:t>
      </w:r>
    </w:p>
    <w:p w14:paraId="2E2516A8">
      <w:pPr>
        <w:pStyle w:val="36"/>
        <w:tabs>
          <w:tab w:val="left" w:pos="1313"/>
        </w:tabs>
        <w:spacing w:line="360" w:lineRule="auto"/>
        <w:ind w:left="0" w:firstLineChars="200"/>
        <w:rPr>
          <w:rFonts w:ascii="仿宋" w:hAnsi="仿宋" w:eastAsia="仿宋" w:cs="仿宋"/>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中标通知书发出后，中标人若借口故意拖延、拒签合同，在签订合同时向采购人提出附加条件的，将被取消成交资格，给采购人造成损失的，应赔偿损失。</w:t>
      </w:r>
    </w:p>
    <w:p w14:paraId="3E37D247">
      <w:pPr>
        <w:pStyle w:val="2"/>
        <w:spacing w:line="360" w:lineRule="auto"/>
        <w:ind w:firstLine="480" w:firstLineChars="200"/>
        <w:outlineLvl w:val="2"/>
        <w:rPr>
          <w:rFonts w:ascii="仿宋" w:hAnsi="仿宋" w:eastAsia="仿宋" w:cs="仿宋"/>
          <w:color w:val="auto"/>
        </w:rPr>
      </w:pPr>
      <w:bookmarkStart w:id="169" w:name="_Toc18941"/>
      <w:bookmarkStart w:id="170" w:name="_Toc6505"/>
      <w:bookmarkStart w:id="171" w:name="_Toc5364"/>
      <w:r>
        <w:rPr>
          <w:rFonts w:hint="eastAsia" w:ascii="仿宋" w:hAnsi="仿宋" w:eastAsia="仿宋" w:cs="仿宋"/>
          <w:color w:val="auto"/>
        </w:rPr>
        <w:t>（二）履约保证金</w:t>
      </w:r>
      <w:bookmarkEnd w:id="169"/>
      <w:bookmarkEnd w:id="170"/>
      <w:bookmarkEnd w:id="171"/>
    </w:p>
    <w:p w14:paraId="18FE29C8">
      <w:pPr>
        <w:pStyle w:val="36"/>
        <w:tabs>
          <w:tab w:val="left" w:pos="1313"/>
        </w:tabs>
        <w:spacing w:line="360" w:lineRule="auto"/>
        <w:ind w:left="0" w:firstLineChars="20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本项目无需履约保证金。</w:t>
      </w:r>
    </w:p>
    <w:p w14:paraId="73D09BFA">
      <w:pPr>
        <w:spacing w:line="360" w:lineRule="auto"/>
        <w:ind w:firstLine="480" w:firstLineChars="200"/>
        <w:outlineLvl w:val="1"/>
        <w:rPr>
          <w:rFonts w:hint="eastAsia" w:ascii="仿宋" w:hAnsi="仿宋" w:eastAsia="仿宋" w:cs="仿宋"/>
          <w:color w:val="auto"/>
          <w:sz w:val="24"/>
          <w:szCs w:val="24"/>
          <w:lang w:val="zh-CN" w:eastAsia="zh-CN" w:bidi="zh-CN"/>
        </w:rPr>
      </w:pPr>
      <w:bookmarkStart w:id="172" w:name="_Toc25453"/>
      <w:bookmarkStart w:id="173" w:name="_Toc646"/>
      <w:bookmarkStart w:id="174" w:name="_Toc1570"/>
      <w:r>
        <w:rPr>
          <w:rFonts w:hint="eastAsia" w:ascii="仿宋" w:hAnsi="仿宋" w:eastAsia="仿宋" w:cs="仿宋"/>
          <w:color w:val="auto"/>
          <w:sz w:val="24"/>
          <w:szCs w:val="24"/>
          <w:lang w:val="en-US" w:eastAsia="zh-CN" w:bidi="zh-CN"/>
        </w:rPr>
        <w:t>（三）费用</w:t>
      </w:r>
      <w:r>
        <w:rPr>
          <w:rFonts w:hint="eastAsia" w:ascii="仿宋" w:hAnsi="仿宋" w:eastAsia="仿宋" w:cs="仿宋"/>
          <w:color w:val="auto"/>
          <w:sz w:val="24"/>
          <w:szCs w:val="24"/>
          <w:lang w:val="zh-CN" w:eastAsia="zh-CN" w:bidi="zh-CN"/>
        </w:rPr>
        <w:t>的结算</w:t>
      </w:r>
      <w:bookmarkEnd w:id="172"/>
      <w:bookmarkEnd w:id="173"/>
      <w:bookmarkEnd w:id="174"/>
    </w:p>
    <w:p w14:paraId="79609B47">
      <w:pPr>
        <w:spacing w:line="360" w:lineRule="auto"/>
        <w:ind w:firstLine="480" w:firstLineChars="200"/>
        <w:outlineLvl w:val="1"/>
        <w:rPr>
          <w:rFonts w:hint="eastAsia" w:ascii="仿宋" w:hAnsi="仿宋" w:eastAsia="仿宋" w:cs="仿宋"/>
          <w:b w:val="0"/>
          <w:bCs/>
          <w:color w:val="auto"/>
          <w:sz w:val="24"/>
          <w:szCs w:val="24"/>
        </w:rPr>
      </w:pPr>
      <w:bookmarkStart w:id="175" w:name="_Toc18312"/>
      <w:bookmarkStart w:id="176" w:name="_Toc29003"/>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合同生效并具备实施条件后7个工作日内，采购人向中标人支付合同额的</w:t>
      </w: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%作为预付款；（若在签订合同时，中标人明确表示无需预付款的，采购人可不予支付预付款。预付款支付约定以合同中约定为准。）</w:t>
      </w:r>
      <w:bookmarkEnd w:id="175"/>
    </w:p>
    <w:p w14:paraId="0FCE97A9">
      <w:pPr>
        <w:spacing w:line="360" w:lineRule="auto"/>
        <w:ind w:firstLine="480" w:firstLineChars="200"/>
        <w:outlineLvl w:val="1"/>
        <w:rPr>
          <w:rFonts w:hint="eastAsia" w:ascii="仿宋" w:hAnsi="仿宋" w:eastAsia="仿宋" w:cs="仿宋"/>
          <w:b w:val="0"/>
          <w:bCs/>
          <w:color w:val="auto"/>
          <w:sz w:val="24"/>
          <w:szCs w:val="24"/>
        </w:rPr>
      </w:pPr>
      <w:bookmarkStart w:id="177" w:name="_Toc25431"/>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所有货物安装、调试及合理摆放位置</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且</w:t>
      </w:r>
      <w:r>
        <w:rPr>
          <w:rFonts w:hint="eastAsia" w:ascii="仿宋" w:hAnsi="仿宋" w:eastAsia="仿宋" w:cs="仿宋"/>
          <w:b w:val="0"/>
          <w:bCs/>
          <w:color w:val="auto"/>
          <w:sz w:val="24"/>
          <w:szCs w:val="24"/>
        </w:rPr>
        <w:t>系统设备试运行不少于30天，试运行结束后，中标人提供完整验收资料且经采购人组织履约验收通过后支付至合同价的100%。</w:t>
      </w:r>
      <w:bookmarkEnd w:id="177"/>
    </w:p>
    <w:p w14:paraId="6C2CAC2C">
      <w:pPr>
        <w:spacing w:line="360" w:lineRule="auto"/>
        <w:ind w:firstLine="480" w:firstLineChars="200"/>
        <w:outlineLvl w:val="1"/>
        <w:rPr>
          <w:rFonts w:hint="eastAsia" w:ascii="仿宋" w:hAnsi="仿宋" w:eastAsia="仿宋" w:cs="仿宋"/>
          <w:b w:val="0"/>
          <w:bCs/>
          <w:color w:val="auto"/>
          <w:sz w:val="24"/>
          <w:szCs w:val="24"/>
        </w:rPr>
      </w:pPr>
      <w:bookmarkStart w:id="178" w:name="_Toc606"/>
      <w:r>
        <w:rPr>
          <w:rFonts w:hint="eastAsia" w:ascii="仿宋" w:hAnsi="仿宋" w:eastAsia="仿宋" w:cs="仿宋"/>
          <w:b w:val="0"/>
          <w:bCs/>
          <w:color w:val="auto"/>
          <w:sz w:val="24"/>
          <w:szCs w:val="24"/>
        </w:rPr>
        <w:t>备注：</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采购人有权根据实际需求情况对部分产品的数量进行调整，货款结算时以实际数量为准，结算单价以中标人所报单价为准。</w:t>
      </w:r>
      <w:bookmarkEnd w:id="178"/>
    </w:p>
    <w:p w14:paraId="12322353">
      <w:pPr>
        <w:spacing w:line="360" w:lineRule="auto"/>
        <w:ind w:firstLine="480" w:firstLineChars="200"/>
        <w:outlineLvl w:val="1"/>
        <w:rPr>
          <w:rFonts w:hint="eastAsia" w:ascii="仿宋" w:hAnsi="仿宋" w:eastAsia="仿宋" w:cs="仿宋"/>
          <w:b w:val="0"/>
          <w:bCs/>
          <w:color w:val="auto"/>
          <w:sz w:val="24"/>
          <w:szCs w:val="24"/>
        </w:rPr>
      </w:pPr>
      <w:bookmarkStart w:id="179" w:name="_Toc15447"/>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款项支付前中标人须提供等额正式发票</w:t>
      </w:r>
      <w:r>
        <w:rPr>
          <w:rFonts w:hint="eastAsia" w:ascii="仿宋" w:hAnsi="仿宋" w:eastAsia="仿宋" w:cs="仿宋"/>
          <w:b w:val="0"/>
          <w:bCs/>
          <w:color w:val="auto"/>
          <w:sz w:val="24"/>
          <w:szCs w:val="24"/>
          <w:lang w:eastAsia="zh-CN"/>
        </w:rPr>
        <w:t>，采购人自收到发票之日起7个工作日内向</w:t>
      </w:r>
      <w:r>
        <w:rPr>
          <w:rFonts w:hint="eastAsia" w:ascii="仿宋" w:hAnsi="仿宋" w:eastAsia="仿宋" w:cs="仿宋"/>
          <w:b w:val="0"/>
          <w:bCs/>
          <w:color w:val="auto"/>
          <w:sz w:val="24"/>
          <w:szCs w:val="24"/>
        </w:rPr>
        <w:t>中标人</w:t>
      </w:r>
      <w:r>
        <w:rPr>
          <w:rFonts w:hint="eastAsia" w:ascii="仿宋" w:hAnsi="仿宋" w:eastAsia="仿宋" w:cs="仿宋"/>
          <w:b w:val="0"/>
          <w:bCs/>
          <w:color w:val="auto"/>
          <w:sz w:val="24"/>
          <w:szCs w:val="24"/>
          <w:lang w:eastAsia="zh-CN"/>
        </w:rPr>
        <w:t>支付资金</w:t>
      </w:r>
      <w:r>
        <w:rPr>
          <w:rFonts w:hint="eastAsia" w:ascii="仿宋" w:hAnsi="仿宋" w:eastAsia="仿宋" w:cs="仿宋"/>
          <w:b w:val="0"/>
          <w:bCs/>
          <w:color w:val="auto"/>
          <w:sz w:val="24"/>
          <w:szCs w:val="24"/>
        </w:rPr>
        <w:t>。</w:t>
      </w:r>
      <w:bookmarkEnd w:id="179"/>
    </w:p>
    <w:p w14:paraId="79BAD633">
      <w:pPr>
        <w:spacing w:line="360" w:lineRule="auto"/>
        <w:ind w:firstLine="482" w:firstLineChars="200"/>
        <w:outlineLvl w:val="1"/>
        <w:rPr>
          <w:rFonts w:hint="eastAsia" w:ascii="仿宋" w:hAnsi="仿宋" w:eastAsia="仿宋" w:cs="仿宋"/>
          <w:b/>
          <w:color w:val="auto"/>
          <w:sz w:val="24"/>
          <w:szCs w:val="24"/>
          <w:lang w:val="en-US" w:eastAsia="zh-CN"/>
        </w:rPr>
      </w:pPr>
    </w:p>
    <w:p w14:paraId="30FF5770">
      <w:pPr>
        <w:spacing w:line="360" w:lineRule="auto"/>
        <w:jc w:val="center"/>
        <w:outlineLvl w:val="1"/>
        <w:rPr>
          <w:rFonts w:hint="default" w:ascii="仿宋" w:hAnsi="仿宋" w:eastAsia="仿宋" w:cs="仿宋"/>
          <w:b/>
          <w:bCs/>
          <w:color w:val="auto"/>
          <w:sz w:val="32"/>
          <w:szCs w:val="32"/>
          <w:lang w:val="en-US" w:eastAsia="zh-CN" w:bidi="zh-CN"/>
        </w:rPr>
      </w:pPr>
      <w:bookmarkStart w:id="180" w:name="_Toc19755"/>
      <w:bookmarkStart w:id="181" w:name="_Toc29417"/>
      <w:r>
        <w:rPr>
          <w:rFonts w:hint="eastAsia" w:ascii="仿宋" w:hAnsi="仿宋" w:eastAsia="仿宋" w:cs="仿宋"/>
          <w:b/>
          <w:bCs/>
          <w:color w:val="auto"/>
          <w:sz w:val="32"/>
          <w:szCs w:val="32"/>
          <w:lang w:val="en-US" w:eastAsia="zh-CN" w:bidi="zh-CN"/>
        </w:rPr>
        <w:t>八、电子交易活动的中止</w:t>
      </w:r>
      <w:bookmarkEnd w:id="180"/>
      <w:bookmarkEnd w:id="181"/>
    </w:p>
    <w:p w14:paraId="33B3369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电子交易活动的中止。采购过程中出现以下情形，导致电子交易平台无法正常运行，或者无法保证电子交易的公平、公正和安全时，采购代理机构可中止电子交易活动：</w:t>
      </w:r>
    </w:p>
    <w:p w14:paraId="2EE1687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电子交易平台发生故障而无法登录访问的；</w:t>
      </w:r>
    </w:p>
    <w:p w14:paraId="6D43204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电子交易平台应用或数据库出现错误，不能进行正常操作的；</w:t>
      </w:r>
    </w:p>
    <w:p w14:paraId="7E90CCB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电子交易平台发现严重安全漏洞，有潜在泄密危险的；</w:t>
      </w:r>
    </w:p>
    <w:p w14:paraId="2CE36C0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病毒发作导致不能进行正常操作的； </w:t>
      </w:r>
    </w:p>
    <w:p w14:paraId="4CE7EC6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其他无法保证电子交易的公平、公正和安全的情况。</w:t>
      </w:r>
    </w:p>
    <w:p w14:paraId="60C9F4F1">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出现以上情形，不影响采购公平、公正性的，采购组织机构可以待上述情形消除后继续组织电子交易活动，也可以决定某些环节以纸质形式进行；影响或可能影响采购公平、公正性的，重新</w:t>
      </w:r>
      <w:r>
        <w:rPr>
          <w:rFonts w:hint="eastAsia" w:ascii="仿宋" w:hAnsi="仿宋" w:eastAsia="仿宋" w:cs="仿宋"/>
          <w:color w:val="auto"/>
          <w:sz w:val="24"/>
          <w:szCs w:val="24"/>
          <w:lang w:val="en-US" w:eastAsia="zh-CN"/>
        </w:rPr>
        <w:t>组织</w:t>
      </w:r>
      <w:r>
        <w:rPr>
          <w:rFonts w:hint="eastAsia" w:ascii="仿宋" w:hAnsi="仿宋" w:eastAsia="仿宋" w:cs="仿宋"/>
          <w:color w:val="auto"/>
          <w:sz w:val="24"/>
          <w:szCs w:val="24"/>
        </w:rPr>
        <w:t>采购</w:t>
      </w:r>
      <w:r>
        <w:rPr>
          <w:rFonts w:hint="eastAsia" w:ascii="仿宋" w:hAnsi="仿宋" w:eastAsia="仿宋" w:cs="仿宋"/>
          <w:color w:val="auto"/>
          <w:sz w:val="24"/>
          <w:szCs w:val="24"/>
          <w:lang w:eastAsia="zh-CN"/>
        </w:rPr>
        <w:t>。</w:t>
      </w:r>
    </w:p>
    <w:p w14:paraId="0DD51065">
      <w:pPr>
        <w:spacing w:line="360" w:lineRule="auto"/>
        <w:ind w:firstLine="482" w:firstLineChars="200"/>
        <w:outlineLvl w:val="1"/>
        <w:rPr>
          <w:rFonts w:hint="eastAsia" w:ascii="仿宋" w:hAnsi="仿宋" w:eastAsia="仿宋" w:cs="仿宋"/>
          <w:b/>
          <w:color w:val="auto"/>
          <w:sz w:val="24"/>
          <w:szCs w:val="24"/>
        </w:rPr>
      </w:pPr>
    </w:p>
    <w:p w14:paraId="704CE5FA">
      <w:pPr>
        <w:spacing w:line="360" w:lineRule="auto"/>
        <w:jc w:val="center"/>
        <w:outlineLvl w:val="1"/>
        <w:rPr>
          <w:rFonts w:hint="eastAsia" w:ascii="仿宋" w:hAnsi="仿宋" w:eastAsia="仿宋" w:cs="仿宋"/>
          <w:b/>
          <w:bCs/>
          <w:color w:val="auto"/>
          <w:sz w:val="32"/>
          <w:szCs w:val="32"/>
          <w:lang w:val="en-US" w:eastAsia="zh-CN" w:bidi="zh-CN"/>
        </w:rPr>
      </w:pPr>
      <w:bookmarkStart w:id="182" w:name="_Toc4770"/>
      <w:bookmarkStart w:id="183" w:name="_Toc9161"/>
    </w:p>
    <w:p w14:paraId="70A21BCB">
      <w:pPr>
        <w:spacing w:line="360" w:lineRule="auto"/>
        <w:jc w:val="center"/>
        <w:outlineLvl w:val="1"/>
        <w:rPr>
          <w:rFonts w:hint="default" w:ascii="仿宋" w:hAnsi="仿宋" w:eastAsia="仿宋" w:cs="仿宋"/>
          <w:b/>
          <w:bCs/>
          <w:color w:val="auto"/>
          <w:sz w:val="32"/>
          <w:szCs w:val="32"/>
          <w:lang w:val="en-US" w:eastAsia="zh-CN" w:bidi="zh-CN"/>
        </w:rPr>
      </w:pPr>
      <w:r>
        <w:rPr>
          <w:rFonts w:hint="eastAsia" w:ascii="仿宋" w:hAnsi="仿宋" w:eastAsia="仿宋" w:cs="仿宋"/>
          <w:b/>
          <w:bCs/>
          <w:color w:val="auto"/>
          <w:sz w:val="32"/>
          <w:szCs w:val="32"/>
          <w:lang w:val="en-US" w:eastAsia="zh-CN" w:bidi="zh-CN"/>
        </w:rPr>
        <w:t>九、</w:t>
      </w:r>
      <w:bookmarkEnd w:id="176"/>
      <w:r>
        <w:rPr>
          <w:rFonts w:hint="eastAsia" w:ascii="仿宋" w:hAnsi="仿宋" w:eastAsia="仿宋" w:cs="仿宋"/>
          <w:b/>
          <w:bCs/>
          <w:color w:val="auto"/>
          <w:sz w:val="32"/>
          <w:szCs w:val="32"/>
          <w:lang w:val="en-US" w:eastAsia="zh-CN" w:bidi="zh-CN"/>
        </w:rPr>
        <w:t>履约验收</w:t>
      </w:r>
      <w:bookmarkEnd w:id="182"/>
      <w:bookmarkEnd w:id="183"/>
    </w:p>
    <w:p w14:paraId="23A48044">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采购人按照《温州市政府采购履约验收办法》（温财采〔2020〕6 号）规定组织对中标人履约的验收。验收方成员应当在验收书上签字，并承担相应的法律责任。如果发现与合同中要求不符，中标人须承担由此发生的一切损失和费用，并接受相应的处理。</w:t>
      </w:r>
    </w:p>
    <w:p w14:paraId="34023704">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严格按照采购合同开展履约验收。采购人委托第三方代理公司，组成采购人、专家等为成员的验收小组。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中标人签字盖章，并在财政指定媒体上公示无异议后生效。验收结果与采购合同约定的资金支付挂钩。履约验收的各项资料应当存档备查。</w:t>
      </w:r>
    </w:p>
    <w:p w14:paraId="089BCEC5">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3.验收资料要求</w:t>
      </w:r>
    </w:p>
    <w:p w14:paraId="74E5B4C8">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验收资料要求包括（不限于）以下内容：</w:t>
      </w:r>
    </w:p>
    <w:p w14:paraId="022A6FB2">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(1)采购文件；</w:t>
      </w:r>
    </w:p>
    <w:p w14:paraId="31A3755C">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(2)投标文件；</w:t>
      </w:r>
    </w:p>
    <w:p w14:paraId="4737B9CD">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(3)采购合同；</w:t>
      </w:r>
    </w:p>
    <w:p w14:paraId="68A3B187">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(4)产品清单：产品数量、规格、质量证明文件；</w:t>
      </w:r>
    </w:p>
    <w:p w14:paraId="659B09CC">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(5)到货核验单（需采购核验人、复核人及中标人三方签字盖章）、出厂合格证、检测报告、产品说明书、原厂质保函、质量保证书原件、三包凭证、产品拍照图片；</w:t>
      </w:r>
    </w:p>
    <w:p w14:paraId="347D6F9B">
      <w:pPr>
        <w:spacing w:line="360" w:lineRule="auto"/>
        <w:ind w:firstLine="424" w:firstLineChars="177"/>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(6)其他需提供的相关材料。</w:t>
      </w:r>
    </w:p>
    <w:p w14:paraId="511A62DE">
      <w:pPr>
        <w:spacing w:line="360" w:lineRule="auto"/>
        <w:ind w:firstLine="424" w:firstLineChars="177"/>
        <w:outlineLvl w:val="9"/>
        <w:rPr>
          <w:color w:val="auto"/>
          <w:sz w:val="22"/>
          <w:szCs w:val="22"/>
        </w:rPr>
      </w:pPr>
      <w:r>
        <w:rPr>
          <w:rFonts w:hint="eastAsia" w:ascii="仿宋" w:hAnsi="仿宋" w:eastAsia="仿宋" w:cs="仿宋"/>
          <w:color w:val="auto"/>
          <w:sz w:val="24"/>
          <w:highlight w:val="none"/>
          <w:lang w:eastAsia="zh-CN"/>
        </w:rPr>
        <w:t>4.履约验收其他事项：验收合格的项目，采购人将根据采购合同的约定及时向中标人支付采购资金。验收不合格的项目，采购人将依法及时处理。采购合同的履行、违约责任和解决争议的方式等适用《中华人民共和国民法典》。</w:t>
      </w:r>
    </w:p>
    <w:p w14:paraId="14384443">
      <w:pPr>
        <w:rPr>
          <w:color w:val="auto"/>
        </w:rPr>
      </w:pPr>
      <w:r>
        <w:rPr>
          <w:color w:val="auto"/>
        </w:rPr>
        <w:br w:type="page"/>
      </w:r>
    </w:p>
    <w:p w14:paraId="3A0DEE29">
      <w:pPr>
        <w:pStyle w:val="5"/>
        <w:tabs>
          <w:tab w:val="left" w:pos="1444"/>
        </w:tabs>
        <w:spacing w:before="80"/>
        <w:ind w:right="15"/>
        <w:rPr>
          <w:color w:val="auto"/>
        </w:rPr>
      </w:pPr>
      <w:bookmarkStart w:id="184" w:name="_Toc32215"/>
      <w:bookmarkStart w:id="185" w:name="_Toc3618"/>
      <w:bookmarkStart w:id="186" w:name="_Toc3941"/>
      <w:r>
        <w:rPr>
          <w:rFonts w:hint="eastAsia" w:ascii="仿宋" w:hAnsi="仿宋" w:eastAsia="仿宋" w:cs="仿宋"/>
          <w:color w:val="auto"/>
        </w:rPr>
        <w:t>第</w:t>
      </w:r>
      <w:r>
        <w:rPr>
          <w:rFonts w:hint="eastAsia" w:ascii="仿宋" w:hAnsi="仿宋" w:eastAsia="仿宋" w:cs="仿宋"/>
          <w:color w:val="auto"/>
          <w:lang w:val="en-US" w:eastAsia="zh-CN"/>
        </w:rPr>
        <w:t>三</w:t>
      </w:r>
      <w:r>
        <w:rPr>
          <w:rFonts w:hint="eastAsia" w:ascii="仿宋" w:hAnsi="仿宋" w:eastAsia="仿宋" w:cs="仿宋"/>
          <w:color w:val="auto"/>
        </w:rPr>
        <w:t>章</w:t>
      </w:r>
      <w:r>
        <w:rPr>
          <w:rFonts w:hint="eastAsia" w:ascii="仿宋" w:hAnsi="仿宋" w:eastAsia="仿宋" w:cs="仿宋"/>
          <w:color w:val="auto"/>
          <w:lang w:val="en-US"/>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采购需求</w:t>
      </w:r>
      <w:bookmarkEnd w:id="184"/>
      <w:bookmarkEnd w:id="185"/>
    </w:p>
    <w:p w14:paraId="1FCDA457">
      <w:pPr>
        <w:pStyle w:val="6"/>
        <w:spacing w:line="360" w:lineRule="auto"/>
        <w:ind w:left="0" w:leftChars="0" w:right="0" w:firstLine="0" w:firstLineChars="0"/>
        <w:rPr>
          <w:rFonts w:ascii="仿宋" w:hAnsi="仿宋" w:eastAsia="仿宋" w:cs="仿宋"/>
          <w:color w:val="auto"/>
          <w:sz w:val="24"/>
          <w:szCs w:val="24"/>
        </w:rPr>
      </w:pPr>
      <w:bookmarkStart w:id="187" w:name="_Toc26931"/>
      <w:bookmarkStart w:id="188" w:name="_Toc2544"/>
      <w:bookmarkStart w:id="189" w:name="_Toc24347"/>
      <w:r>
        <w:rPr>
          <w:rFonts w:hint="eastAsia" w:ascii="仿宋" w:hAnsi="仿宋" w:eastAsia="仿宋" w:cs="仿宋"/>
          <w:b/>
          <w:bCs/>
          <w:color w:val="auto"/>
          <w:sz w:val="28"/>
          <w:szCs w:val="28"/>
        </w:rPr>
        <w:t>一、项目</w:t>
      </w:r>
      <w:r>
        <w:rPr>
          <w:rFonts w:hint="eastAsia" w:ascii="仿宋" w:hAnsi="仿宋" w:eastAsia="仿宋" w:cs="仿宋"/>
          <w:b/>
          <w:bCs/>
          <w:color w:val="auto"/>
          <w:sz w:val="28"/>
          <w:szCs w:val="28"/>
          <w:lang w:val="en-US"/>
        </w:rPr>
        <w:t>概况</w:t>
      </w:r>
      <w:bookmarkEnd w:id="187"/>
      <w:bookmarkEnd w:id="188"/>
      <w:bookmarkEnd w:id="189"/>
    </w:p>
    <w:p w14:paraId="737EB3C3">
      <w:pPr>
        <w:spacing w:line="360" w:lineRule="auto"/>
        <w:ind w:left="0" w:right="0" w:firstLine="480" w:firstLineChars="200"/>
        <w:outlineLvl w:val="9"/>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本项目采购内容为学校功能教室设备和仪器。货物质量的稳定性上：采用高品质实验设备和配套材质，特别要做到实验室对耐酸耐碱耐腐蚀的材质要求以及整体配套排风系统的要求，对实验仪器方面选择经久耐用和稳定性高的实验仪器，确保实验操作时设备质量稳定和耐用。</w:t>
      </w:r>
    </w:p>
    <w:p w14:paraId="3D865B39">
      <w:pPr>
        <w:spacing w:line="360" w:lineRule="auto"/>
        <w:ind w:left="0" w:right="0" w:firstLine="480" w:firstLineChars="200"/>
        <w:outlineLvl w:val="9"/>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牢固性和耐用性上：由于实验室设备使用率非常高，除了教师教学演示用以外，学生自主实验操作是重点，学生的误操作、不爱惜实验器材等特点要求配备的实验仪器牢固不易损坏，所以选择的货物需做工良好，实验台主材采用整体牢固和承重性，设备接插口要简单牢固，不易损坏，从而达到较长的使用寿命。</w:t>
      </w:r>
    </w:p>
    <w:p w14:paraId="1B527459">
      <w:pPr>
        <w:spacing w:line="360" w:lineRule="auto"/>
        <w:ind w:left="0" w:right="0" w:firstLine="480" w:firstLineChars="200"/>
        <w:outlineLvl w:val="9"/>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易用性上：选择简单易操作的结构设计和配件配套，方便学生实验过程中取电、排风、用水、仪器存取使用、药品存取使用。</w:t>
      </w:r>
    </w:p>
    <w:p w14:paraId="4117A588">
      <w:pPr>
        <w:spacing w:line="360" w:lineRule="auto"/>
        <w:ind w:left="0" w:right="0" w:firstLine="480" w:firstLineChars="200"/>
        <w:outlineLvl w:val="9"/>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易扩展性上：由于实验室技术的发展日新月异，对于学校来讲未来新技术和新材质采用也是很有可能，实验室整体项目要考虑到系统的集成性，各系统之间从连接、功能预留、预埋，接插口通用放开以及易损件的可更换等方面均需要考虑和设计。</w:t>
      </w:r>
    </w:p>
    <w:p w14:paraId="3EED692B">
      <w:pPr>
        <w:spacing w:line="360" w:lineRule="auto"/>
        <w:ind w:left="0" w:right="0" w:firstLine="480" w:firstLineChars="200"/>
        <w:outlineLvl w:val="9"/>
        <w:rPr>
          <w:rFonts w:hint="default"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安全性上：实验室仪器设备在用水、用电、通风、化学有毒有害物质实验等方面需严格按照安全规范实施，保证学生实验的安全。</w:t>
      </w:r>
    </w:p>
    <w:p w14:paraId="13AF1469">
      <w:pPr>
        <w:spacing w:line="360" w:lineRule="auto"/>
        <w:ind w:left="0" w:right="0" w:firstLine="480" w:firstLineChars="200"/>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本项目为“交钥匙”项目，采购内容包括采购清单中货物供货、安装调试、</w:t>
      </w:r>
      <w:r>
        <w:rPr>
          <w:rFonts w:hint="eastAsia" w:ascii="仿宋" w:hAnsi="仿宋" w:eastAsia="仿宋" w:cs="仿宋"/>
          <w:color w:val="000000" w:themeColor="text1"/>
          <w:sz w:val="24"/>
          <w:szCs w:val="24"/>
          <w:lang w:val="zh-CN" w:eastAsia="zh-CN" w:bidi="zh-CN"/>
          <w14:textFill>
            <w14:solidFill>
              <w14:schemeClr w14:val="tx1"/>
            </w14:solidFill>
          </w14:textFill>
        </w:rPr>
        <w:t>环境布置、</w:t>
      </w:r>
      <w:r>
        <w:rPr>
          <w:rFonts w:hint="eastAsia" w:ascii="仿宋" w:hAnsi="仿宋" w:eastAsia="仿宋" w:cs="仿宋"/>
          <w:color w:val="auto"/>
          <w:sz w:val="24"/>
          <w:szCs w:val="24"/>
          <w:lang w:val="en-US" w:eastAsia="zh-CN" w:bidi="zh-CN"/>
        </w:rPr>
        <w:t>履约</w:t>
      </w:r>
      <w:r>
        <w:rPr>
          <w:rFonts w:hint="eastAsia" w:ascii="仿宋" w:hAnsi="仿宋" w:eastAsia="仿宋" w:cs="仿宋"/>
          <w:color w:val="auto"/>
          <w:sz w:val="24"/>
          <w:szCs w:val="24"/>
          <w:lang w:val="zh-CN" w:eastAsia="zh-CN" w:bidi="zh-CN"/>
        </w:rPr>
        <w:t>验收、培训、质保期内的售后服务等。采购需求清单中未提到，但在实际采购和安装过程中需要配置的各种设备、材料和其他费用等均计入本次报价中。</w:t>
      </w:r>
    </w:p>
    <w:p w14:paraId="342DCFFF">
      <w:pPr>
        <w:spacing w:line="360" w:lineRule="auto"/>
        <w:ind w:right="0"/>
        <w:jc w:val="center"/>
        <w:outlineLvl w:val="9"/>
        <w:rPr>
          <w:rFonts w:hint="eastAsia" w:ascii="仿宋" w:hAnsi="仿宋" w:eastAsia="仿宋" w:cs="仿宋"/>
          <w:b/>
          <w:bCs/>
          <w:color w:val="auto"/>
          <w:sz w:val="32"/>
          <w:szCs w:val="32"/>
          <w:lang w:val="en-US" w:eastAsia="zh-CN" w:bidi="zh-CN"/>
        </w:rPr>
      </w:pPr>
      <w:r>
        <w:rPr>
          <w:rFonts w:hint="eastAsia" w:ascii="仿宋" w:hAnsi="仿宋" w:eastAsia="仿宋" w:cs="仿宋"/>
          <w:b/>
          <w:bCs/>
          <w:color w:val="auto"/>
          <w:sz w:val="32"/>
          <w:szCs w:val="32"/>
          <w:lang w:val="en-US" w:eastAsia="zh-CN" w:bidi="zh-CN"/>
        </w:rPr>
        <w:t>采购需求前附表</w:t>
      </w:r>
    </w:p>
    <w:tbl>
      <w:tblPr>
        <w:tblStyle w:val="26"/>
        <w:tblW w:w="9810"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825"/>
        <w:gridCol w:w="2910"/>
        <w:gridCol w:w="6075"/>
      </w:tblGrid>
      <w:tr w14:paraId="33F9BC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shd w:val="clear" w:color="auto" w:fill="B6DDE8" w:themeFill="accent5" w:themeFillTint="66"/>
            <w:vAlign w:val="center"/>
          </w:tcPr>
          <w:p w14:paraId="127A78AE">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序号</w:t>
            </w:r>
          </w:p>
        </w:tc>
        <w:tc>
          <w:tcPr>
            <w:tcW w:w="2910" w:type="dxa"/>
            <w:tcBorders>
              <w:tl2br w:val="nil"/>
              <w:tr2bl w:val="nil"/>
            </w:tcBorders>
            <w:shd w:val="clear" w:color="auto" w:fill="B6DDE8" w:themeFill="accent5" w:themeFillTint="66"/>
            <w:vAlign w:val="center"/>
          </w:tcPr>
          <w:p w14:paraId="77EEDC1B">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项目</w:t>
            </w:r>
          </w:p>
        </w:tc>
        <w:tc>
          <w:tcPr>
            <w:tcW w:w="6075" w:type="dxa"/>
            <w:tcBorders>
              <w:tl2br w:val="nil"/>
              <w:tr2bl w:val="nil"/>
            </w:tcBorders>
            <w:shd w:val="clear" w:color="auto" w:fill="B6DDE8" w:themeFill="accent5" w:themeFillTint="66"/>
            <w:vAlign w:val="center"/>
          </w:tcPr>
          <w:p w14:paraId="647C6A1A">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采购需求内容</w:t>
            </w:r>
          </w:p>
        </w:tc>
      </w:tr>
      <w:tr w14:paraId="501625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6013C5C5">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2910" w:type="dxa"/>
            <w:tcBorders>
              <w:tl2br w:val="nil"/>
              <w:tr2bl w:val="nil"/>
            </w:tcBorders>
            <w:vAlign w:val="center"/>
          </w:tcPr>
          <w:p w14:paraId="1D9ED84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采购内容</w:t>
            </w:r>
          </w:p>
        </w:tc>
        <w:tc>
          <w:tcPr>
            <w:tcW w:w="6075" w:type="dxa"/>
            <w:tcBorders>
              <w:tl2br w:val="nil"/>
              <w:tr2bl w:val="nil"/>
            </w:tcBorders>
            <w:vAlign w:val="center"/>
          </w:tcPr>
          <w:p w14:paraId="12799279">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sz w:val="22"/>
                <w:szCs w:val="22"/>
                <w:lang w:val="en-US" w:eastAsia="zh-CN" w:bidi="zh-CN"/>
              </w:rPr>
              <w:t>学校功能教室设备和仪器</w:t>
            </w:r>
          </w:p>
        </w:tc>
      </w:tr>
      <w:tr w14:paraId="331A94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060288AE">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2910" w:type="dxa"/>
            <w:tcBorders>
              <w:tl2br w:val="nil"/>
              <w:tr2bl w:val="nil"/>
            </w:tcBorders>
            <w:vAlign w:val="center"/>
          </w:tcPr>
          <w:p w14:paraId="5C553F8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单位及数量</w:t>
            </w:r>
          </w:p>
        </w:tc>
        <w:tc>
          <w:tcPr>
            <w:tcW w:w="6075" w:type="dxa"/>
            <w:tcBorders>
              <w:tl2br w:val="nil"/>
              <w:tr2bl w:val="nil"/>
            </w:tcBorders>
            <w:vAlign w:val="center"/>
          </w:tcPr>
          <w:p w14:paraId="0C33B4BF">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详见本</w:t>
            </w:r>
            <w:r>
              <w:rPr>
                <w:rFonts w:hint="eastAsia" w:ascii="仿宋" w:hAnsi="仿宋" w:eastAsia="仿宋" w:cs="仿宋"/>
                <w:color w:val="auto"/>
                <w:kern w:val="0"/>
                <w:sz w:val="22"/>
                <w:szCs w:val="22"/>
                <w:lang w:val="en-US" w:eastAsia="zh-CN"/>
              </w:rPr>
              <w:t>章</w:t>
            </w:r>
            <w:r>
              <w:rPr>
                <w:rFonts w:hint="eastAsia" w:ascii="仿宋" w:hAnsi="仿宋" w:eastAsia="仿宋" w:cs="仿宋"/>
                <w:color w:val="auto"/>
                <w:kern w:val="0"/>
                <w:sz w:val="22"/>
                <w:szCs w:val="22"/>
              </w:rPr>
              <w:t>内容</w:t>
            </w:r>
          </w:p>
        </w:tc>
      </w:tr>
      <w:tr w14:paraId="7EAA1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200A4B1E">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2910" w:type="dxa"/>
            <w:tcBorders>
              <w:tl2br w:val="nil"/>
              <w:tr2bl w:val="nil"/>
            </w:tcBorders>
            <w:vAlign w:val="center"/>
          </w:tcPr>
          <w:p w14:paraId="1CCACB74">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交付或者实施的地点</w:t>
            </w:r>
          </w:p>
        </w:tc>
        <w:tc>
          <w:tcPr>
            <w:tcW w:w="6075" w:type="dxa"/>
            <w:tcBorders>
              <w:tl2br w:val="nil"/>
              <w:tr2bl w:val="nil"/>
            </w:tcBorders>
            <w:vAlign w:val="center"/>
          </w:tcPr>
          <w:p w14:paraId="2CEDB558">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default" w:ascii="仿宋" w:hAnsi="仿宋" w:eastAsia="仿宋" w:cs="仿宋"/>
                <w:color w:val="auto"/>
                <w:kern w:val="0"/>
                <w:sz w:val="22"/>
                <w:szCs w:val="22"/>
                <w:lang w:val="en-US" w:eastAsia="zh-CN"/>
              </w:rPr>
            </w:pPr>
            <w:r>
              <w:rPr>
                <w:rFonts w:hint="default" w:ascii="仿宋" w:hAnsi="仿宋" w:eastAsia="仿宋" w:cs="仿宋"/>
                <w:color w:val="000000" w:themeColor="text1"/>
                <w:kern w:val="0"/>
                <w:sz w:val="22"/>
                <w:szCs w:val="22"/>
                <w:lang w:val="en-US" w:eastAsia="zh-CN"/>
                <w14:textFill>
                  <w14:solidFill>
                    <w14:schemeClr w14:val="tx1"/>
                  </w14:solidFill>
                </w14:textFill>
              </w:rPr>
              <w:t>龙港市世纪中学</w:t>
            </w:r>
          </w:p>
        </w:tc>
      </w:tr>
      <w:tr w14:paraId="2BC37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58515A3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2910" w:type="dxa"/>
            <w:tcBorders>
              <w:tl2br w:val="nil"/>
              <w:tr2bl w:val="nil"/>
            </w:tcBorders>
            <w:vAlign w:val="center"/>
          </w:tcPr>
          <w:p w14:paraId="300A674A">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需实现的功能或者目标</w:t>
            </w:r>
          </w:p>
        </w:tc>
        <w:tc>
          <w:tcPr>
            <w:tcW w:w="6075" w:type="dxa"/>
            <w:tcBorders>
              <w:tl2br w:val="nil"/>
              <w:tr2bl w:val="nil"/>
            </w:tcBorders>
            <w:vAlign w:val="center"/>
          </w:tcPr>
          <w:p w14:paraId="783C26DF">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详见本</w:t>
            </w:r>
            <w:r>
              <w:rPr>
                <w:rFonts w:hint="eastAsia" w:ascii="仿宋" w:hAnsi="仿宋" w:eastAsia="仿宋" w:cs="仿宋"/>
                <w:color w:val="auto"/>
                <w:kern w:val="0"/>
                <w:sz w:val="22"/>
                <w:szCs w:val="22"/>
                <w:lang w:val="en-US" w:eastAsia="zh-CN"/>
              </w:rPr>
              <w:t>章</w:t>
            </w:r>
            <w:r>
              <w:rPr>
                <w:rFonts w:hint="eastAsia" w:ascii="仿宋" w:hAnsi="仿宋" w:eastAsia="仿宋" w:cs="仿宋"/>
                <w:color w:val="auto"/>
                <w:kern w:val="0"/>
                <w:sz w:val="22"/>
                <w:szCs w:val="22"/>
              </w:rPr>
              <w:t>内容</w:t>
            </w:r>
          </w:p>
        </w:tc>
      </w:tr>
      <w:tr w14:paraId="165B8F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075B5EBF">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2910" w:type="dxa"/>
            <w:tcBorders>
              <w:tl2br w:val="nil"/>
              <w:tr2bl w:val="nil"/>
            </w:tcBorders>
            <w:vAlign w:val="center"/>
          </w:tcPr>
          <w:p w14:paraId="3A53994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执行的国家相关标准、行业标准、地方标准或者其它标准、规范</w:t>
            </w:r>
          </w:p>
        </w:tc>
        <w:tc>
          <w:tcPr>
            <w:tcW w:w="6075" w:type="dxa"/>
            <w:tcBorders>
              <w:tl2br w:val="nil"/>
              <w:tr2bl w:val="nil"/>
            </w:tcBorders>
            <w:vAlign w:val="center"/>
          </w:tcPr>
          <w:p w14:paraId="62B32945">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（1）执行国家相关标准、行业标准、地方标准或者其它标准、规范；</w:t>
            </w:r>
          </w:p>
          <w:p w14:paraId="690BF3C5">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（2）供应商采用其它标准和规范时，应在投标文件中注明是采用何种标准，并应保证设备达到或优于国家规定的现行相关标准。</w:t>
            </w:r>
          </w:p>
        </w:tc>
      </w:tr>
      <w:tr w14:paraId="37CE96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5A8DD20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6</w:t>
            </w:r>
          </w:p>
        </w:tc>
        <w:tc>
          <w:tcPr>
            <w:tcW w:w="2910" w:type="dxa"/>
            <w:tcBorders>
              <w:tl2br w:val="nil"/>
              <w:tr2bl w:val="nil"/>
            </w:tcBorders>
            <w:vAlign w:val="center"/>
          </w:tcPr>
          <w:p w14:paraId="4A20E46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技术规格要求</w:t>
            </w:r>
          </w:p>
        </w:tc>
        <w:tc>
          <w:tcPr>
            <w:tcW w:w="6075" w:type="dxa"/>
            <w:tcBorders>
              <w:tl2br w:val="nil"/>
              <w:tr2bl w:val="nil"/>
            </w:tcBorders>
            <w:vAlign w:val="center"/>
          </w:tcPr>
          <w:p w14:paraId="1F7F329D">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详见本</w:t>
            </w:r>
            <w:r>
              <w:rPr>
                <w:rFonts w:hint="eastAsia" w:ascii="仿宋" w:hAnsi="仿宋" w:eastAsia="仿宋" w:cs="仿宋"/>
                <w:color w:val="auto"/>
                <w:kern w:val="0"/>
                <w:sz w:val="22"/>
                <w:szCs w:val="22"/>
                <w:lang w:val="en-US" w:eastAsia="zh-CN"/>
              </w:rPr>
              <w:t>章</w:t>
            </w:r>
            <w:r>
              <w:rPr>
                <w:rFonts w:hint="eastAsia" w:ascii="仿宋" w:hAnsi="仿宋" w:eastAsia="仿宋" w:cs="仿宋"/>
                <w:color w:val="auto"/>
                <w:kern w:val="0"/>
                <w:sz w:val="22"/>
                <w:szCs w:val="22"/>
              </w:rPr>
              <w:t>内容</w:t>
            </w:r>
          </w:p>
        </w:tc>
      </w:tr>
      <w:tr w14:paraId="4CB9F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1121071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7</w:t>
            </w:r>
          </w:p>
        </w:tc>
        <w:tc>
          <w:tcPr>
            <w:tcW w:w="2910" w:type="dxa"/>
            <w:tcBorders>
              <w:tl2br w:val="nil"/>
              <w:tr2bl w:val="nil"/>
            </w:tcBorders>
            <w:vAlign w:val="center"/>
          </w:tcPr>
          <w:p w14:paraId="5C994E1D">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物理特性要求</w:t>
            </w:r>
          </w:p>
        </w:tc>
        <w:tc>
          <w:tcPr>
            <w:tcW w:w="6075" w:type="dxa"/>
            <w:tcBorders>
              <w:tl2br w:val="nil"/>
              <w:tr2bl w:val="nil"/>
            </w:tcBorders>
            <w:vAlign w:val="center"/>
          </w:tcPr>
          <w:p w14:paraId="22E3990E">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详见本</w:t>
            </w:r>
            <w:r>
              <w:rPr>
                <w:rFonts w:hint="eastAsia" w:ascii="仿宋" w:hAnsi="仿宋" w:eastAsia="仿宋" w:cs="仿宋"/>
                <w:color w:val="auto"/>
                <w:kern w:val="0"/>
                <w:sz w:val="22"/>
                <w:szCs w:val="22"/>
                <w:lang w:val="en-US" w:eastAsia="zh-CN"/>
              </w:rPr>
              <w:t>章</w:t>
            </w:r>
            <w:r>
              <w:rPr>
                <w:rFonts w:hint="eastAsia" w:ascii="仿宋" w:hAnsi="仿宋" w:eastAsia="仿宋" w:cs="仿宋"/>
                <w:color w:val="auto"/>
                <w:kern w:val="0"/>
                <w:sz w:val="22"/>
                <w:szCs w:val="22"/>
              </w:rPr>
              <w:t>内容</w:t>
            </w:r>
          </w:p>
        </w:tc>
      </w:tr>
      <w:tr w14:paraId="0D1D09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369CA91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8</w:t>
            </w:r>
          </w:p>
        </w:tc>
        <w:tc>
          <w:tcPr>
            <w:tcW w:w="2910" w:type="dxa"/>
            <w:tcBorders>
              <w:tl2br w:val="nil"/>
              <w:tr2bl w:val="nil"/>
            </w:tcBorders>
            <w:vAlign w:val="center"/>
          </w:tcPr>
          <w:p w14:paraId="5EA612CF">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质量、安全要求</w:t>
            </w:r>
          </w:p>
        </w:tc>
        <w:tc>
          <w:tcPr>
            <w:tcW w:w="6075" w:type="dxa"/>
            <w:tcBorders>
              <w:tl2br w:val="nil"/>
              <w:tr2bl w:val="nil"/>
            </w:tcBorders>
            <w:vAlign w:val="center"/>
          </w:tcPr>
          <w:p w14:paraId="2265E3AC">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质量要求：详见本</w:t>
            </w:r>
            <w:r>
              <w:rPr>
                <w:rFonts w:hint="eastAsia" w:ascii="仿宋" w:hAnsi="仿宋" w:eastAsia="仿宋" w:cs="仿宋"/>
                <w:color w:val="auto"/>
                <w:kern w:val="0"/>
                <w:sz w:val="22"/>
                <w:szCs w:val="22"/>
                <w:lang w:val="en-US" w:eastAsia="zh-CN"/>
              </w:rPr>
              <w:t>章</w:t>
            </w:r>
            <w:r>
              <w:rPr>
                <w:rFonts w:hint="eastAsia" w:ascii="仿宋" w:hAnsi="仿宋" w:eastAsia="仿宋" w:cs="仿宋"/>
                <w:color w:val="auto"/>
                <w:kern w:val="0"/>
                <w:sz w:val="22"/>
                <w:szCs w:val="22"/>
              </w:rPr>
              <w:t>内容。</w:t>
            </w:r>
          </w:p>
          <w:p w14:paraId="48BBB1F2">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安全要求：合格。</w:t>
            </w:r>
          </w:p>
        </w:tc>
      </w:tr>
      <w:tr w14:paraId="0156E0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070D048A">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9</w:t>
            </w:r>
          </w:p>
        </w:tc>
        <w:tc>
          <w:tcPr>
            <w:tcW w:w="2910" w:type="dxa"/>
            <w:tcBorders>
              <w:tl2br w:val="nil"/>
              <w:tr2bl w:val="nil"/>
            </w:tcBorders>
            <w:vAlign w:val="center"/>
          </w:tcPr>
          <w:p w14:paraId="28062A55">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服务标准、期限、效率</w:t>
            </w:r>
          </w:p>
        </w:tc>
        <w:tc>
          <w:tcPr>
            <w:tcW w:w="6075" w:type="dxa"/>
            <w:tcBorders>
              <w:tl2br w:val="nil"/>
              <w:tr2bl w:val="nil"/>
            </w:tcBorders>
            <w:vAlign w:val="center"/>
          </w:tcPr>
          <w:p w14:paraId="4003ADEC">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详见本</w:t>
            </w:r>
            <w:r>
              <w:rPr>
                <w:rFonts w:hint="eastAsia" w:ascii="仿宋" w:hAnsi="仿宋" w:eastAsia="仿宋" w:cs="仿宋"/>
                <w:color w:val="auto"/>
                <w:kern w:val="0"/>
                <w:sz w:val="22"/>
                <w:szCs w:val="22"/>
                <w:lang w:val="en-US" w:eastAsia="zh-CN"/>
              </w:rPr>
              <w:t>章</w:t>
            </w:r>
            <w:r>
              <w:rPr>
                <w:rFonts w:hint="eastAsia" w:ascii="仿宋" w:hAnsi="仿宋" w:eastAsia="仿宋" w:cs="仿宋"/>
                <w:color w:val="auto"/>
                <w:kern w:val="0"/>
                <w:sz w:val="22"/>
                <w:szCs w:val="22"/>
              </w:rPr>
              <w:t>内容</w:t>
            </w:r>
          </w:p>
        </w:tc>
      </w:tr>
      <w:tr w14:paraId="53F8D2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0B74526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w:t>
            </w:r>
          </w:p>
        </w:tc>
        <w:tc>
          <w:tcPr>
            <w:tcW w:w="2910" w:type="dxa"/>
            <w:tcBorders>
              <w:tl2br w:val="nil"/>
              <w:tr2bl w:val="nil"/>
            </w:tcBorders>
            <w:vAlign w:val="center"/>
          </w:tcPr>
          <w:p w14:paraId="7E374C84">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履约</w:t>
            </w:r>
            <w:r>
              <w:rPr>
                <w:rFonts w:hint="eastAsia" w:ascii="仿宋" w:hAnsi="仿宋" w:eastAsia="仿宋" w:cs="仿宋"/>
                <w:color w:val="auto"/>
                <w:kern w:val="0"/>
                <w:sz w:val="22"/>
                <w:szCs w:val="22"/>
              </w:rPr>
              <w:t>验收标准</w:t>
            </w:r>
          </w:p>
        </w:tc>
        <w:tc>
          <w:tcPr>
            <w:tcW w:w="6075" w:type="dxa"/>
            <w:tcBorders>
              <w:tl2br w:val="nil"/>
              <w:tr2bl w:val="nil"/>
            </w:tcBorders>
            <w:vAlign w:val="center"/>
          </w:tcPr>
          <w:p w14:paraId="5F3498B2">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bCs/>
                <w:color w:val="auto"/>
                <w:kern w:val="0"/>
                <w:sz w:val="22"/>
                <w:szCs w:val="22"/>
              </w:rPr>
              <w:t>按照中标人提供的投标文件及中标人和采购人签订的政府采购合同为标准进行验收。</w:t>
            </w:r>
          </w:p>
        </w:tc>
      </w:tr>
      <w:tr w14:paraId="23BDBB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825" w:type="dxa"/>
            <w:tcBorders>
              <w:tl2br w:val="nil"/>
              <w:tr2bl w:val="nil"/>
            </w:tcBorders>
            <w:vAlign w:val="center"/>
          </w:tcPr>
          <w:p w14:paraId="557F799E">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11</w:t>
            </w:r>
          </w:p>
        </w:tc>
        <w:tc>
          <w:tcPr>
            <w:tcW w:w="2910" w:type="dxa"/>
            <w:tcBorders>
              <w:tl2br w:val="nil"/>
              <w:tr2bl w:val="nil"/>
            </w:tcBorders>
            <w:vAlign w:val="center"/>
          </w:tcPr>
          <w:p w14:paraId="01BBF16A">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现场踏勘</w:t>
            </w:r>
          </w:p>
        </w:tc>
        <w:tc>
          <w:tcPr>
            <w:tcW w:w="6075" w:type="dxa"/>
            <w:tcBorders>
              <w:tl2br w:val="nil"/>
              <w:tr2bl w:val="nil"/>
            </w:tcBorders>
            <w:vAlign w:val="center"/>
          </w:tcPr>
          <w:p w14:paraId="174CAC64">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19F9CBF3">
      <w:pPr>
        <w:spacing w:line="360" w:lineRule="auto"/>
        <w:ind w:right="0"/>
        <w:outlineLvl w:val="9"/>
        <w:rPr>
          <w:rFonts w:hint="default" w:ascii="仿宋" w:hAnsi="仿宋" w:eastAsia="仿宋" w:cs="仿宋"/>
          <w:color w:val="auto"/>
          <w:sz w:val="24"/>
          <w:szCs w:val="24"/>
          <w:lang w:val="en-US" w:eastAsia="zh-CN" w:bidi="zh-CN"/>
        </w:rPr>
      </w:pPr>
    </w:p>
    <w:p w14:paraId="60CBD79C">
      <w:pPr>
        <w:pStyle w:val="6"/>
        <w:numPr>
          <w:ilvl w:val="0"/>
          <w:numId w:val="0"/>
        </w:numPr>
        <w:spacing w:line="360" w:lineRule="auto"/>
        <w:ind w:right="0" w:rightChars="0"/>
        <w:rPr>
          <w:rFonts w:hint="default"/>
          <w:color w:val="auto"/>
          <w:lang w:val="en-US" w:eastAsia="zh-CN"/>
        </w:rPr>
      </w:pPr>
      <w:bookmarkStart w:id="190" w:name="_Toc11302"/>
      <w:bookmarkStart w:id="191" w:name="_Toc25682"/>
      <w:bookmarkStart w:id="192" w:name="_Toc4502"/>
      <w:r>
        <w:rPr>
          <w:rFonts w:hint="eastAsia" w:ascii="仿宋" w:hAnsi="仿宋" w:eastAsia="仿宋" w:cs="仿宋"/>
          <w:b/>
          <w:bCs/>
          <w:color w:val="auto"/>
          <w:sz w:val="28"/>
          <w:szCs w:val="28"/>
          <w:lang w:val="en-US" w:eastAsia="zh-CN"/>
        </w:rPr>
        <w:t>二、招标需求</w:t>
      </w:r>
      <w:bookmarkEnd w:id="190"/>
      <w:bookmarkEnd w:id="191"/>
      <w:bookmarkEnd w:id="192"/>
    </w:p>
    <w:p w14:paraId="439FF02D">
      <w:pPr>
        <w:spacing w:line="360" w:lineRule="auto"/>
        <w:ind w:right="0"/>
        <w:jc w:val="center"/>
        <w:outlineLvl w:val="9"/>
        <w:rPr>
          <w:rFonts w:hint="eastAsia" w:ascii="仿宋" w:hAnsi="仿宋" w:eastAsia="仿宋" w:cs="仿宋"/>
          <w:color w:val="auto"/>
          <w:sz w:val="36"/>
          <w:szCs w:val="36"/>
          <w:lang w:val="en-US" w:eastAsia="zh-CN" w:bidi="zh-CN"/>
        </w:rPr>
      </w:pPr>
      <w:r>
        <w:rPr>
          <w:rFonts w:hint="eastAsia" w:ascii="仿宋" w:hAnsi="仿宋" w:eastAsia="仿宋" w:cs="仿宋"/>
          <w:b/>
          <w:bCs/>
          <w:color w:val="auto"/>
          <w:sz w:val="32"/>
          <w:szCs w:val="32"/>
          <w:lang w:val="en-US" w:eastAsia="zh-CN" w:bidi="zh-CN"/>
        </w:rPr>
        <w:t>龙港市世纪中学功能教室汇总表</w:t>
      </w:r>
    </w:p>
    <w:tbl>
      <w:tblPr>
        <w:tblStyle w:val="26"/>
        <w:tblW w:w="9796" w:type="dxa"/>
        <w:tblInd w:w="9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28" w:type="dxa"/>
          <w:left w:w="28" w:type="dxa"/>
          <w:bottom w:w="28" w:type="dxa"/>
          <w:right w:w="28" w:type="dxa"/>
        </w:tblCellMar>
      </w:tblPr>
      <w:tblGrid>
        <w:gridCol w:w="784"/>
        <w:gridCol w:w="1255"/>
        <w:gridCol w:w="660"/>
        <w:gridCol w:w="3432"/>
        <w:gridCol w:w="1215"/>
        <w:gridCol w:w="1110"/>
        <w:gridCol w:w="1340"/>
      </w:tblGrid>
      <w:tr w14:paraId="5C5B41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28" w:type="dxa"/>
            <w:left w:w="28" w:type="dxa"/>
            <w:bottom w:w="28" w:type="dxa"/>
            <w:right w:w="28" w:type="dxa"/>
          </w:tblCellMar>
        </w:tblPrEx>
        <w:trPr>
          <w:trHeight w:val="425" w:hRule="atLeast"/>
        </w:trPr>
        <w:tc>
          <w:tcPr>
            <w:tcW w:w="784" w:type="dxa"/>
            <w:tcBorders>
              <w:tl2br w:val="nil"/>
              <w:tr2bl w:val="nil"/>
            </w:tcBorders>
            <w:shd w:val="clear" w:color="auto" w:fill="B6DDE8" w:themeFill="accent5" w:themeFillTint="66"/>
            <w:noWrap/>
            <w:vAlign w:val="center"/>
          </w:tcPr>
          <w:p w14:paraId="5DF7C773">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255" w:type="dxa"/>
            <w:tcBorders>
              <w:tl2br w:val="nil"/>
              <w:tr2bl w:val="nil"/>
            </w:tcBorders>
            <w:shd w:val="clear" w:color="auto" w:fill="B6DDE8" w:themeFill="accent5" w:themeFillTint="66"/>
            <w:noWrap/>
            <w:vAlign w:val="center"/>
          </w:tcPr>
          <w:p w14:paraId="4B75238E">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学科/类别</w:t>
            </w:r>
          </w:p>
        </w:tc>
        <w:tc>
          <w:tcPr>
            <w:tcW w:w="660" w:type="dxa"/>
            <w:tcBorders>
              <w:tl2br w:val="nil"/>
              <w:tr2bl w:val="nil"/>
            </w:tcBorders>
            <w:shd w:val="clear" w:color="auto" w:fill="B6DDE8" w:themeFill="accent5" w:themeFillTint="66"/>
            <w:vAlign w:val="center"/>
          </w:tcPr>
          <w:p w14:paraId="7FB9ED3A">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位置</w:t>
            </w:r>
          </w:p>
        </w:tc>
        <w:tc>
          <w:tcPr>
            <w:tcW w:w="3432" w:type="dxa"/>
            <w:tcBorders>
              <w:tl2br w:val="nil"/>
              <w:tr2bl w:val="nil"/>
            </w:tcBorders>
            <w:shd w:val="clear" w:color="auto" w:fill="B6DDE8" w:themeFill="accent5" w:themeFillTint="66"/>
            <w:vAlign w:val="center"/>
          </w:tcPr>
          <w:p w14:paraId="33C98C29">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功能室名称</w:t>
            </w:r>
          </w:p>
        </w:tc>
        <w:tc>
          <w:tcPr>
            <w:tcW w:w="1215" w:type="dxa"/>
            <w:tcBorders>
              <w:tl2br w:val="nil"/>
              <w:tr2bl w:val="nil"/>
            </w:tcBorders>
            <w:shd w:val="clear" w:color="auto" w:fill="B6DDE8" w:themeFill="accent5" w:themeFillTint="66"/>
            <w:noWrap/>
            <w:vAlign w:val="center"/>
          </w:tcPr>
          <w:p w14:paraId="0D69A929">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110" w:type="dxa"/>
            <w:tcBorders>
              <w:tl2br w:val="nil"/>
              <w:tr2bl w:val="nil"/>
            </w:tcBorders>
            <w:shd w:val="clear" w:color="auto" w:fill="B6DDE8" w:themeFill="accent5" w:themeFillTint="66"/>
            <w:noWrap/>
            <w:vAlign w:val="center"/>
          </w:tcPr>
          <w:p w14:paraId="4E009946">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单位</w:t>
            </w:r>
          </w:p>
        </w:tc>
        <w:tc>
          <w:tcPr>
            <w:tcW w:w="1340" w:type="dxa"/>
            <w:tcBorders>
              <w:tl2br w:val="nil"/>
              <w:tr2bl w:val="nil"/>
            </w:tcBorders>
            <w:shd w:val="clear" w:color="auto" w:fill="B6DDE8" w:themeFill="accent5" w:themeFillTint="66"/>
            <w:vAlign w:val="center"/>
          </w:tcPr>
          <w:p w14:paraId="776DAC48">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备注</w:t>
            </w:r>
          </w:p>
        </w:tc>
      </w:tr>
      <w:tr w14:paraId="59C054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784" w:type="dxa"/>
            <w:vMerge w:val="restart"/>
            <w:tcBorders>
              <w:tl2br w:val="nil"/>
              <w:tr2bl w:val="nil"/>
            </w:tcBorders>
            <w:shd w:val="clear" w:color="auto" w:fill="auto"/>
            <w:noWrap/>
            <w:vAlign w:val="center"/>
          </w:tcPr>
          <w:p w14:paraId="4B809005">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（一）</w:t>
            </w:r>
          </w:p>
        </w:tc>
        <w:tc>
          <w:tcPr>
            <w:tcW w:w="1255" w:type="dxa"/>
            <w:vMerge w:val="restart"/>
            <w:tcBorders>
              <w:tl2br w:val="nil"/>
              <w:tr2bl w:val="nil"/>
            </w:tcBorders>
            <w:shd w:val="clear" w:color="auto" w:fill="auto"/>
            <w:vAlign w:val="center"/>
          </w:tcPr>
          <w:p w14:paraId="59FFB7A7">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物理</w:t>
            </w:r>
          </w:p>
        </w:tc>
        <w:tc>
          <w:tcPr>
            <w:tcW w:w="660" w:type="dxa"/>
            <w:vMerge w:val="restart"/>
            <w:tcBorders>
              <w:tl2br w:val="nil"/>
              <w:tr2bl w:val="nil"/>
            </w:tcBorders>
            <w:shd w:val="clear" w:color="auto" w:fill="auto"/>
            <w:vAlign w:val="center"/>
          </w:tcPr>
          <w:p w14:paraId="2D48DDB1">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3F</w:t>
            </w:r>
          </w:p>
        </w:tc>
        <w:tc>
          <w:tcPr>
            <w:tcW w:w="3432" w:type="dxa"/>
            <w:tcBorders>
              <w:tl2br w:val="nil"/>
              <w:tr2bl w:val="nil"/>
            </w:tcBorders>
            <w:shd w:val="clear" w:color="auto" w:fill="auto"/>
            <w:vAlign w:val="center"/>
          </w:tcPr>
          <w:p w14:paraId="32E02103">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物理实验室</w:t>
            </w:r>
          </w:p>
        </w:tc>
        <w:tc>
          <w:tcPr>
            <w:tcW w:w="1215" w:type="dxa"/>
            <w:tcBorders>
              <w:tl2br w:val="nil"/>
              <w:tr2bl w:val="nil"/>
            </w:tcBorders>
            <w:shd w:val="clear" w:color="auto" w:fill="auto"/>
            <w:noWrap/>
            <w:vAlign w:val="center"/>
          </w:tcPr>
          <w:p w14:paraId="154F1438">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10" w:type="dxa"/>
            <w:tcBorders>
              <w:tl2br w:val="nil"/>
              <w:tr2bl w:val="nil"/>
            </w:tcBorders>
            <w:shd w:val="clear" w:color="auto" w:fill="auto"/>
            <w:noWrap/>
            <w:vAlign w:val="center"/>
          </w:tcPr>
          <w:p w14:paraId="5DD26A6A">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间</w:t>
            </w:r>
          </w:p>
        </w:tc>
        <w:tc>
          <w:tcPr>
            <w:tcW w:w="1340" w:type="dxa"/>
            <w:tcBorders>
              <w:tl2br w:val="nil"/>
              <w:tr2bl w:val="nil"/>
            </w:tcBorders>
            <w:shd w:val="clear" w:color="auto" w:fill="auto"/>
            <w:vAlign w:val="center"/>
          </w:tcPr>
          <w:p w14:paraId="3F148FE9">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p>
        </w:tc>
      </w:tr>
      <w:tr w14:paraId="5FB66F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784" w:type="dxa"/>
            <w:vMerge w:val="continue"/>
            <w:tcBorders>
              <w:tl2br w:val="nil"/>
              <w:tr2bl w:val="nil"/>
            </w:tcBorders>
            <w:shd w:val="clear" w:color="auto" w:fill="auto"/>
            <w:noWrap/>
            <w:vAlign w:val="center"/>
          </w:tcPr>
          <w:p w14:paraId="122DD1F7">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p>
        </w:tc>
        <w:tc>
          <w:tcPr>
            <w:tcW w:w="1255" w:type="dxa"/>
            <w:vMerge w:val="continue"/>
            <w:tcBorders>
              <w:tl2br w:val="nil"/>
              <w:tr2bl w:val="nil"/>
            </w:tcBorders>
            <w:shd w:val="clear" w:color="auto" w:fill="auto"/>
            <w:vAlign w:val="center"/>
          </w:tcPr>
          <w:p w14:paraId="5115A29F">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p>
        </w:tc>
        <w:tc>
          <w:tcPr>
            <w:tcW w:w="660" w:type="dxa"/>
            <w:vMerge w:val="continue"/>
            <w:tcBorders>
              <w:tl2br w:val="nil"/>
              <w:tr2bl w:val="nil"/>
            </w:tcBorders>
            <w:shd w:val="clear" w:color="auto" w:fill="auto"/>
            <w:vAlign w:val="center"/>
          </w:tcPr>
          <w:p w14:paraId="6D224B4F">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p>
        </w:tc>
        <w:tc>
          <w:tcPr>
            <w:tcW w:w="3432" w:type="dxa"/>
            <w:tcBorders>
              <w:tl2br w:val="nil"/>
              <w:tr2bl w:val="nil"/>
            </w:tcBorders>
            <w:shd w:val="clear" w:color="auto" w:fill="auto"/>
            <w:vAlign w:val="center"/>
          </w:tcPr>
          <w:p w14:paraId="2F0568A2">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物理准备间</w:t>
            </w:r>
          </w:p>
        </w:tc>
        <w:tc>
          <w:tcPr>
            <w:tcW w:w="1215" w:type="dxa"/>
            <w:tcBorders>
              <w:tl2br w:val="nil"/>
              <w:tr2bl w:val="nil"/>
            </w:tcBorders>
            <w:shd w:val="clear" w:color="auto" w:fill="auto"/>
            <w:noWrap/>
            <w:vAlign w:val="center"/>
          </w:tcPr>
          <w:p w14:paraId="5BCBB817">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10" w:type="dxa"/>
            <w:tcBorders>
              <w:tl2br w:val="nil"/>
              <w:tr2bl w:val="nil"/>
            </w:tcBorders>
            <w:shd w:val="clear" w:color="auto" w:fill="auto"/>
            <w:noWrap/>
            <w:vAlign w:val="center"/>
          </w:tcPr>
          <w:p w14:paraId="37A1A754">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间</w:t>
            </w:r>
          </w:p>
        </w:tc>
        <w:tc>
          <w:tcPr>
            <w:tcW w:w="1340" w:type="dxa"/>
            <w:tcBorders>
              <w:tl2br w:val="nil"/>
              <w:tr2bl w:val="nil"/>
            </w:tcBorders>
            <w:shd w:val="clear" w:color="auto" w:fill="auto"/>
            <w:vAlign w:val="center"/>
          </w:tcPr>
          <w:p w14:paraId="6F3C5ABC">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p>
        </w:tc>
      </w:tr>
      <w:tr w14:paraId="2E393F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784" w:type="dxa"/>
            <w:vMerge w:val="restart"/>
            <w:tcBorders>
              <w:tl2br w:val="nil"/>
              <w:tr2bl w:val="nil"/>
            </w:tcBorders>
            <w:shd w:val="clear" w:color="auto" w:fill="auto"/>
            <w:noWrap/>
            <w:vAlign w:val="center"/>
          </w:tcPr>
          <w:p w14:paraId="720A41B0">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（二）</w:t>
            </w:r>
          </w:p>
        </w:tc>
        <w:tc>
          <w:tcPr>
            <w:tcW w:w="1255" w:type="dxa"/>
            <w:vMerge w:val="restart"/>
            <w:tcBorders>
              <w:tl2br w:val="nil"/>
              <w:tr2bl w:val="nil"/>
            </w:tcBorders>
            <w:shd w:val="clear" w:color="auto" w:fill="auto"/>
            <w:vAlign w:val="center"/>
          </w:tcPr>
          <w:p w14:paraId="1ACE7CC6">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化学</w:t>
            </w:r>
          </w:p>
        </w:tc>
        <w:tc>
          <w:tcPr>
            <w:tcW w:w="660" w:type="dxa"/>
            <w:vMerge w:val="restart"/>
            <w:tcBorders>
              <w:tl2br w:val="nil"/>
              <w:tr2bl w:val="nil"/>
            </w:tcBorders>
            <w:shd w:val="clear" w:color="auto" w:fill="auto"/>
            <w:vAlign w:val="center"/>
          </w:tcPr>
          <w:p w14:paraId="626DE2E8">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1F</w:t>
            </w:r>
          </w:p>
        </w:tc>
        <w:tc>
          <w:tcPr>
            <w:tcW w:w="3432" w:type="dxa"/>
            <w:tcBorders>
              <w:tl2br w:val="nil"/>
              <w:tr2bl w:val="nil"/>
            </w:tcBorders>
            <w:shd w:val="clear" w:color="auto" w:fill="auto"/>
            <w:vAlign w:val="center"/>
          </w:tcPr>
          <w:p w14:paraId="64C61604">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化学实验室</w:t>
            </w:r>
          </w:p>
        </w:tc>
        <w:tc>
          <w:tcPr>
            <w:tcW w:w="1215" w:type="dxa"/>
            <w:tcBorders>
              <w:tl2br w:val="nil"/>
              <w:tr2bl w:val="nil"/>
            </w:tcBorders>
            <w:shd w:val="clear" w:color="auto" w:fill="auto"/>
            <w:noWrap/>
            <w:vAlign w:val="center"/>
          </w:tcPr>
          <w:p w14:paraId="2E3AA6F7">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10" w:type="dxa"/>
            <w:tcBorders>
              <w:tl2br w:val="nil"/>
              <w:tr2bl w:val="nil"/>
            </w:tcBorders>
            <w:shd w:val="clear" w:color="auto" w:fill="auto"/>
            <w:noWrap/>
            <w:vAlign w:val="center"/>
          </w:tcPr>
          <w:p w14:paraId="492AF45E">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间</w:t>
            </w:r>
          </w:p>
        </w:tc>
        <w:tc>
          <w:tcPr>
            <w:tcW w:w="1340" w:type="dxa"/>
            <w:tcBorders>
              <w:tl2br w:val="nil"/>
              <w:tr2bl w:val="nil"/>
            </w:tcBorders>
            <w:shd w:val="clear" w:color="auto" w:fill="auto"/>
            <w:vAlign w:val="center"/>
          </w:tcPr>
          <w:p w14:paraId="4F17509F">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p>
        </w:tc>
      </w:tr>
      <w:tr w14:paraId="26E3E1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784" w:type="dxa"/>
            <w:vMerge w:val="continue"/>
            <w:tcBorders>
              <w:tl2br w:val="nil"/>
              <w:tr2bl w:val="nil"/>
            </w:tcBorders>
            <w:shd w:val="clear" w:color="auto" w:fill="auto"/>
            <w:noWrap/>
            <w:vAlign w:val="center"/>
          </w:tcPr>
          <w:p w14:paraId="320EF069">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p>
        </w:tc>
        <w:tc>
          <w:tcPr>
            <w:tcW w:w="1255" w:type="dxa"/>
            <w:vMerge w:val="continue"/>
            <w:tcBorders>
              <w:tl2br w:val="nil"/>
              <w:tr2bl w:val="nil"/>
            </w:tcBorders>
            <w:shd w:val="clear" w:color="auto" w:fill="auto"/>
            <w:vAlign w:val="center"/>
          </w:tcPr>
          <w:p w14:paraId="29E7E440">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p>
        </w:tc>
        <w:tc>
          <w:tcPr>
            <w:tcW w:w="660" w:type="dxa"/>
            <w:vMerge w:val="continue"/>
            <w:tcBorders>
              <w:tl2br w:val="nil"/>
              <w:tr2bl w:val="nil"/>
            </w:tcBorders>
            <w:shd w:val="clear" w:color="auto" w:fill="auto"/>
            <w:vAlign w:val="center"/>
          </w:tcPr>
          <w:p w14:paraId="6E3BFFF5">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p>
        </w:tc>
        <w:tc>
          <w:tcPr>
            <w:tcW w:w="3432" w:type="dxa"/>
            <w:tcBorders>
              <w:tl2br w:val="nil"/>
              <w:tr2bl w:val="nil"/>
            </w:tcBorders>
            <w:shd w:val="clear" w:color="auto" w:fill="auto"/>
            <w:vAlign w:val="center"/>
          </w:tcPr>
          <w:p w14:paraId="41EB8F98">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化学准备间</w:t>
            </w:r>
          </w:p>
        </w:tc>
        <w:tc>
          <w:tcPr>
            <w:tcW w:w="1215" w:type="dxa"/>
            <w:tcBorders>
              <w:tl2br w:val="nil"/>
              <w:tr2bl w:val="nil"/>
            </w:tcBorders>
            <w:shd w:val="clear" w:color="auto" w:fill="auto"/>
            <w:noWrap/>
            <w:vAlign w:val="center"/>
          </w:tcPr>
          <w:p w14:paraId="25A15CC9">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10" w:type="dxa"/>
            <w:tcBorders>
              <w:tl2br w:val="nil"/>
              <w:tr2bl w:val="nil"/>
            </w:tcBorders>
            <w:shd w:val="clear" w:color="auto" w:fill="auto"/>
            <w:noWrap/>
            <w:vAlign w:val="center"/>
          </w:tcPr>
          <w:p w14:paraId="0648DA9A">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间</w:t>
            </w:r>
          </w:p>
        </w:tc>
        <w:tc>
          <w:tcPr>
            <w:tcW w:w="1340" w:type="dxa"/>
            <w:tcBorders>
              <w:tl2br w:val="nil"/>
              <w:tr2bl w:val="nil"/>
            </w:tcBorders>
            <w:shd w:val="clear" w:color="auto" w:fill="auto"/>
            <w:vAlign w:val="center"/>
          </w:tcPr>
          <w:p w14:paraId="524C4EA9">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p>
        </w:tc>
      </w:tr>
      <w:tr w14:paraId="761B63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784" w:type="dxa"/>
            <w:tcBorders>
              <w:tl2br w:val="nil"/>
              <w:tr2bl w:val="nil"/>
            </w:tcBorders>
            <w:shd w:val="clear" w:color="auto" w:fill="auto"/>
            <w:noWrap/>
            <w:vAlign w:val="center"/>
          </w:tcPr>
          <w:p w14:paraId="6D67566C">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（三）</w:t>
            </w:r>
          </w:p>
        </w:tc>
        <w:tc>
          <w:tcPr>
            <w:tcW w:w="1255" w:type="dxa"/>
            <w:tcBorders>
              <w:tl2br w:val="nil"/>
              <w:tr2bl w:val="nil"/>
            </w:tcBorders>
            <w:shd w:val="clear" w:color="auto" w:fill="auto"/>
            <w:vAlign w:val="center"/>
          </w:tcPr>
          <w:p w14:paraId="32ABD2BE">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计算机</w:t>
            </w:r>
          </w:p>
        </w:tc>
        <w:tc>
          <w:tcPr>
            <w:tcW w:w="660" w:type="dxa"/>
            <w:tcBorders>
              <w:tl2br w:val="nil"/>
              <w:tr2bl w:val="nil"/>
            </w:tcBorders>
            <w:shd w:val="clear" w:color="auto" w:fill="auto"/>
            <w:vAlign w:val="center"/>
          </w:tcPr>
          <w:p w14:paraId="66EB9B54">
            <w:pPr>
              <w:keepNext w:val="0"/>
              <w:keepLines w:val="0"/>
              <w:pageBreakBefore w:val="0"/>
              <w:widowControl/>
              <w:kinsoku/>
              <w:wordWrap/>
              <w:overflowPunct/>
              <w:topLinePunct w:val="0"/>
              <w:bidi w:val="0"/>
              <w:adjustRightInd/>
              <w:snapToGrid/>
              <w:spacing w:line="360" w:lineRule="exact"/>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4F</w:t>
            </w:r>
          </w:p>
        </w:tc>
        <w:tc>
          <w:tcPr>
            <w:tcW w:w="3432" w:type="dxa"/>
            <w:tcBorders>
              <w:tl2br w:val="nil"/>
              <w:tr2bl w:val="nil"/>
            </w:tcBorders>
            <w:shd w:val="clear" w:color="auto" w:fill="auto"/>
            <w:vAlign w:val="center"/>
          </w:tcPr>
          <w:p w14:paraId="6AE0B6AC">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计算机教室</w:t>
            </w:r>
          </w:p>
        </w:tc>
        <w:tc>
          <w:tcPr>
            <w:tcW w:w="1215" w:type="dxa"/>
            <w:tcBorders>
              <w:tl2br w:val="nil"/>
              <w:tr2bl w:val="nil"/>
            </w:tcBorders>
            <w:shd w:val="clear" w:color="auto" w:fill="auto"/>
            <w:noWrap/>
            <w:vAlign w:val="center"/>
          </w:tcPr>
          <w:p w14:paraId="14B7BF92">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10" w:type="dxa"/>
            <w:tcBorders>
              <w:tl2br w:val="nil"/>
              <w:tr2bl w:val="nil"/>
            </w:tcBorders>
            <w:shd w:val="clear" w:color="auto" w:fill="auto"/>
            <w:noWrap/>
            <w:vAlign w:val="center"/>
          </w:tcPr>
          <w:p w14:paraId="1A389390">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间</w:t>
            </w:r>
          </w:p>
        </w:tc>
        <w:tc>
          <w:tcPr>
            <w:tcW w:w="1340" w:type="dxa"/>
            <w:tcBorders>
              <w:tl2br w:val="nil"/>
              <w:tr2bl w:val="nil"/>
            </w:tcBorders>
            <w:shd w:val="clear" w:color="auto" w:fill="auto"/>
            <w:vAlign w:val="center"/>
          </w:tcPr>
          <w:p w14:paraId="4517ADC9">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p>
        </w:tc>
      </w:tr>
      <w:tr w14:paraId="391BCA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784" w:type="dxa"/>
            <w:tcBorders>
              <w:tl2br w:val="nil"/>
              <w:tr2bl w:val="nil"/>
            </w:tcBorders>
            <w:shd w:val="clear" w:color="auto" w:fill="auto"/>
            <w:noWrap/>
            <w:vAlign w:val="center"/>
          </w:tcPr>
          <w:p w14:paraId="212DD3B9">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（四）</w:t>
            </w:r>
          </w:p>
        </w:tc>
        <w:tc>
          <w:tcPr>
            <w:tcW w:w="1255" w:type="dxa"/>
            <w:tcBorders>
              <w:tl2br w:val="nil"/>
              <w:tr2bl w:val="nil"/>
            </w:tcBorders>
            <w:shd w:val="clear" w:color="auto" w:fill="auto"/>
            <w:vAlign w:val="center"/>
          </w:tcPr>
          <w:p w14:paraId="2A131B7A">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美术</w:t>
            </w:r>
          </w:p>
        </w:tc>
        <w:tc>
          <w:tcPr>
            <w:tcW w:w="660" w:type="dxa"/>
            <w:tcBorders>
              <w:tl2br w:val="nil"/>
              <w:tr2bl w:val="nil"/>
            </w:tcBorders>
            <w:shd w:val="clear" w:color="auto" w:fill="auto"/>
            <w:vAlign w:val="center"/>
          </w:tcPr>
          <w:p w14:paraId="7BBB6B99">
            <w:pPr>
              <w:keepNext w:val="0"/>
              <w:keepLines w:val="0"/>
              <w:pageBreakBefore w:val="0"/>
              <w:widowControl/>
              <w:kinsoku/>
              <w:wordWrap/>
              <w:overflowPunct/>
              <w:topLinePunct w:val="0"/>
              <w:bidi w:val="0"/>
              <w:adjustRightInd/>
              <w:snapToGrid/>
              <w:spacing w:line="360" w:lineRule="exact"/>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2F</w:t>
            </w:r>
          </w:p>
        </w:tc>
        <w:tc>
          <w:tcPr>
            <w:tcW w:w="3432" w:type="dxa"/>
            <w:tcBorders>
              <w:tl2br w:val="nil"/>
              <w:tr2bl w:val="nil"/>
            </w:tcBorders>
            <w:shd w:val="clear" w:color="auto" w:fill="auto"/>
            <w:vAlign w:val="center"/>
          </w:tcPr>
          <w:p w14:paraId="7DD6F542">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美术教室</w:t>
            </w:r>
          </w:p>
        </w:tc>
        <w:tc>
          <w:tcPr>
            <w:tcW w:w="1215" w:type="dxa"/>
            <w:tcBorders>
              <w:tl2br w:val="nil"/>
              <w:tr2bl w:val="nil"/>
            </w:tcBorders>
            <w:shd w:val="clear" w:color="auto" w:fill="auto"/>
            <w:noWrap/>
            <w:vAlign w:val="center"/>
          </w:tcPr>
          <w:p w14:paraId="041E0289">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110" w:type="dxa"/>
            <w:tcBorders>
              <w:tl2br w:val="nil"/>
              <w:tr2bl w:val="nil"/>
            </w:tcBorders>
            <w:shd w:val="clear" w:color="auto" w:fill="auto"/>
            <w:noWrap/>
            <w:vAlign w:val="center"/>
          </w:tcPr>
          <w:p w14:paraId="0479E281">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间</w:t>
            </w:r>
          </w:p>
        </w:tc>
        <w:tc>
          <w:tcPr>
            <w:tcW w:w="1340" w:type="dxa"/>
            <w:tcBorders>
              <w:tl2br w:val="nil"/>
              <w:tr2bl w:val="nil"/>
            </w:tcBorders>
            <w:shd w:val="clear" w:color="auto" w:fill="auto"/>
            <w:vAlign w:val="center"/>
          </w:tcPr>
          <w:p w14:paraId="5E3FC2C6">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p>
        </w:tc>
      </w:tr>
      <w:tr w14:paraId="3D2661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784" w:type="dxa"/>
            <w:tcBorders>
              <w:tl2br w:val="nil"/>
              <w:tr2bl w:val="nil"/>
            </w:tcBorders>
            <w:shd w:val="clear" w:color="auto" w:fill="auto"/>
            <w:noWrap/>
            <w:vAlign w:val="center"/>
          </w:tcPr>
          <w:p w14:paraId="28145C66">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（五）</w:t>
            </w:r>
          </w:p>
        </w:tc>
        <w:tc>
          <w:tcPr>
            <w:tcW w:w="1255" w:type="dxa"/>
            <w:tcBorders>
              <w:tl2br w:val="nil"/>
              <w:tr2bl w:val="nil"/>
            </w:tcBorders>
            <w:shd w:val="clear" w:color="auto" w:fill="auto"/>
            <w:vAlign w:val="center"/>
          </w:tcPr>
          <w:p w14:paraId="55EC54CE">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音乐</w:t>
            </w:r>
          </w:p>
        </w:tc>
        <w:tc>
          <w:tcPr>
            <w:tcW w:w="660" w:type="dxa"/>
            <w:tcBorders>
              <w:tl2br w:val="nil"/>
              <w:tr2bl w:val="nil"/>
            </w:tcBorders>
            <w:shd w:val="clear" w:color="auto" w:fill="auto"/>
            <w:vAlign w:val="center"/>
          </w:tcPr>
          <w:p w14:paraId="42FAB834">
            <w:pPr>
              <w:keepNext w:val="0"/>
              <w:keepLines w:val="0"/>
              <w:pageBreakBefore w:val="0"/>
              <w:widowControl/>
              <w:kinsoku/>
              <w:wordWrap/>
              <w:overflowPunct/>
              <w:topLinePunct w:val="0"/>
              <w:bidi w:val="0"/>
              <w:adjustRightInd/>
              <w:snapToGrid/>
              <w:spacing w:line="360" w:lineRule="exact"/>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4F</w:t>
            </w:r>
          </w:p>
        </w:tc>
        <w:tc>
          <w:tcPr>
            <w:tcW w:w="3432" w:type="dxa"/>
            <w:tcBorders>
              <w:tl2br w:val="nil"/>
              <w:tr2bl w:val="nil"/>
            </w:tcBorders>
            <w:shd w:val="clear" w:color="auto" w:fill="auto"/>
            <w:vAlign w:val="center"/>
          </w:tcPr>
          <w:p w14:paraId="04009E07">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音乐教室</w:t>
            </w:r>
          </w:p>
        </w:tc>
        <w:tc>
          <w:tcPr>
            <w:tcW w:w="1215" w:type="dxa"/>
            <w:tcBorders>
              <w:tl2br w:val="nil"/>
              <w:tr2bl w:val="nil"/>
            </w:tcBorders>
            <w:shd w:val="clear" w:color="auto" w:fill="auto"/>
            <w:noWrap/>
            <w:vAlign w:val="center"/>
          </w:tcPr>
          <w:p w14:paraId="1EE85C64">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110" w:type="dxa"/>
            <w:tcBorders>
              <w:tl2br w:val="nil"/>
              <w:tr2bl w:val="nil"/>
            </w:tcBorders>
            <w:shd w:val="clear" w:color="auto" w:fill="auto"/>
            <w:noWrap/>
            <w:vAlign w:val="center"/>
          </w:tcPr>
          <w:p w14:paraId="77618D28">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间</w:t>
            </w:r>
          </w:p>
        </w:tc>
        <w:tc>
          <w:tcPr>
            <w:tcW w:w="1340" w:type="dxa"/>
            <w:tcBorders>
              <w:tl2br w:val="nil"/>
              <w:tr2bl w:val="nil"/>
            </w:tcBorders>
            <w:shd w:val="clear" w:color="auto" w:fill="auto"/>
            <w:vAlign w:val="center"/>
          </w:tcPr>
          <w:p w14:paraId="0E5ACA9C">
            <w:pPr>
              <w:keepNext w:val="0"/>
              <w:keepLines w:val="0"/>
              <w:pageBreakBefore w:val="0"/>
              <w:widowControl/>
              <w:kinsoku/>
              <w:wordWrap/>
              <w:overflowPunct/>
              <w:topLinePunct w:val="0"/>
              <w:bidi w:val="0"/>
              <w:adjustRightInd/>
              <w:snapToGrid/>
              <w:spacing w:line="360" w:lineRule="exact"/>
              <w:jc w:val="center"/>
              <w:rPr>
                <w:rFonts w:hint="eastAsia" w:ascii="仿宋" w:hAnsi="仿宋" w:eastAsia="仿宋" w:cs="仿宋"/>
                <w:i w:val="0"/>
                <w:iCs w:val="0"/>
                <w:color w:val="auto"/>
                <w:sz w:val="22"/>
                <w:szCs w:val="22"/>
                <w:u w:val="none"/>
              </w:rPr>
            </w:pPr>
          </w:p>
        </w:tc>
      </w:tr>
    </w:tbl>
    <w:p w14:paraId="6049B694">
      <w:pPr>
        <w:keepNext w:val="0"/>
        <w:keepLines w:val="0"/>
        <w:pageBreakBefore w:val="0"/>
        <w:widowControl w:val="0"/>
        <w:kinsoku/>
        <w:wordWrap/>
        <w:overflowPunct/>
        <w:topLinePunct w:val="0"/>
        <w:autoSpaceDE w:val="0"/>
        <w:autoSpaceDN w:val="0"/>
        <w:bidi w:val="0"/>
        <w:adjustRightInd/>
        <w:snapToGrid/>
        <w:ind w:firstLine="240" w:firstLineChars="100"/>
        <w:textAlignment w:val="auto"/>
        <w:rPr>
          <w:rFonts w:hint="default"/>
          <w:lang w:val="en-US" w:eastAsia="zh-CN"/>
        </w:rPr>
      </w:pPr>
      <w:r>
        <w:rPr>
          <w:rFonts w:hint="eastAsia" w:ascii="仿宋" w:hAnsi="仿宋" w:eastAsia="仿宋" w:cs="仿宋"/>
          <w:b w:val="0"/>
          <w:bCs w:val="0"/>
          <w:color w:val="auto"/>
          <w:sz w:val="24"/>
          <w:szCs w:val="24"/>
          <w:lang w:val="en-US" w:eastAsia="zh-CN"/>
        </w:rPr>
        <w:t>注：具体实施位置以采购人确认为准。</w:t>
      </w:r>
    </w:p>
    <w:p w14:paraId="11A45A34">
      <w:pPr>
        <w:rPr>
          <w:rFonts w:hint="default"/>
          <w:color w:val="auto"/>
          <w:lang w:val="en-US" w:eastAsia="zh-CN"/>
        </w:rPr>
      </w:pPr>
      <w:r>
        <w:rPr>
          <w:rFonts w:hint="eastAsia" w:ascii="仿宋" w:hAnsi="仿宋" w:eastAsia="仿宋" w:cs="仿宋"/>
          <w:b/>
          <w:bCs/>
          <w:color w:val="auto"/>
          <w:sz w:val="24"/>
          <w:szCs w:val="24"/>
          <w:lang w:val="en-US" w:eastAsia="zh-CN"/>
        </w:rPr>
        <w:t>（一）物理学科</w:t>
      </w:r>
    </w:p>
    <w:tbl>
      <w:tblPr>
        <w:tblStyle w:val="27"/>
        <w:tblW w:w="98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686"/>
        <w:gridCol w:w="1470"/>
        <w:gridCol w:w="1425"/>
        <w:gridCol w:w="4740"/>
        <w:gridCol w:w="771"/>
        <w:gridCol w:w="772"/>
      </w:tblGrid>
      <w:tr w14:paraId="1EB019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9864" w:type="dxa"/>
            <w:gridSpan w:val="6"/>
            <w:tcBorders>
              <w:tl2br w:val="nil"/>
              <w:tr2bl w:val="nil"/>
            </w:tcBorders>
            <w:shd w:val="clear" w:color="auto" w:fill="B6DDE8" w:themeFill="accent5" w:themeFillTint="66"/>
            <w:noWrap w:val="0"/>
            <w:vAlign w:val="center"/>
          </w:tcPr>
          <w:p w14:paraId="29E502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物理实验室</w:t>
            </w:r>
          </w:p>
        </w:tc>
      </w:tr>
      <w:tr w14:paraId="53F123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B6DDE8" w:themeFill="accent5" w:themeFillTint="66"/>
            <w:noWrap w:val="0"/>
            <w:vAlign w:val="center"/>
          </w:tcPr>
          <w:p w14:paraId="1AFCC7EC">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序号</w:t>
            </w:r>
          </w:p>
        </w:tc>
        <w:tc>
          <w:tcPr>
            <w:tcW w:w="1470" w:type="dxa"/>
            <w:tcBorders>
              <w:tl2br w:val="nil"/>
              <w:tr2bl w:val="nil"/>
            </w:tcBorders>
            <w:shd w:val="clear" w:color="auto" w:fill="B6DDE8" w:themeFill="accent5" w:themeFillTint="66"/>
            <w:noWrap w:val="0"/>
            <w:vAlign w:val="center"/>
          </w:tcPr>
          <w:p w14:paraId="353881C2">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b/>
                <w:bCs/>
                <w:color w:val="auto"/>
                <w:position w:val="-6"/>
                <w:sz w:val="24"/>
                <w:szCs w:val="24"/>
                <w:lang w:val="en-US" w:eastAsia="zh-CN"/>
              </w:rPr>
              <w:t>名称</w:t>
            </w:r>
          </w:p>
        </w:tc>
        <w:tc>
          <w:tcPr>
            <w:tcW w:w="1425" w:type="dxa"/>
            <w:tcBorders>
              <w:tl2br w:val="nil"/>
              <w:tr2bl w:val="nil"/>
            </w:tcBorders>
            <w:shd w:val="clear" w:color="auto" w:fill="B6DDE8" w:themeFill="accent5" w:themeFillTint="66"/>
            <w:noWrap w:val="0"/>
            <w:vAlign w:val="center"/>
          </w:tcPr>
          <w:p w14:paraId="1BF992BB">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规格</w:t>
            </w:r>
          </w:p>
        </w:tc>
        <w:tc>
          <w:tcPr>
            <w:tcW w:w="4740" w:type="dxa"/>
            <w:tcBorders>
              <w:tl2br w:val="nil"/>
              <w:tr2bl w:val="nil"/>
            </w:tcBorders>
            <w:shd w:val="clear" w:color="auto" w:fill="B6DDE8" w:themeFill="accent5" w:themeFillTint="66"/>
            <w:noWrap w:val="0"/>
            <w:vAlign w:val="center"/>
          </w:tcPr>
          <w:p w14:paraId="1C5C77FC">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技术参数</w:t>
            </w:r>
          </w:p>
        </w:tc>
        <w:tc>
          <w:tcPr>
            <w:tcW w:w="771" w:type="dxa"/>
            <w:tcBorders>
              <w:tl2br w:val="nil"/>
              <w:tr2bl w:val="nil"/>
            </w:tcBorders>
            <w:shd w:val="clear" w:color="auto" w:fill="B6DDE8" w:themeFill="accent5" w:themeFillTint="66"/>
            <w:noWrap w:val="0"/>
            <w:vAlign w:val="center"/>
          </w:tcPr>
          <w:p w14:paraId="5D774BAC">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数量</w:t>
            </w:r>
          </w:p>
        </w:tc>
        <w:tc>
          <w:tcPr>
            <w:tcW w:w="772" w:type="dxa"/>
            <w:tcBorders>
              <w:tl2br w:val="nil"/>
              <w:tr2bl w:val="nil"/>
            </w:tcBorders>
            <w:shd w:val="clear" w:color="auto" w:fill="B6DDE8" w:themeFill="accent5" w:themeFillTint="66"/>
            <w:noWrap w:val="0"/>
            <w:vAlign w:val="center"/>
          </w:tcPr>
          <w:p w14:paraId="7FFE705F">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单位</w:t>
            </w:r>
          </w:p>
        </w:tc>
      </w:tr>
      <w:tr w14:paraId="3013CA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B568BF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470" w:type="dxa"/>
            <w:tcBorders>
              <w:tl2br w:val="nil"/>
              <w:tr2bl w:val="nil"/>
            </w:tcBorders>
            <w:shd w:val="clear" w:color="auto" w:fill="auto"/>
            <w:noWrap w:val="0"/>
            <w:vAlign w:val="center"/>
          </w:tcPr>
          <w:p w14:paraId="0C42A5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教师演示讲台</w:t>
            </w:r>
          </w:p>
        </w:tc>
        <w:tc>
          <w:tcPr>
            <w:tcW w:w="1425" w:type="dxa"/>
            <w:tcBorders>
              <w:tl2br w:val="nil"/>
              <w:tr2bl w:val="nil"/>
            </w:tcBorders>
            <w:shd w:val="clear" w:color="auto" w:fill="auto"/>
            <w:noWrap w:val="0"/>
            <w:vAlign w:val="center"/>
          </w:tcPr>
          <w:p w14:paraId="4462F0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i w:val="0"/>
                <w:iCs w:val="0"/>
                <w:color w:val="auto"/>
                <w:kern w:val="0"/>
                <w:sz w:val="20"/>
                <w:szCs w:val="20"/>
                <w:u w:val="none"/>
                <w:lang w:val="en-US" w:eastAsia="zh-CN" w:bidi="ar"/>
              </w:rPr>
              <w:t>2400*700*900mm</w:t>
            </w:r>
          </w:p>
        </w:tc>
        <w:tc>
          <w:tcPr>
            <w:tcW w:w="4740" w:type="dxa"/>
            <w:tcBorders>
              <w:tl2br w:val="nil"/>
              <w:tr2bl w:val="nil"/>
            </w:tcBorders>
            <w:shd w:val="clear" w:color="auto" w:fill="auto"/>
            <w:noWrap w:val="0"/>
            <w:vAlign w:val="center"/>
          </w:tcPr>
          <w:p w14:paraId="0D2AF95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1.结构：</w:t>
            </w:r>
            <w:r>
              <w:rPr>
                <w:rFonts w:hint="eastAsia" w:ascii="仿宋" w:hAnsi="仿宋" w:eastAsia="仿宋" w:cs="仿宋"/>
                <w:i w:val="0"/>
                <w:iCs w:val="0"/>
                <w:color w:val="auto"/>
                <w:kern w:val="0"/>
                <w:sz w:val="20"/>
                <w:szCs w:val="20"/>
                <w:u w:val="none"/>
                <w:lang w:val="en-US" w:eastAsia="zh-CN" w:bidi="ar"/>
              </w:rPr>
              <w:t>全钢结构</w:t>
            </w:r>
          </w:p>
          <w:p w14:paraId="0B496A9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2.台面：</w:t>
            </w:r>
            <w:r>
              <w:rPr>
                <w:rFonts w:hint="eastAsia" w:ascii="仿宋" w:hAnsi="仿宋" w:eastAsia="仿宋" w:cs="仿宋"/>
                <w:i w:val="0"/>
                <w:iCs w:val="0"/>
                <w:color w:val="auto"/>
                <w:kern w:val="0"/>
                <w:sz w:val="20"/>
                <w:szCs w:val="20"/>
                <w:u w:val="none"/>
                <w:lang w:val="en-US" w:eastAsia="zh-CN" w:bidi="ar"/>
              </w:rPr>
              <w:t>采用12.7mm厚双面理化膜实芯理化板。台面需倒圆边，经机械打磨，表面光滑平整，需具有耐强酸碱、防腐蚀、防静电、耐辐射、耐磨、抗污染、易清洁、耐冲击、耐高温、防水、防火等特点。</w:t>
            </w:r>
          </w:p>
          <w:p w14:paraId="17C3498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理化板台面需满足以下性能指标</w:t>
            </w:r>
            <w:r>
              <w:rPr>
                <w:rFonts w:hint="eastAsia" w:ascii="仿宋" w:hAnsi="仿宋" w:eastAsia="仿宋" w:cs="仿宋"/>
                <w:i w:val="0"/>
                <w:iCs w:val="0"/>
                <w:color w:val="auto"/>
                <w:kern w:val="0"/>
                <w:sz w:val="20"/>
                <w:szCs w:val="20"/>
                <w:highlight w:val="none"/>
                <w:u w:val="none"/>
                <w:lang w:val="en-US" w:eastAsia="zh-CN" w:bidi="ar"/>
              </w:rPr>
              <w:t>（提供由国家认可的第三方检测机构出具带有CMA标志的检测报告加盖投标单位公章）：</w:t>
            </w:r>
          </w:p>
          <w:p w14:paraId="047B8A1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★A.按照GB/T 17657-2022标准对台面板正反两面进行检验，其中77%硫酸、硝酸（65%）、乙酸(99%)、氢氟酸（48%）、双氧水(3%)、无水乙醇、水杨酸、碘伏、亚甲基蓝(5%)、乙腈、无水甲醇、正己烷、三氯乙酸等不少于140种溶液或试剂检验结果达到5级并无明显变化。</w:t>
            </w:r>
          </w:p>
          <w:p w14:paraId="0955FF5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★B.依据JC/T 2039-2010标准检测板材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等不少于15种的菌种抗菌率＞99.99%。</w:t>
            </w:r>
          </w:p>
          <w:p w14:paraId="28D7626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★C.环保检测：甲醛释放量按照GB/T 39600-2021《人造板及其制品甲醛释放量分级》标准检测，满足技术E0级，检验结果为≤0.005mg/m³。</w:t>
            </w:r>
          </w:p>
          <w:p w14:paraId="079F210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★D.依据JC/T 2039-2010标准检测板材抗霉菌性能：黑曲霉、土曲霉、宛氏拟青霉、绳状青霉、出芽短梗霉、球毛壳、长枝木霉等7种的霉菌检测长霉等级≤0级。</w:t>
            </w:r>
          </w:p>
          <w:p w14:paraId="2FEE579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3.柜身：</w:t>
            </w:r>
            <w:r>
              <w:rPr>
                <w:rFonts w:hint="eastAsia" w:ascii="仿宋" w:hAnsi="仿宋" w:eastAsia="仿宋" w:cs="仿宋"/>
                <w:i w:val="0"/>
                <w:iCs w:val="0"/>
                <w:color w:val="auto"/>
                <w:kern w:val="0"/>
                <w:sz w:val="20"/>
                <w:szCs w:val="20"/>
                <w:u w:val="none"/>
                <w:lang w:val="en-US" w:eastAsia="zh-CN" w:bidi="ar"/>
              </w:rPr>
              <w:t>柜体为落地式结构，采用优质镀锌钢板，采用CO2保护焊焊接，打磨处理，表面经耐酸碱环氧树脂粉末烤漆处理，表面硬度附着力、耐腐蚀性符合国家标准，所有钣金的表面接缝均应满焊，焊接处均应打磨平整以保持为连续的平滑表面。</w:t>
            </w:r>
          </w:p>
          <w:p w14:paraId="1F7DA1D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4.门板及抽面：</w:t>
            </w:r>
            <w:r>
              <w:rPr>
                <w:rFonts w:hint="eastAsia" w:ascii="仿宋" w:hAnsi="仿宋" w:eastAsia="仿宋" w:cs="仿宋"/>
                <w:i w:val="0"/>
                <w:iCs w:val="0"/>
                <w:color w:val="auto"/>
                <w:kern w:val="0"/>
                <w:sz w:val="20"/>
                <w:szCs w:val="20"/>
                <w:u w:val="none"/>
                <w:lang w:val="en-US" w:eastAsia="zh-CN" w:bidi="ar"/>
              </w:rPr>
              <w:t>采用优质镀锌钢板，内设隔音材料，保证关门减少噪音；</w:t>
            </w:r>
          </w:p>
          <w:p w14:paraId="5545D8C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5.滑轨：</w:t>
            </w:r>
            <w:r>
              <w:rPr>
                <w:rFonts w:hint="eastAsia" w:ascii="仿宋" w:hAnsi="仿宋" w:eastAsia="仿宋" w:cs="仿宋"/>
                <w:i w:val="0"/>
                <w:iCs w:val="0"/>
                <w:color w:val="auto"/>
                <w:kern w:val="0"/>
                <w:sz w:val="20"/>
                <w:szCs w:val="20"/>
                <w:u w:val="none"/>
                <w:lang w:val="en-US" w:eastAsia="zh-CN" w:bidi="ar"/>
              </w:rPr>
              <w:t>采用三节重型滚珠滑轨，承重性强，滑动性能良好，无噪音；</w:t>
            </w:r>
          </w:p>
          <w:p w14:paraId="250BF31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6.合页：</w:t>
            </w:r>
            <w:r>
              <w:rPr>
                <w:rFonts w:hint="eastAsia" w:ascii="仿宋" w:hAnsi="仿宋" w:eastAsia="仿宋" w:cs="仿宋"/>
                <w:i w:val="0"/>
                <w:iCs w:val="0"/>
                <w:color w:val="auto"/>
                <w:kern w:val="0"/>
                <w:sz w:val="20"/>
                <w:szCs w:val="20"/>
                <w:u w:val="none"/>
                <w:lang w:val="en-US" w:eastAsia="zh-CN" w:bidi="ar"/>
              </w:rPr>
              <w:t>采用优质大弯合页，可开门弧度大于90度，开合次数万次以上；</w:t>
            </w:r>
          </w:p>
          <w:p w14:paraId="0C2B8AC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7.桌脚：</w:t>
            </w:r>
            <w:r>
              <w:rPr>
                <w:rFonts w:hint="eastAsia" w:ascii="仿宋" w:hAnsi="仿宋" w:eastAsia="仿宋" w:cs="仿宋"/>
                <w:i w:val="0"/>
                <w:iCs w:val="0"/>
                <w:color w:val="auto"/>
                <w:kern w:val="0"/>
                <w:sz w:val="20"/>
                <w:szCs w:val="20"/>
                <w:u w:val="none"/>
                <w:lang w:val="en-US" w:eastAsia="zh-CN" w:bidi="ar"/>
              </w:rPr>
              <w:t>采用ABS注塑专用桌垫固定；</w:t>
            </w:r>
          </w:p>
          <w:p w14:paraId="661FEA3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仿宋" w:hAnsi="仿宋" w:eastAsia="仿宋" w:cs="仿宋"/>
                <w:i w:val="0"/>
                <w:iCs w:val="0"/>
                <w:strike w:val="0"/>
                <w:dstrike w:val="0"/>
                <w:color w:val="000000" w:themeColor="text1"/>
                <w:kern w:val="0"/>
                <w:sz w:val="20"/>
                <w:szCs w:val="20"/>
                <w:highlight w:val="none"/>
                <w:u w:val="none"/>
                <w:lang w:val="en-US" w:eastAsia="zh-CN" w:bidi="ar"/>
                <w14:textFill>
                  <w14:solidFill>
                    <w14:schemeClr w14:val="tx1"/>
                  </w14:solidFill>
                </w14:textFill>
              </w:rPr>
              <w:t>教师演示台技术性能要求需满足依据GB/T 9286-2021 《色漆和清漆 划格试验》及GB/T 10125-2021 《人造气氛腐蚀试验 盐雾试验》，中性盐雾试验不小于10级，附着力不小于2级。</w:t>
            </w:r>
          </w:p>
          <w:p w14:paraId="57978C9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i w:val="0"/>
                <w:iCs w:val="0"/>
                <w:color w:val="auto"/>
                <w:kern w:val="0"/>
                <w:sz w:val="20"/>
                <w:szCs w:val="20"/>
                <w:highlight w:val="none"/>
                <w:u w:val="none"/>
                <w:lang w:val="en-US" w:eastAsia="zh-CN" w:bidi="ar"/>
              </w:rPr>
              <w:t>（提供由国家认可的第三方检测机构出具带有CMA标志的检测报告加盖投标单位公章）</w:t>
            </w:r>
          </w:p>
        </w:tc>
        <w:tc>
          <w:tcPr>
            <w:tcW w:w="771" w:type="dxa"/>
            <w:tcBorders>
              <w:tl2br w:val="nil"/>
              <w:tr2bl w:val="nil"/>
            </w:tcBorders>
            <w:shd w:val="clear" w:color="auto" w:fill="auto"/>
            <w:noWrap w:val="0"/>
            <w:vAlign w:val="center"/>
          </w:tcPr>
          <w:p w14:paraId="50422A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46C18F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张</w:t>
            </w:r>
          </w:p>
        </w:tc>
      </w:tr>
      <w:tr w14:paraId="3F0CC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84D3C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1470" w:type="dxa"/>
            <w:tcBorders>
              <w:tl2br w:val="nil"/>
              <w:tr2bl w:val="nil"/>
            </w:tcBorders>
            <w:shd w:val="clear" w:color="auto" w:fill="auto"/>
            <w:noWrap w:val="0"/>
            <w:vAlign w:val="center"/>
          </w:tcPr>
          <w:p w14:paraId="26A573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教师实验电源</w:t>
            </w:r>
          </w:p>
        </w:tc>
        <w:tc>
          <w:tcPr>
            <w:tcW w:w="1425" w:type="dxa"/>
            <w:tcBorders>
              <w:tl2br w:val="nil"/>
              <w:tr2bl w:val="nil"/>
            </w:tcBorders>
            <w:shd w:val="clear" w:color="auto" w:fill="auto"/>
            <w:noWrap w:val="0"/>
            <w:vAlign w:val="center"/>
          </w:tcPr>
          <w:p w14:paraId="5EDBDD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696FA7D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总电源装置在教师桌组合柜内，抽屉式电源盒设计，内装有教师演示电源，主控学生电源装置。内设有漏电过载自动保护总开关，工作指示灯。</w:t>
            </w:r>
          </w:p>
          <w:p w14:paraId="7F2BF8A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（1）输入电源：AC220V±10%、频率50Hz；</w:t>
            </w:r>
          </w:p>
          <w:p w14:paraId="451DB2D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（2）工作环境：温度-10℃~+40℃，相对湿度＜85％（25℃）海拔＜4000m；</w:t>
            </w:r>
          </w:p>
          <w:p w14:paraId="4C0ACE1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（3）人身安全保护体系：配备漏电短路保护器做总电源开关，对人身安全和用电设备起到保障作用；</w:t>
            </w:r>
          </w:p>
          <w:p w14:paraId="1A2B2DC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（4）控制面板要求采用7寸液晶屏控制 ，稳定可靠寿命长。</w:t>
            </w:r>
          </w:p>
          <w:p w14:paraId="37BAC9D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（5）市电AC220V/10A（两位五孔国标插座），为其它用电器提供电源；</w:t>
            </w:r>
          </w:p>
          <w:p w14:paraId="3021767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（6）直流稳压电源：液晶显示，数字键盘触屏输入，0-30V/2A，电压调整率可达0.1V；</w:t>
            </w:r>
          </w:p>
          <w:p w14:paraId="4AB69C1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（7）交流低压电源：液晶显示，数字键盘触屏输入，0-30V/2A，电压调整率为0.1V；</w:t>
            </w:r>
          </w:p>
          <w:p w14:paraId="04798FC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（8）教师测试用交流高压170V、300V输出；</w:t>
            </w:r>
          </w:p>
          <w:p w14:paraId="795F758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（9）教师测试用9V大电流输出；</w:t>
            </w:r>
          </w:p>
        </w:tc>
        <w:tc>
          <w:tcPr>
            <w:tcW w:w="771" w:type="dxa"/>
            <w:tcBorders>
              <w:tl2br w:val="nil"/>
              <w:tr2bl w:val="nil"/>
            </w:tcBorders>
            <w:shd w:val="clear" w:color="auto" w:fill="auto"/>
            <w:noWrap w:val="0"/>
            <w:vAlign w:val="center"/>
          </w:tcPr>
          <w:p w14:paraId="7B38498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33E353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16BAA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02DA0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1470" w:type="dxa"/>
            <w:tcBorders>
              <w:tl2br w:val="nil"/>
              <w:tr2bl w:val="nil"/>
            </w:tcBorders>
            <w:shd w:val="clear" w:color="auto" w:fill="auto"/>
            <w:noWrap w:val="0"/>
            <w:vAlign w:val="center"/>
          </w:tcPr>
          <w:p w14:paraId="021323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实验操作台</w:t>
            </w:r>
          </w:p>
        </w:tc>
        <w:tc>
          <w:tcPr>
            <w:tcW w:w="1425" w:type="dxa"/>
            <w:tcBorders>
              <w:tl2br w:val="nil"/>
              <w:tr2bl w:val="nil"/>
            </w:tcBorders>
            <w:shd w:val="clear" w:color="auto" w:fill="auto"/>
            <w:noWrap w:val="0"/>
            <w:vAlign w:val="center"/>
          </w:tcPr>
          <w:p w14:paraId="5ED779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正六边形，单边800mm高780mm</w:t>
            </w:r>
          </w:p>
        </w:tc>
        <w:tc>
          <w:tcPr>
            <w:tcW w:w="4740" w:type="dxa"/>
            <w:tcBorders>
              <w:tl2br w:val="nil"/>
              <w:tr2bl w:val="nil"/>
            </w:tcBorders>
            <w:shd w:val="clear" w:color="auto" w:fill="auto"/>
            <w:noWrap w:val="0"/>
            <w:vAlign w:val="center"/>
          </w:tcPr>
          <w:p w14:paraId="509B8D1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1.材质：</w:t>
            </w:r>
            <w:r>
              <w:rPr>
                <w:rFonts w:hint="eastAsia" w:ascii="仿宋" w:hAnsi="仿宋" w:eastAsia="仿宋" w:cs="仿宋"/>
                <w:i w:val="0"/>
                <w:iCs w:val="0"/>
                <w:color w:val="auto"/>
                <w:kern w:val="0"/>
                <w:sz w:val="20"/>
                <w:szCs w:val="20"/>
                <w:u w:val="none"/>
                <w:lang w:val="en-US" w:eastAsia="zh-CN" w:bidi="ar"/>
              </w:rPr>
              <w:t>抗倍特板+优质钢架;</w:t>
            </w:r>
          </w:p>
          <w:p w14:paraId="1684FD6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i w:val="0"/>
                <w:iCs w:val="0"/>
                <w:color w:val="auto"/>
                <w:kern w:val="0"/>
                <w:sz w:val="20"/>
                <w:szCs w:val="20"/>
                <w:u w:val="none"/>
                <w:lang w:val="en-US" w:eastAsia="zh-CN" w:bidi="ar"/>
              </w:rPr>
              <w:t>2.工艺：</w:t>
            </w:r>
            <w:r>
              <w:rPr>
                <w:rFonts w:hint="eastAsia" w:ascii="仿宋" w:hAnsi="仿宋" w:eastAsia="仿宋" w:cs="仿宋"/>
                <w:i w:val="0"/>
                <w:iCs w:val="0"/>
                <w:color w:val="auto"/>
                <w:kern w:val="0"/>
                <w:sz w:val="20"/>
                <w:szCs w:val="20"/>
                <w:u w:val="none"/>
                <w:lang w:val="en-US" w:eastAsia="zh-CN" w:bidi="ar"/>
              </w:rPr>
              <w:t>材质采用抗倍特一体成型。耐80度以上高温。防水：浸水24小时后的膨胀指数不多于0.1mm，面板四周采CNC修边，四周倒角，圆润光滑无任何毛边。桌架：30*60*1.5mm，横梁: 30*50*1.35 mm，铝压铸接头，优质钢架，满焊焊接而成，表面采用高温粉体烤漆，耐腐蚀，不易生锈。</w:t>
            </w:r>
          </w:p>
        </w:tc>
        <w:tc>
          <w:tcPr>
            <w:tcW w:w="771" w:type="dxa"/>
            <w:tcBorders>
              <w:tl2br w:val="nil"/>
              <w:tr2bl w:val="nil"/>
            </w:tcBorders>
            <w:shd w:val="clear" w:color="auto" w:fill="auto"/>
            <w:noWrap w:val="0"/>
            <w:vAlign w:val="center"/>
          </w:tcPr>
          <w:p w14:paraId="72C81A3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72" w:type="dxa"/>
            <w:tcBorders>
              <w:tl2br w:val="nil"/>
              <w:tr2bl w:val="nil"/>
            </w:tcBorders>
            <w:shd w:val="clear" w:color="auto" w:fill="auto"/>
            <w:noWrap w:val="0"/>
            <w:vAlign w:val="center"/>
          </w:tcPr>
          <w:p w14:paraId="3608CF7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2D52F0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D4F4FF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1470" w:type="dxa"/>
            <w:tcBorders>
              <w:tl2br w:val="nil"/>
              <w:tr2bl w:val="nil"/>
            </w:tcBorders>
            <w:shd w:val="clear" w:color="auto" w:fill="auto"/>
            <w:noWrap w:val="0"/>
            <w:vAlign w:val="center"/>
          </w:tcPr>
          <w:p w14:paraId="46879A8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学生凳（圆凳）</w:t>
            </w:r>
          </w:p>
        </w:tc>
        <w:tc>
          <w:tcPr>
            <w:tcW w:w="1425" w:type="dxa"/>
            <w:tcBorders>
              <w:tl2br w:val="nil"/>
              <w:tr2bl w:val="nil"/>
            </w:tcBorders>
            <w:shd w:val="clear" w:color="auto" w:fill="auto"/>
            <w:noWrap w:val="0"/>
            <w:vAlign w:val="center"/>
          </w:tcPr>
          <w:p w14:paraId="152235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ф300*25mm，整体高度400-540mm（高度可调）；</w:t>
            </w:r>
          </w:p>
        </w:tc>
        <w:tc>
          <w:tcPr>
            <w:tcW w:w="4740" w:type="dxa"/>
            <w:tcBorders>
              <w:tl2br w:val="nil"/>
              <w:tr2bl w:val="nil"/>
            </w:tcBorders>
            <w:shd w:val="clear" w:color="auto" w:fill="auto"/>
            <w:noWrap w:val="0"/>
            <w:vAlign w:val="center"/>
          </w:tcPr>
          <w:p w14:paraId="4951868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1.产品规格：</w:t>
            </w:r>
            <w:r>
              <w:rPr>
                <w:rFonts w:hint="eastAsia" w:ascii="仿宋" w:hAnsi="仿宋" w:eastAsia="仿宋" w:cs="仿宋"/>
                <w:color w:val="auto"/>
                <w:kern w:val="0"/>
                <w:sz w:val="20"/>
                <w:szCs w:val="20"/>
                <w:vertAlign w:val="baseline"/>
                <w:lang w:val="en-US" w:eastAsia="zh-CN" w:bidi="ar"/>
              </w:rPr>
              <w:t>凳面ф300*25mm，整体高度400-540mm（高度可调）；</w:t>
            </w:r>
          </w:p>
          <w:p w14:paraId="44BF038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2.技术参数：</w:t>
            </w:r>
            <w:r>
              <w:rPr>
                <w:rFonts w:hint="eastAsia" w:ascii="仿宋" w:hAnsi="仿宋" w:eastAsia="仿宋" w:cs="仿宋"/>
                <w:color w:val="auto"/>
                <w:kern w:val="0"/>
                <w:sz w:val="20"/>
                <w:szCs w:val="20"/>
                <w:vertAlign w:val="baseline"/>
                <w:lang w:val="en-US" w:eastAsia="zh-CN" w:bidi="ar"/>
              </w:rPr>
              <w:t>凳面采用30mm厚聚丙烯一体注塑成型，接触面为皮纹处理，采用曲面设计增加接触面积，符合人体工程学增强坐感舒适度；学生凳选用优质气杆，与凳面连接处安装加宽加强防爆机构，气杆防尘套聚丙烯一体注塑成型表面磨砂处理；支架选用五星脚，可悬挂于实验桌上，不占用空间面积，五星脚采用不锈钢亮面处理，具有结构牢固、耐酸碱腐蚀等特点。</w:t>
            </w:r>
          </w:p>
          <w:p w14:paraId="4617B8A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学生凳（圆凳）技术性能需满足QB/T4071-2021《课桌椅》塑料件外观 应无裂纹、明显变形、缩水、针孔，应无凹陷、飞边、折皱、疙瘩，应无气泡、杂质、伤痕、白印，表面应光洁、应无划痕、毛刺、拉毛、污渍，应无明显色差。</w:t>
            </w:r>
          </w:p>
          <w:p w14:paraId="2F34C3F2">
            <w:pPr>
              <w:pStyle w:val="2"/>
              <w:jc w:val="both"/>
              <w:rPr>
                <w:rFonts w:hint="eastAsia"/>
                <w:lang w:val="en-US" w:eastAsia="zh-CN"/>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（提供由国家认可的第三方检测机构出具带有CMA标志的检测报告加盖投标单位公章）</w:t>
            </w:r>
          </w:p>
        </w:tc>
        <w:tc>
          <w:tcPr>
            <w:tcW w:w="771" w:type="dxa"/>
            <w:tcBorders>
              <w:tl2br w:val="nil"/>
              <w:tr2bl w:val="nil"/>
            </w:tcBorders>
            <w:shd w:val="clear" w:color="auto" w:fill="auto"/>
            <w:noWrap w:val="0"/>
            <w:vAlign w:val="center"/>
          </w:tcPr>
          <w:p w14:paraId="38F9D76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48</w:t>
            </w:r>
          </w:p>
        </w:tc>
        <w:tc>
          <w:tcPr>
            <w:tcW w:w="772" w:type="dxa"/>
            <w:tcBorders>
              <w:tl2br w:val="nil"/>
              <w:tr2bl w:val="nil"/>
            </w:tcBorders>
            <w:shd w:val="clear" w:color="auto" w:fill="auto"/>
            <w:noWrap w:val="0"/>
            <w:vAlign w:val="center"/>
          </w:tcPr>
          <w:p w14:paraId="437670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29ACE0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9F760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1470" w:type="dxa"/>
            <w:tcBorders>
              <w:tl2br w:val="nil"/>
              <w:tr2bl w:val="nil"/>
            </w:tcBorders>
            <w:shd w:val="clear" w:color="auto" w:fill="auto"/>
            <w:noWrap w:val="0"/>
            <w:vAlign w:val="center"/>
          </w:tcPr>
          <w:p w14:paraId="3755A8F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储物矮柜</w:t>
            </w:r>
          </w:p>
        </w:tc>
        <w:tc>
          <w:tcPr>
            <w:tcW w:w="1425" w:type="dxa"/>
            <w:tcBorders>
              <w:tl2br w:val="nil"/>
              <w:tr2bl w:val="nil"/>
            </w:tcBorders>
            <w:shd w:val="clear" w:color="auto" w:fill="auto"/>
            <w:noWrap w:val="0"/>
            <w:vAlign w:val="center"/>
          </w:tcPr>
          <w:p w14:paraId="3D15C9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7500*600*900mm</w:t>
            </w:r>
          </w:p>
        </w:tc>
        <w:tc>
          <w:tcPr>
            <w:tcW w:w="4740" w:type="dxa"/>
            <w:tcBorders>
              <w:tl2br w:val="nil"/>
              <w:tr2bl w:val="nil"/>
            </w:tcBorders>
            <w:shd w:val="clear" w:color="auto" w:fill="auto"/>
            <w:noWrap w:val="0"/>
            <w:vAlign w:val="center"/>
          </w:tcPr>
          <w:p w14:paraId="4E7F8DE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1.结构：</w:t>
            </w:r>
            <w:r>
              <w:rPr>
                <w:rFonts w:hint="eastAsia" w:ascii="仿宋" w:hAnsi="仿宋" w:eastAsia="仿宋" w:cs="仿宋"/>
                <w:color w:val="auto"/>
                <w:kern w:val="0"/>
                <w:sz w:val="20"/>
                <w:szCs w:val="20"/>
                <w:vertAlign w:val="baseline"/>
                <w:lang w:val="en-US" w:eastAsia="zh-CN" w:bidi="ar"/>
              </w:rPr>
              <w:t>全钢结构；</w:t>
            </w:r>
          </w:p>
          <w:p w14:paraId="3FC48D5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2.台面：</w:t>
            </w:r>
            <w:r>
              <w:rPr>
                <w:rFonts w:hint="eastAsia" w:ascii="仿宋" w:hAnsi="仿宋" w:eastAsia="仿宋" w:cs="仿宋"/>
                <w:color w:val="auto"/>
                <w:kern w:val="0"/>
                <w:sz w:val="20"/>
                <w:szCs w:val="20"/>
                <w:vertAlign w:val="baseline"/>
                <w:lang w:val="en-US" w:eastAsia="zh-CN" w:bidi="ar"/>
              </w:rPr>
              <w:t>采用15mm厚一体实芯黑色胚体实验室工业陶瓷台面，台面表面为耐腐蚀专业釉面。釉面和黑色胚体（非后期染色处理）经高温烧结而成，釉面与胚体结合后不脱落、不脱层。具有耐强酸碱、防腐蚀、防静电、耐辐射、耐磨、抗污染、易清洁、耐冲击、耐高温、防水、防火等特点；</w:t>
            </w:r>
          </w:p>
          <w:p w14:paraId="1D18015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3.柜身：</w:t>
            </w:r>
            <w:r>
              <w:rPr>
                <w:rFonts w:hint="eastAsia" w:ascii="仿宋" w:hAnsi="仿宋" w:eastAsia="仿宋" w:cs="仿宋"/>
                <w:color w:val="auto"/>
                <w:kern w:val="0"/>
                <w:sz w:val="20"/>
                <w:szCs w:val="20"/>
                <w:vertAlign w:val="baseline"/>
                <w:lang w:val="en-US" w:eastAsia="zh-CN" w:bidi="ar"/>
              </w:rPr>
              <w:t>柜体为落地式结构，采用优质镀锌钢板，厚度不小于1.0mm，采用CO2保护焊焊接，打磨处理，表面经耐酸碱环氧树脂粉末烤漆处理，表面硬度附着力、耐腐蚀性符合国家标准，所有钣金的表面接缝均应满焊，焊接处均应打磨平整以保持为连续的平滑表面。</w:t>
            </w:r>
          </w:p>
          <w:p w14:paraId="10938B5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4.门板及抽面：</w:t>
            </w:r>
            <w:r>
              <w:rPr>
                <w:rFonts w:hint="eastAsia" w:ascii="仿宋" w:hAnsi="仿宋" w:eastAsia="仿宋" w:cs="仿宋"/>
                <w:color w:val="auto"/>
                <w:kern w:val="0"/>
                <w:sz w:val="20"/>
                <w:szCs w:val="20"/>
                <w:vertAlign w:val="baseline"/>
                <w:lang w:val="en-US" w:eastAsia="zh-CN" w:bidi="ar"/>
              </w:rPr>
              <w:t>采用优质镀锌钢板，内设隔音材料，保证关门减少噪音；</w:t>
            </w:r>
          </w:p>
          <w:p w14:paraId="34BBCE1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5.滑轨：</w:t>
            </w:r>
            <w:r>
              <w:rPr>
                <w:rFonts w:hint="eastAsia" w:ascii="仿宋" w:hAnsi="仿宋" w:eastAsia="仿宋" w:cs="仿宋"/>
                <w:color w:val="auto"/>
                <w:kern w:val="0"/>
                <w:sz w:val="20"/>
                <w:szCs w:val="20"/>
                <w:vertAlign w:val="baseline"/>
                <w:lang w:val="en-US" w:eastAsia="zh-CN" w:bidi="ar"/>
              </w:rPr>
              <w:t>采用三节重型滚珠滑轨，承重性强，滑动性能良好，无噪音；</w:t>
            </w:r>
          </w:p>
          <w:p w14:paraId="15B9A64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6.合页：</w:t>
            </w:r>
            <w:r>
              <w:rPr>
                <w:rFonts w:hint="eastAsia" w:ascii="仿宋" w:hAnsi="仿宋" w:eastAsia="仿宋" w:cs="仿宋"/>
                <w:color w:val="auto"/>
                <w:kern w:val="0"/>
                <w:sz w:val="20"/>
                <w:szCs w:val="20"/>
                <w:vertAlign w:val="baseline"/>
                <w:lang w:val="en-US" w:eastAsia="zh-CN" w:bidi="ar"/>
              </w:rPr>
              <w:t>采用优质大弯合页，可开门弧度大于90度，开合次数万次以上；</w:t>
            </w:r>
          </w:p>
          <w:p w14:paraId="0164830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7.桌脚：</w:t>
            </w:r>
            <w:r>
              <w:rPr>
                <w:rFonts w:hint="eastAsia" w:ascii="仿宋" w:hAnsi="仿宋" w:eastAsia="仿宋" w:cs="仿宋"/>
                <w:color w:val="auto"/>
                <w:kern w:val="0"/>
                <w:sz w:val="20"/>
                <w:szCs w:val="20"/>
                <w:vertAlign w:val="baseline"/>
                <w:lang w:val="en-US" w:eastAsia="zh-CN" w:bidi="ar"/>
              </w:rPr>
              <w:t>采用ABS注塑专用桌垫固定；</w:t>
            </w:r>
          </w:p>
        </w:tc>
        <w:tc>
          <w:tcPr>
            <w:tcW w:w="771" w:type="dxa"/>
            <w:tcBorders>
              <w:tl2br w:val="nil"/>
              <w:tr2bl w:val="nil"/>
            </w:tcBorders>
            <w:shd w:val="clear" w:color="auto" w:fill="auto"/>
            <w:noWrap w:val="0"/>
            <w:vAlign w:val="center"/>
          </w:tcPr>
          <w:p w14:paraId="5A894A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31A596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组</w:t>
            </w:r>
          </w:p>
        </w:tc>
      </w:tr>
      <w:tr w14:paraId="046169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35BBB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w:t>
            </w:r>
          </w:p>
        </w:tc>
        <w:tc>
          <w:tcPr>
            <w:tcW w:w="1470" w:type="dxa"/>
            <w:tcBorders>
              <w:tl2br w:val="nil"/>
              <w:tr2bl w:val="nil"/>
            </w:tcBorders>
            <w:shd w:val="clear" w:color="auto" w:fill="auto"/>
            <w:noWrap w:val="0"/>
            <w:vAlign w:val="center"/>
          </w:tcPr>
          <w:p w14:paraId="6AFC48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仪器柜</w:t>
            </w:r>
          </w:p>
        </w:tc>
        <w:tc>
          <w:tcPr>
            <w:tcW w:w="1425" w:type="dxa"/>
            <w:tcBorders>
              <w:tl2br w:val="nil"/>
              <w:tr2bl w:val="nil"/>
            </w:tcBorders>
            <w:shd w:val="clear" w:color="auto" w:fill="auto"/>
            <w:noWrap w:val="0"/>
            <w:vAlign w:val="center"/>
          </w:tcPr>
          <w:p w14:paraId="3CB5A9A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1000*500*2000mm</w:t>
            </w:r>
          </w:p>
        </w:tc>
        <w:tc>
          <w:tcPr>
            <w:tcW w:w="4740" w:type="dxa"/>
            <w:tcBorders>
              <w:tl2br w:val="nil"/>
              <w:tr2bl w:val="nil"/>
            </w:tcBorders>
            <w:shd w:val="clear" w:color="auto" w:fill="auto"/>
            <w:noWrap w:val="0"/>
            <w:vAlign w:val="center"/>
          </w:tcPr>
          <w:p w14:paraId="4F411F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1.柜体框架：</w:t>
            </w:r>
            <w:r>
              <w:rPr>
                <w:rFonts w:hint="eastAsia" w:ascii="仿宋" w:hAnsi="仿宋" w:eastAsia="仿宋" w:cs="仿宋"/>
                <w:color w:val="auto"/>
                <w:kern w:val="0"/>
                <w:sz w:val="20"/>
                <w:szCs w:val="20"/>
                <w:vertAlign w:val="baseline"/>
                <w:lang w:val="en-US" w:eastAsia="zh-CN" w:bidi="ar"/>
              </w:rPr>
              <w:t>采用模具成型的专用铝合金方管制作，铝合金之间的连接采用ABS实芯连接件，保证连接牢固。铝合金型材带凹槽，凹槽的宽度与柜体衬板相匹配，凹槽的深度足够，保证柜体衬板与铝型材之间接缝严密，无晃动现象，不发生脱落。铝合金型材表面需经静电粉沫喷涂处理，整体耐腐蚀、防火、防潮、稳固耐用。</w:t>
            </w:r>
          </w:p>
          <w:p w14:paraId="1DD4EF6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2.柜体衬板：</w:t>
            </w:r>
            <w:r>
              <w:rPr>
                <w:rFonts w:hint="eastAsia" w:ascii="仿宋" w:hAnsi="仿宋" w:eastAsia="仿宋" w:cs="仿宋"/>
                <w:color w:val="auto"/>
                <w:kern w:val="0"/>
                <w:sz w:val="20"/>
                <w:szCs w:val="20"/>
                <w:vertAlign w:val="baseline"/>
                <w:lang w:val="en-US" w:eastAsia="zh-CN" w:bidi="ar"/>
              </w:rPr>
              <w:t>采用16mm厚优质三聚氰胺防潮双贴面板，(基板为E1级环保板)；所有截面都采用自动封边机选用优质PVC封边，粘力强、密封性好、外形美观、经久耐用。组装接缝严密，连接牢固，无松动现象。</w:t>
            </w:r>
          </w:p>
          <w:p w14:paraId="1A4A57E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3.柜门：</w:t>
            </w:r>
            <w:r>
              <w:rPr>
                <w:rFonts w:hint="eastAsia" w:ascii="仿宋" w:hAnsi="仿宋" w:eastAsia="仿宋" w:cs="仿宋"/>
                <w:color w:val="auto"/>
                <w:kern w:val="0"/>
                <w:sz w:val="20"/>
                <w:szCs w:val="20"/>
                <w:vertAlign w:val="baseline"/>
                <w:lang w:val="en-US" w:eastAsia="zh-CN" w:bidi="ar"/>
              </w:rPr>
              <w:t>上部为专用木框对开玻璃门，下部为对开木门。</w:t>
            </w:r>
          </w:p>
          <w:p w14:paraId="2DEFFFD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4.隔板：</w:t>
            </w:r>
            <w:r>
              <w:rPr>
                <w:rFonts w:hint="eastAsia" w:ascii="仿宋" w:hAnsi="仿宋" w:eastAsia="仿宋" w:cs="仿宋"/>
                <w:color w:val="auto"/>
                <w:kern w:val="0"/>
                <w:sz w:val="20"/>
                <w:szCs w:val="20"/>
                <w:vertAlign w:val="baseline"/>
                <w:lang w:val="en-US" w:eastAsia="zh-CN" w:bidi="ar"/>
              </w:rPr>
              <w:t>上柜设置2块隔板，下柜设置1块隔板。隔板所用的板材与柜体板材相同，厚度不小于16mm。</w:t>
            </w:r>
          </w:p>
          <w:p w14:paraId="06422F4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5.支脚：</w:t>
            </w:r>
            <w:r>
              <w:rPr>
                <w:rFonts w:hint="eastAsia" w:ascii="仿宋" w:hAnsi="仿宋" w:eastAsia="仿宋" w:cs="仿宋"/>
                <w:color w:val="auto"/>
                <w:kern w:val="0"/>
                <w:sz w:val="20"/>
                <w:szCs w:val="20"/>
                <w:vertAlign w:val="baseline"/>
                <w:lang w:val="en-US" w:eastAsia="zh-CN" w:bidi="ar"/>
              </w:rPr>
              <w:t>采用ABS工程塑料一次注塑成型的脚垫。</w:t>
            </w:r>
          </w:p>
        </w:tc>
        <w:tc>
          <w:tcPr>
            <w:tcW w:w="771" w:type="dxa"/>
            <w:tcBorders>
              <w:tl2br w:val="nil"/>
              <w:tr2bl w:val="nil"/>
            </w:tcBorders>
            <w:shd w:val="clear" w:color="auto" w:fill="auto"/>
            <w:noWrap w:val="0"/>
            <w:vAlign w:val="center"/>
          </w:tcPr>
          <w:p w14:paraId="0C6353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w:t>
            </w:r>
          </w:p>
        </w:tc>
        <w:tc>
          <w:tcPr>
            <w:tcW w:w="772" w:type="dxa"/>
            <w:tcBorders>
              <w:tl2br w:val="nil"/>
              <w:tr2bl w:val="nil"/>
            </w:tcBorders>
            <w:shd w:val="clear" w:color="auto" w:fill="auto"/>
            <w:noWrap w:val="0"/>
            <w:vAlign w:val="center"/>
          </w:tcPr>
          <w:p w14:paraId="36CD2F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77201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80DD1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7</w:t>
            </w:r>
          </w:p>
        </w:tc>
        <w:tc>
          <w:tcPr>
            <w:tcW w:w="1470" w:type="dxa"/>
            <w:tcBorders>
              <w:tl2br w:val="nil"/>
              <w:tr2bl w:val="nil"/>
            </w:tcBorders>
            <w:shd w:val="clear" w:color="auto" w:fill="auto"/>
            <w:noWrap w:val="0"/>
            <w:vAlign w:val="center"/>
          </w:tcPr>
          <w:p w14:paraId="3EB685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智能系统控制柜</w:t>
            </w:r>
          </w:p>
        </w:tc>
        <w:tc>
          <w:tcPr>
            <w:tcW w:w="1425" w:type="dxa"/>
            <w:tcBorders>
              <w:tl2br w:val="nil"/>
              <w:tr2bl w:val="nil"/>
            </w:tcBorders>
            <w:shd w:val="clear" w:color="auto" w:fill="auto"/>
            <w:noWrap w:val="0"/>
            <w:vAlign w:val="center"/>
          </w:tcPr>
          <w:p w14:paraId="691F231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218C08E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i w:val="0"/>
                <w:iCs w:val="0"/>
                <w:color w:val="auto"/>
                <w:kern w:val="0"/>
                <w:sz w:val="20"/>
                <w:szCs w:val="20"/>
                <w:u w:val="none"/>
                <w:lang w:val="en-US" w:eastAsia="zh-CN" w:bidi="ar"/>
              </w:rPr>
              <w:t>控制箱内置：</w:t>
            </w:r>
            <w:r>
              <w:rPr>
                <w:rFonts w:hint="eastAsia" w:ascii="仿宋" w:hAnsi="仿宋" w:eastAsia="仿宋" w:cs="仿宋"/>
                <w:i w:val="0"/>
                <w:iCs w:val="0"/>
                <w:color w:val="auto"/>
                <w:kern w:val="0"/>
                <w:sz w:val="20"/>
                <w:szCs w:val="20"/>
                <w:u w:val="none"/>
                <w:lang w:val="en-US" w:eastAsia="zh-CN" w:bidi="ar"/>
              </w:rPr>
              <w:t>10寸彩色液晶触摸屏一台，3P总电源开关1组，220V漏电保护开关1个，220V交流接触器1个，24V直流电源1个，220V空气开关，动力线端子台，接地端子等。单片机控制器及功能扩展模块1套，单片机保护模块1个 急停控制系统1套；(WiFi模块控制1套,，2.4G 5G 5.8G双频吸盘天线5-12dbi无线路由SMA全向高增益wifi天线一套,选配），启动开关一个，工作指示灯系统1套。机柜控制板由专业PCB设计，软件编程及设计团队独立研发，采用CAN总线技术接收发送主控制系统控制通信，板载温湿度监控单元，WiFi控制单元等信号采集处理，反馈采集信息和主控系统进行自动化处理。</w:t>
            </w:r>
          </w:p>
        </w:tc>
        <w:tc>
          <w:tcPr>
            <w:tcW w:w="771" w:type="dxa"/>
            <w:tcBorders>
              <w:tl2br w:val="nil"/>
              <w:tr2bl w:val="nil"/>
            </w:tcBorders>
            <w:shd w:val="clear" w:color="auto" w:fill="auto"/>
            <w:noWrap w:val="0"/>
            <w:vAlign w:val="center"/>
          </w:tcPr>
          <w:p w14:paraId="1A3B31F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5AAEDE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690FE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05B99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1470" w:type="dxa"/>
            <w:tcBorders>
              <w:tl2br w:val="nil"/>
              <w:tr2bl w:val="nil"/>
            </w:tcBorders>
            <w:shd w:val="clear" w:color="auto" w:fill="auto"/>
            <w:noWrap w:val="0"/>
            <w:vAlign w:val="center"/>
          </w:tcPr>
          <w:p w14:paraId="10DF399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顶装智能控制平台</w:t>
            </w:r>
          </w:p>
        </w:tc>
        <w:tc>
          <w:tcPr>
            <w:tcW w:w="1425" w:type="dxa"/>
            <w:tcBorders>
              <w:tl2br w:val="nil"/>
              <w:tr2bl w:val="nil"/>
            </w:tcBorders>
            <w:shd w:val="clear" w:color="auto" w:fill="auto"/>
            <w:noWrap w:val="0"/>
            <w:vAlign w:val="center"/>
          </w:tcPr>
          <w:p w14:paraId="11D0D3A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400E045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规格：</w:t>
            </w:r>
            <w:r>
              <w:rPr>
                <w:rFonts w:hint="eastAsia" w:ascii="仿宋" w:hAnsi="仿宋" w:eastAsia="仿宋" w:cs="仿宋"/>
                <w:i w:val="0"/>
                <w:iCs w:val="0"/>
                <w:color w:val="auto"/>
                <w:kern w:val="0"/>
                <w:sz w:val="20"/>
                <w:szCs w:val="20"/>
                <w:u w:val="none"/>
                <w:lang w:val="en-US" w:eastAsia="zh-CN" w:bidi="ar"/>
              </w:rPr>
              <w:t>10寸彩色液晶触摸屏，集成主控制系统。可执行各分项分页控制；1、初次以超级管理员身份登陆APP，提供密码修改，多用户注册，多用户进行管理功能。</w:t>
            </w:r>
          </w:p>
          <w:p w14:paraId="42BC04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r>
              <w:rPr>
                <w:rFonts w:hint="eastAsia" w:ascii="仿宋" w:hAnsi="仿宋" w:eastAsia="仿宋" w:cs="仿宋"/>
                <w:b/>
                <w:bCs/>
                <w:i w:val="0"/>
                <w:iCs w:val="0"/>
                <w:color w:val="auto"/>
                <w:kern w:val="0"/>
                <w:sz w:val="20"/>
                <w:szCs w:val="20"/>
                <w:u w:val="none"/>
                <w:lang w:val="en-US" w:eastAsia="zh-CN" w:bidi="ar"/>
              </w:rPr>
              <w:t>主页：</w:t>
            </w:r>
            <w:r>
              <w:rPr>
                <w:rFonts w:hint="eastAsia" w:ascii="仿宋" w:hAnsi="仿宋" w:eastAsia="仿宋" w:cs="仿宋"/>
                <w:i w:val="0"/>
                <w:iCs w:val="0"/>
                <w:color w:val="auto"/>
                <w:kern w:val="0"/>
                <w:sz w:val="20"/>
                <w:szCs w:val="20"/>
                <w:u w:val="none"/>
                <w:lang w:val="en-US" w:eastAsia="zh-CN" w:bidi="ar"/>
              </w:rPr>
              <w:t>用户登入后进入主页模式。首先点击右侧电源图标进行连线才可以控制后面操作，在主页内显示当前温度，湿度，时间。此界面点击右上角菜单图标可以进行时间设置，用户管理，关于我们，使用说明操作。用户管理菜单内可以多进行多用户管理，删除，增加，修改密码等处理。</w:t>
            </w:r>
          </w:p>
          <w:p w14:paraId="25547E1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r>
              <w:rPr>
                <w:rFonts w:hint="eastAsia" w:ascii="仿宋" w:hAnsi="仿宋" w:eastAsia="仿宋" w:cs="仿宋"/>
                <w:b/>
                <w:bCs/>
                <w:i w:val="0"/>
                <w:iCs w:val="0"/>
                <w:color w:val="auto"/>
                <w:kern w:val="0"/>
                <w:sz w:val="20"/>
                <w:szCs w:val="20"/>
                <w:u w:val="none"/>
                <w:lang w:val="en-US" w:eastAsia="zh-CN" w:bidi="ar"/>
              </w:rPr>
              <w:t>升降控制：</w:t>
            </w:r>
            <w:r>
              <w:rPr>
                <w:rFonts w:hint="eastAsia" w:ascii="仿宋" w:hAnsi="仿宋" w:eastAsia="仿宋" w:cs="仿宋"/>
                <w:i w:val="0"/>
                <w:iCs w:val="0"/>
                <w:color w:val="auto"/>
                <w:kern w:val="0"/>
                <w:sz w:val="20"/>
                <w:szCs w:val="20"/>
                <w:u w:val="none"/>
                <w:lang w:val="en-US" w:eastAsia="zh-CN" w:bidi="ar"/>
              </w:rPr>
              <w:t>可以实现单个控制，可以集中控制，可以任意组合控制：此界面内对电源系统进行分组选择，全选，单选等操作。选择需要开启组项电机上升，下降，暂停图标来进行摇臂操作。摇臂升降过程中采用限位开关进行上下限到位保护。控制系统带障碍物保护功能，具有防夹，防卡功能，当摇臂在运动的过程中遇到障碍物时会自动停止。</w:t>
            </w:r>
          </w:p>
          <w:p w14:paraId="4F44CE1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r>
              <w:rPr>
                <w:rFonts w:hint="eastAsia" w:ascii="仿宋" w:hAnsi="仿宋" w:eastAsia="仿宋" w:cs="仿宋"/>
                <w:b/>
                <w:bCs/>
                <w:i w:val="0"/>
                <w:iCs w:val="0"/>
                <w:color w:val="auto"/>
                <w:kern w:val="0"/>
                <w:sz w:val="20"/>
                <w:szCs w:val="20"/>
                <w:u w:val="none"/>
                <w:lang w:val="en-US" w:eastAsia="zh-CN" w:bidi="ar"/>
              </w:rPr>
              <w:t>高压：</w:t>
            </w:r>
            <w:r>
              <w:rPr>
                <w:rFonts w:hint="eastAsia" w:ascii="仿宋" w:hAnsi="仿宋" w:eastAsia="仿宋" w:cs="仿宋"/>
                <w:i w:val="0"/>
                <w:iCs w:val="0"/>
                <w:color w:val="auto"/>
                <w:kern w:val="0"/>
                <w:sz w:val="20"/>
                <w:szCs w:val="20"/>
                <w:u w:val="none"/>
                <w:lang w:val="en-US" w:eastAsia="zh-CN" w:bidi="ar"/>
              </w:rPr>
              <w:t>对吊装系统分成A,B两组和老师，可以进行分组选择，全选，单选等操作。可以控制学生，老师端高压220V，电源具有漏电、短路、过载保护，保证安全可靠。</w:t>
            </w:r>
          </w:p>
          <w:p w14:paraId="5A7D09D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r>
              <w:rPr>
                <w:rFonts w:hint="eastAsia" w:ascii="仿宋" w:hAnsi="仿宋" w:eastAsia="仿宋" w:cs="仿宋"/>
                <w:b/>
                <w:bCs/>
                <w:i w:val="0"/>
                <w:iCs w:val="0"/>
                <w:color w:val="auto"/>
                <w:kern w:val="0"/>
                <w:sz w:val="20"/>
                <w:szCs w:val="20"/>
                <w:u w:val="none"/>
                <w:lang w:val="en-US" w:eastAsia="zh-CN" w:bidi="ar"/>
              </w:rPr>
              <w:t>低压：</w:t>
            </w:r>
            <w:r>
              <w:rPr>
                <w:rFonts w:hint="eastAsia" w:ascii="仿宋" w:hAnsi="仿宋" w:eastAsia="仿宋" w:cs="仿宋"/>
                <w:i w:val="0"/>
                <w:iCs w:val="0"/>
                <w:color w:val="auto"/>
                <w:kern w:val="0"/>
                <w:sz w:val="20"/>
                <w:szCs w:val="20"/>
                <w:u w:val="none"/>
                <w:lang w:val="en-US" w:eastAsia="zh-CN" w:bidi="ar"/>
              </w:rPr>
              <w:t>对吊装系统分成A,B两组和老师，可以进行分组选择，全选，单选等操作。可以控制学生，老师端低压交直流输出。低压输出学生电源交直流电压，具有智能保护系统，短路过载具有自动复位功能。</w:t>
            </w:r>
          </w:p>
          <w:p w14:paraId="2B4B7D6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bCs/>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r>
              <w:rPr>
                <w:rFonts w:hint="eastAsia" w:ascii="仿宋" w:hAnsi="仿宋" w:eastAsia="仿宋" w:cs="仿宋"/>
                <w:b/>
                <w:bCs/>
                <w:i w:val="0"/>
                <w:iCs w:val="0"/>
                <w:color w:val="auto"/>
                <w:kern w:val="0"/>
                <w:sz w:val="20"/>
                <w:szCs w:val="20"/>
                <w:u w:val="none"/>
                <w:lang w:val="en-US" w:eastAsia="zh-CN" w:bidi="ar"/>
              </w:rPr>
              <w:t>照明：</w:t>
            </w:r>
            <w:r>
              <w:rPr>
                <w:rFonts w:hint="eastAsia" w:ascii="仿宋" w:hAnsi="仿宋" w:eastAsia="仿宋" w:cs="仿宋"/>
                <w:i w:val="0"/>
                <w:iCs w:val="0"/>
                <w:color w:val="auto"/>
                <w:kern w:val="0"/>
                <w:sz w:val="20"/>
                <w:szCs w:val="20"/>
                <w:u w:val="none"/>
                <w:lang w:val="en-US" w:eastAsia="zh-CN" w:bidi="ar"/>
              </w:rPr>
              <w:t>此界面内对吊装系统分成A,B两组和老师，可以进行分组选择，全选，单选等操作分组控制整室照明；</w:t>
            </w:r>
          </w:p>
        </w:tc>
        <w:tc>
          <w:tcPr>
            <w:tcW w:w="771" w:type="dxa"/>
            <w:tcBorders>
              <w:tl2br w:val="nil"/>
              <w:tr2bl w:val="nil"/>
            </w:tcBorders>
            <w:shd w:val="clear" w:color="auto" w:fill="auto"/>
            <w:noWrap w:val="0"/>
            <w:vAlign w:val="center"/>
          </w:tcPr>
          <w:p w14:paraId="7FCC37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583265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67BCC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BDBCB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w:t>
            </w:r>
          </w:p>
        </w:tc>
        <w:tc>
          <w:tcPr>
            <w:tcW w:w="1470" w:type="dxa"/>
            <w:tcBorders>
              <w:tl2br w:val="nil"/>
              <w:tr2bl w:val="nil"/>
            </w:tcBorders>
            <w:shd w:val="clear" w:color="auto" w:fill="auto"/>
            <w:noWrap w:val="0"/>
            <w:vAlign w:val="center"/>
          </w:tcPr>
          <w:p w14:paraId="17D4AA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移动端控制系统</w:t>
            </w:r>
          </w:p>
        </w:tc>
        <w:tc>
          <w:tcPr>
            <w:tcW w:w="1425" w:type="dxa"/>
            <w:tcBorders>
              <w:tl2br w:val="nil"/>
              <w:tr2bl w:val="nil"/>
            </w:tcBorders>
            <w:shd w:val="clear" w:color="auto" w:fill="auto"/>
            <w:noWrap w:val="0"/>
            <w:vAlign w:val="center"/>
          </w:tcPr>
          <w:p w14:paraId="7CC9EB8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118DACB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bCs/>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1.机柜内设置WiFi模块，机柜内终端对移动端进行授权后手机，平板电脑移动端可以通过APP进行连入设备网络终端，可以进行吊装系统全部的操作。</w:t>
            </w:r>
          </w:p>
        </w:tc>
        <w:tc>
          <w:tcPr>
            <w:tcW w:w="771" w:type="dxa"/>
            <w:tcBorders>
              <w:tl2br w:val="nil"/>
              <w:tr2bl w:val="nil"/>
            </w:tcBorders>
            <w:shd w:val="clear" w:color="auto" w:fill="auto"/>
            <w:noWrap w:val="0"/>
            <w:vAlign w:val="center"/>
          </w:tcPr>
          <w:p w14:paraId="2260ED1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007F0B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808C9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93ED17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c>
          <w:tcPr>
            <w:tcW w:w="1470" w:type="dxa"/>
            <w:tcBorders>
              <w:tl2br w:val="nil"/>
              <w:tr2bl w:val="nil"/>
            </w:tcBorders>
            <w:shd w:val="clear" w:color="auto" w:fill="auto"/>
            <w:noWrap w:val="0"/>
            <w:vAlign w:val="center"/>
          </w:tcPr>
          <w:p w14:paraId="1F3658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温湿度监视系统</w:t>
            </w:r>
          </w:p>
        </w:tc>
        <w:tc>
          <w:tcPr>
            <w:tcW w:w="1425" w:type="dxa"/>
            <w:tcBorders>
              <w:tl2br w:val="nil"/>
              <w:tr2bl w:val="nil"/>
            </w:tcBorders>
            <w:shd w:val="clear" w:color="auto" w:fill="auto"/>
            <w:noWrap w:val="0"/>
            <w:vAlign w:val="center"/>
          </w:tcPr>
          <w:p w14:paraId="120099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569C86E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bCs/>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内置精密温湿度传感装置，实时监控房间内的温度和湿度，保障室内舒适的环境舒适性，在触摸屏中实时显示当前环境的温度和湿度，开标现场提供实物样品。</w:t>
            </w:r>
          </w:p>
        </w:tc>
        <w:tc>
          <w:tcPr>
            <w:tcW w:w="771" w:type="dxa"/>
            <w:tcBorders>
              <w:tl2br w:val="nil"/>
              <w:tr2bl w:val="nil"/>
            </w:tcBorders>
            <w:shd w:val="clear" w:color="auto" w:fill="auto"/>
            <w:noWrap w:val="0"/>
            <w:vAlign w:val="center"/>
          </w:tcPr>
          <w:p w14:paraId="6915A7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2DA95E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项</w:t>
            </w:r>
          </w:p>
        </w:tc>
      </w:tr>
      <w:tr w14:paraId="45B296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9DA5C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w:t>
            </w:r>
          </w:p>
        </w:tc>
        <w:tc>
          <w:tcPr>
            <w:tcW w:w="1470" w:type="dxa"/>
            <w:tcBorders>
              <w:tl2br w:val="nil"/>
              <w:tr2bl w:val="nil"/>
            </w:tcBorders>
            <w:shd w:val="clear" w:color="auto" w:fill="auto"/>
            <w:noWrap w:val="0"/>
            <w:vAlign w:val="center"/>
          </w:tcPr>
          <w:p w14:paraId="38E08EE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主体框架</w:t>
            </w:r>
          </w:p>
        </w:tc>
        <w:tc>
          <w:tcPr>
            <w:tcW w:w="1425" w:type="dxa"/>
            <w:tcBorders>
              <w:tl2br w:val="nil"/>
              <w:tr2bl w:val="nil"/>
            </w:tcBorders>
            <w:shd w:val="clear" w:color="auto" w:fill="auto"/>
            <w:noWrap w:val="0"/>
            <w:vAlign w:val="center"/>
          </w:tcPr>
          <w:p w14:paraId="01D117C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3E6F2A4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采用优质镀锌钢板经激光切割、数控冲压、数控折弯成型，生产工业采取模块组合，便于安装，外观流线形设计，简洁美观,表面经环氧树脂粉末静电喷涂、高温固化处理，耐腐蚀。</w:t>
            </w:r>
          </w:p>
        </w:tc>
        <w:tc>
          <w:tcPr>
            <w:tcW w:w="771" w:type="dxa"/>
            <w:tcBorders>
              <w:tl2br w:val="nil"/>
              <w:tr2bl w:val="nil"/>
            </w:tcBorders>
            <w:shd w:val="clear" w:color="auto" w:fill="auto"/>
            <w:noWrap w:val="0"/>
            <w:vAlign w:val="center"/>
          </w:tcPr>
          <w:p w14:paraId="4FB426D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72" w:type="dxa"/>
            <w:tcBorders>
              <w:tl2br w:val="nil"/>
              <w:tr2bl w:val="nil"/>
            </w:tcBorders>
            <w:shd w:val="clear" w:color="auto" w:fill="auto"/>
            <w:noWrap w:val="0"/>
            <w:vAlign w:val="center"/>
          </w:tcPr>
          <w:p w14:paraId="361498F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92F0B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BD6A7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1470" w:type="dxa"/>
            <w:tcBorders>
              <w:tl2br w:val="nil"/>
              <w:tr2bl w:val="nil"/>
            </w:tcBorders>
            <w:shd w:val="clear" w:color="auto" w:fill="auto"/>
            <w:noWrap w:val="0"/>
            <w:vAlign w:val="center"/>
          </w:tcPr>
          <w:p w14:paraId="33F397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电源升降系统</w:t>
            </w:r>
          </w:p>
        </w:tc>
        <w:tc>
          <w:tcPr>
            <w:tcW w:w="1425" w:type="dxa"/>
            <w:tcBorders>
              <w:tl2br w:val="nil"/>
              <w:tr2bl w:val="nil"/>
            </w:tcBorders>
            <w:shd w:val="clear" w:color="auto" w:fill="auto"/>
            <w:noWrap w:val="0"/>
            <w:vAlign w:val="center"/>
          </w:tcPr>
          <w:p w14:paraId="260383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797BAB9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采用为直流24V低压减速电机，带动卷线盘实现电源主体上下运动。</w:t>
            </w:r>
          </w:p>
        </w:tc>
        <w:tc>
          <w:tcPr>
            <w:tcW w:w="771" w:type="dxa"/>
            <w:tcBorders>
              <w:tl2br w:val="nil"/>
              <w:tr2bl w:val="nil"/>
            </w:tcBorders>
            <w:shd w:val="clear" w:color="auto" w:fill="auto"/>
            <w:noWrap w:val="0"/>
            <w:vAlign w:val="center"/>
          </w:tcPr>
          <w:p w14:paraId="19841D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72" w:type="dxa"/>
            <w:tcBorders>
              <w:tl2br w:val="nil"/>
              <w:tr2bl w:val="nil"/>
            </w:tcBorders>
            <w:shd w:val="clear" w:color="auto" w:fill="auto"/>
            <w:noWrap w:val="0"/>
            <w:vAlign w:val="center"/>
          </w:tcPr>
          <w:p w14:paraId="2B1FBED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0A04F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84DF3E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w:t>
            </w:r>
          </w:p>
        </w:tc>
        <w:tc>
          <w:tcPr>
            <w:tcW w:w="1470" w:type="dxa"/>
            <w:tcBorders>
              <w:tl2br w:val="nil"/>
              <w:tr2bl w:val="nil"/>
            </w:tcBorders>
            <w:shd w:val="clear" w:color="auto" w:fill="auto"/>
            <w:noWrap w:val="0"/>
            <w:vAlign w:val="center"/>
          </w:tcPr>
          <w:p w14:paraId="54EC91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升降电源主体</w:t>
            </w:r>
          </w:p>
        </w:tc>
        <w:tc>
          <w:tcPr>
            <w:tcW w:w="1425" w:type="dxa"/>
            <w:tcBorders>
              <w:tl2br w:val="nil"/>
              <w:tr2bl w:val="nil"/>
            </w:tcBorders>
            <w:shd w:val="clear" w:color="auto" w:fill="auto"/>
            <w:noWrap w:val="0"/>
            <w:vAlign w:val="center"/>
          </w:tcPr>
          <w:p w14:paraId="793A09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3F14D8B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 xml:space="preserve">接收智能化控制系统控制终端，主体外壳采用阻燃剂ABS注塑成型，预留多个供应系统安装位置。         </w:t>
            </w:r>
            <w:r>
              <w:rPr>
                <w:rFonts w:hint="eastAsia" w:ascii="仿宋" w:hAnsi="仿宋" w:eastAsia="仿宋" w:cs="仿宋"/>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仿宋" w:hAnsi="仿宋" w:eastAsia="仿宋" w:cs="仿宋"/>
                <w:b w:val="0"/>
                <w:bCs w:val="0"/>
                <w:i w:val="0"/>
                <w:iCs w:val="0"/>
                <w:color w:val="auto"/>
                <w:kern w:val="0"/>
                <w:sz w:val="20"/>
                <w:szCs w:val="20"/>
                <w:highlight w:val="none"/>
                <w:u w:val="none"/>
                <w:lang w:val="en-US" w:eastAsia="zh-CN" w:bidi="ar"/>
              </w:rPr>
              <w:t>以下技术参数需提供</w:t>
            </w:r>
            <w:r>
              <w:rPr>
                <w:rFonts w:hint="eastAsia" w:ascii="仿宋" w:hAnsi="仿宋" w:eastAsia="仿宋" w:cs="仿宋"/>
                <w:i w:val="0"/>
                <w:iCs w:val="0"/>
                <w:color w:val="auto"/>
                <w:kern w:val="0"/>
                <w:sz w:val="20"/>
                <w:szCs w:val="20"/>
                <w:highlight w:val="none"/>
                <w:u w:val="none"/>
                <w:lang w:val="en-US" w:eastAsia="zh-CN" w:bidi="ar"/>
              </w:rPr>
              <w:t>由国家认可的第三方检测机构出具带有CMA的检测报告加盖投标单位公章，</w:t>
            </w:r>
            <w:r>
              <w:rPr>
                <w:rFonts w:hint="eastAsia" w:ascii="仿宋" w:hAnsi="仿宋" w:eastAsia="仿宋" w:cs="仿宋"/>
                <w:b w:val="0"/>
                <w:bCs w:val="0"/>
                <w:i w:val="0"/>
                <w:iCs w:val="0"/>
                <w:color w:val="auto"/>
                <w:kern w:val="0"/>
                <w:sz w:val="20"/>
                <w:szCs w:val="20"/>
                <w:highlight w:val="none"/>
                <w:u w:val="none"/>
                <w:lang w:val="en-US" w:eastAsia="zh-CN" w:bidi="ar"/>
              </w:rPr>
              <w:t xml:space="preserve">检测内容完全符合参数要求，不得缺项、漏项；  </w:t>
            </w:r>
            <w:r>
              <w:rPr>
                <w:rFonts w:hint="eastAsia" w:ascii="仿宋" w:hAnsi="仿宋" w:eastAsia="仿宋" w:cs="仿宋"/>
                <w:b w:val="0"/>
                <w:bCs w:val="0"/>
                <w:i w:val="0"/>
                <w:iCs w:val="0"/>
                <w:color w:val="auto"/>
                <w:kern w:val="0"/>
                <w:sz w:val="20"/>
                <w:szCs w:val="20"/>
                <w:u w:val="none"/>
                <w:lang w:val="en-US" w:eastAsia="zh-CN" w:bidi="ar"/>
              </w:rPr>
              <w:t xml:space="preserve">         </w:t>
            </w:r>
          </w:p>
          <w:p w14:paraId="5F5AA31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1.保护连接系统的电阻：依据 GB4943.1-2022 标准进行 5.6.6 条款：接地电阻≤0.1Ω, 32A，检验结果符合。                                           2.预期的接触电压、接触电流和保护导体电流 ：依据 GB4943.1-2022 标准进行 5.7 条款：a)初级-可触及接地零部件，接触电流限值≤ 5mA；b)初级-可触及不接地零部件，接触电流限值≤ 0.5mA ，检验结果符合。</w:t>
            </w:r>
          </w:p>
          <w:p w14:paraId="3B7FEB7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 xml:space="preserve">3.抗电强度试验：依据 GB4943.1-2022 标准进行 5.4.9 条款：一次电路与地之间:2000VDC，历时 1min 不应出现击穿一次电路与二次电路间: 4000VDC，历时1min 不应出现击穿,检验结果未击穿；             </w:t>
            </w:r>
          </w:p>
          <w:p w14:paraId="5F8C390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4.湿热处理：依据 GB4943.1-2022 标准进行 5.4.8 条款：相对湿度(%)，温度(℃)，持续时间(h) ，检验结果40℃,93%,120h，符合标准。                  5.低温工作试验：在-10±3°C的条件下,贮存2小时,工作1小时,要求试验期间:样机通电工作正常。样机结构正常。样机外观正常，检验结果通过。           6.高温工作试验：在 40±2°C 的条件下,正常工作 16 小时(非操作),在此期间要求:样机通电工作正常，样机结构正常，样机外观正常，检验结果通过。     7.盐雾度测试：试验溶液盐溶液采用氯化钠和蒸馏水配制，其浓度为 5%盐雾工作试验空间内温度:35°CPH值:6.7盐雾工作试验空间内放置时间:48h 无缺陷面积，外观评级 A，试样表面外观无变化，检验结果通过。</w:t>
            </w:r>
          </w:p>
        </w:tc>
        <w:tc>
          <w:tcPr>
            <w:tcW w:w="771" w:type="dxa"/>
            <w:tcBorders>
              <w:tl2br w:val="nil"/>
              <w:tr2bl w:val="nil"/>
            </w:tcBorders>
            <w:shd w:val="clear" w:color="auto" w:fill="auto"/>
            <w:noWrap w:val="0"/>
            <w:vAlign w:val="center"/>
          </w:tcPr>
          <w:p w14:paraId="3C43465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72" w:type="dxa"/>
            <w:tcBorders>
              <w:tl2br w:val="nil"/>
              <w:tr2bl w:val="nil"/>
            </w:tcBorders>
            <w:shd w:val="clear" w:color="auto" w:fill="auto"/>
            <w:noWrap w:val="0"/>
            <w:vAlign w:val="center"/>
          </w:tcPr>
          <w:p w14:paraId="04E3D5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E6653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E7272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14</w:t>
            </w:r>
          </w:p>
        </w:tc>
        <w:tc>
          <w:tcPr>
            <w:tcW w:w="1470" w:type="dxa"/>
            <w:tcBorders>
              <w:tl2br w:val="nil"/>
              <w:tr2bl w:val="nil"/>
            </w:tcBorders>
            <w:noWrap w:val="0"/>
            <w:vAlign w:val="center"/>
          </w:tcPr>
          <w:p w14:paraId="1833E0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学生安全低压电源</w:t>
            </w:r>
          </w:p>
        </w:tc>
        <w:tc>
          <w:tcPr>
            <w:tcW w:w="1425" w:type="dxa"/>
            <w:tcBorders>
              <w:tl2br w:val="nil"/>
              <w:tr2bl w:val="nil"/>
            </w:tcBorders>
            <w:noWrap w:val="0"/>
            <w:vAlign w:val="center"/>
          </w:tcPr>
          <w:p w14:paraId="358CA50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BE8674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p>
          <w:p w14:paraId="3441547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2、学生电源面板采用整体框架机构，采用旋钮加按钮式按键控制，可以随意设置电压，贴片元件生产技术，微电脑控制，采用1.9寸液晶显示电源学生交直流电压；</w:t>
            </w:r>
          </w:p>
          <w:p w14:paraId="73988BE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3、学生交流电源通过旋钮键进行交流电源输出，AC1.5V~24V，分辨率0.1V。显示设定值。功率根据输出需求定，最大输出约100W，具有过载保护智能检测功能（电流高于过载点则自动保护，电流低于过载点则自动恢复至设定值）； </w:t>
            </w:r>
          </w:p>
          <w:p w14:paraId="49B774C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4、学生直流电源也是通过过旋钮键选取，1，直流电源输出，DC1.5V~32V，分辨率0.1V。显示设定值；亦具有过载保护智能检测功能；  </w:t>
            </w:r>
          </w:p>
          <w:p w14:paraId="51C5E65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5、电源内部设计有工作状态指示灯条，正常工作模式显示绿色灯光，有报警时灯变成红色模式；         </w:t>
            </w:r>
          </w:p>
        </w:tc>
        <w:tc>
          <w:tcPr>
            <w:tcW w:w="771" w:type="dxa"/>
            <w:tcBorders>
              <w:tl2br w:val="nil"/>
              <w:tr2bl w:val="nil"/>
            </w:tcBorders>
            <w:noWrap w:val="0"/>
            <w:vAlign w:val="center"/>
          </w:tcPr>
          <w:p w14:paraId="6BDEF3E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w:t>
            </w:r>
          </w:p>
        </w:tc>
        <w:tc>
          <w:tcPr>
            <w:tcW w:w="772" w:type="dxa"/>
            <w:tcBorders>
              <w:tl2br w:val="nil"/>
              <w:tr2bl w:val="nil"/>
            </w:tcBorders>
            <w:noWrap w:val="0"/>
            <w:vAlign w:val="center"/>
          </w:tcPr>
          <w:p w14:paraId="30858D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A133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D0B0AB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15</w:t>
            </w:r>
          </w:p>
        </w:tc>
        <w:tc>
          <w:tcPr>
            <w:tcW w:w="1470" w:type="dxa"/>
            <w:tcBorders>
              <w:tl2br w:val="nil"/>
              <w:tr2bl w:val="nil"/>
            </w:tcBorders>
            <w:noWrap w:val="0"/>
            <w:vAlign w:val="center"/>
          </w:tcPr>
          <w:p w14:paraId="1D9B8C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高压电源模块</w:t>
            </w:r>
          </w:p>
        </w:tc>
        <w:tc>
          <w:tcPr>
            <w:tcW w:w="1425" w:type="dxa"/>
            <w:tcBorders>
              <w:tl2br w:val="nil"/>
              <w:tr2bl w:val="nil"/>
            </w:tcBorders>
            <w:noWrap w:val="0"/>
            <w:vAlign w:val="center"/>
          </w:tcPr>
          <w:p w14:paraId="2CD1C88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69A1E8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采用220V，多功能安全插座;</w:t>
            </w:r>
          </w:p>
        </w:tc>
        <w:tc>
          <w:tcPr>
            <w:tcW w:w="771" w:type="dxa"/>
            <w:tcBorders>
              <w:tl2br w:val="nil"/>
              <w:tr2bl w:val="nil"/>
            </w:tcBorders>
            <w:noWrap w:val="0"/>
            <w:vAlign w:val="center"/>
          </w:tcPr>
          <w:p w14:paraId="530D7C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32</w:t>
            </w:r>
          </w:p>
        </w:tc>
        <w:tc>
          <w:tcPr>
            <w:tcW w:w="772" w:type="dxa"/>
            <w:tcBorders>
              <w:tl2br w:val="nil"/>
              <w:tr2bl w:val="nil"/>
            </w:tcBorders>
            <w:noWrap w:val="0"/>
            <w:vAlign w:val="center"/>
          </w:tcPr>
          <w:p w14:paraId="6758BE2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5A33D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D19A86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16</w:t>
            </w:r>
          </w:p>
        </w:tc>
        <w:tc>
          <w:tcPr>
            <w:tcW w:w="1470" w:type="dxa"/>
            <w:tcBorders>
              <w:tl2br w:val="nil"/>
              <w:tr2bl w:val="nil"/>
            </w:tcBorders>
            <w:noWrap w:val="0"/>
            <w:vAlign w:val="center"/>
          </w:tcPr>
          <w:p w14:paraId="6159389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USB充电模块</w:t>
            </w:r>
          </w:p>
        </w:tc>
        <w:tc>
          <w:tcPr>
            <w:tcW w:w="1425" w:type="dxa"/>
            <w:tcBorders>
              <w:tl2br w:val="nil"/>
              <w:tr2bl w:val="nil"/>
            </w:tcBorders>
            <w:noWrap w:val="0"/>
            <w:vAlign w:val="center"/>
          </w:tcPr>
          <w:p w14:paraId="39AA3A6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33EC7D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输出电压：默认5V，触发快充后在3-12V之间自动调整；输出功率：最大24W（5V@3.4A，9V@2.5A，12V@2A等）；支持多种快充协议；输入过压、欠压保护；输入过流保护；输出过流、短路保护 支持快充协议：BC1.2、Apple、三星协议；高通 QC2.0和3.0；MTK PE1.1/PE2.0；华为快充协议AFC；展讯快充协议SFCP。</w:t>
            </w:r>
          </w:p>
        </w:tc>
        <w:tc>
          <w:tcPr>
            <w:tcW w:w="771" w:type="dxa"/>
            <w:tcBorders>
              <w:tl2br w:val="nil"/>
              <w:tr2bl w:val="nil"/>
            </w:tcBorders>
            <w:noWrap w:val="0"/>
            <w:vAlign w:val="center"/>
          </w:tcPr>
          <w:p w14:paraId="135CA1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w:t>
            </w:r>
          </w:p>
        </w:tc>
        <w:tc>
          <w:tcPr>
            <w:tcW w:w="772" w:type="dxa"/>
            <w:tcBorders>
              <w:tl2br w:val="nil"/>
              <w:tr2bl w:val="nil"/>
            </w:tcBorders>
            <w:noWrap w:val="0"/>
            <w:vAlign w:val="center"/>
          </w:tcPr>
          <w:p w14:paraId="457D0A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A1B2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797320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17</w:t>
            </w:r>
          </w:p>
        </w:tc>
        <w:tc>
          <w:tcPr>
            <w:tcW w:w="1470" w:type="dxa"/>
            <w:tcBorders>
              <w:tl2br w:val="nil"/>
              <w:tr2bl w:val="nil"/>
            </w:tcBorders>
            <w:noWrap w:val="0"/>
            <w:vAlign w:val="center"/>
          </w:tcPr>
          <w:p w14:paraId="1CD13A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网络模块</w:t>
            </w:r>
          </w:p>
        </w:tc>
        <w:tc>
          <w:tcPr>
            <w:tcW w:w="1425" w:type="dxa"/>
            <w:tcBorders>
              <w:tl2br w:val="nil"/>
              <w:tr2bl w:val="nil"/>
            </w:tcBorders>
            <w:noWrap w:val="0"/>
            <w:vAlign w:val="center"/>
          </w:tcPr>
          <w:p w14:paraId="469870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5AEB31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内置RJ45网络模块，与路由器组成组成网络系统。</w:t>
            </w:r>
          </w:p>
        </w:tc>
        <w:tc>
          <w:tcPr>
            <w:tcW w:w="771" w:type="dxa"/>
            <w:tcBorders>
              <w:tl2br w:val="nil"/>
              <w:tr2bl w:val="nil"/>
            </w:tcBorders>
            <w:noWrap w:val="0"/>
            <w:vAlign w:val="center"/>
          </w:tcPr>
          <w:p w14:paraId="35E8772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w:t>
            </w:r>
          </w:p>
        </w:tc>
        <w:tc>
          <w:tcPr>
            <w:tcW w:w="772" w:type="dxa"/>
            <w:tcBorders>
              <w:tl2br w:val="nil"/>
              <w:tr2bl w:val="nil"/>
            </w:tcBorders>
            <w:noWrap w:val="0"/>
            <w:vAlign w:val="center"/>
          </w:tcPr>
          <w:p w14:paraId="74B137F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86BF8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68E62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18</w:t>
            </w:r>
          </w:p>
        </w:tc>
        <w:tc>
          <w:tcPr>
            <w:tcW w:w="1470" w:type="dxa"/>
            <w:tcBorders>
              <w:tl2br w:val="nil"/>
              <w:tr2bl w:val="nil"/>
            </w:tcBorders>
            <w:noWrap w:val="0"/>
            <w:vAlign w:val="center"/>
          </w:tcPr>
          <w:p w14:paraId="6BA4FC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供电线路</w:t>
            </w:r>
          </w:p>
        </w:tc>
        <w:tc>
          <w:tcPr>
            <w:tcW w:w="1425" w:type="dxa"/>
            <w:tcBorders>
              <w:tl2br w:val="nil"/>
              <w:tr2bl w:val="nil"/>
            </w:tcBorders>
            <w:noWrap w:val="0"/>
            <w:vAlign w:val="center"/>
          </w:tcPr>
          <w:p w14:paraId="617888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5BB8C2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模块化设计，每组模块间采用活接式连接，方便安装、检修。采用2.5mm²电线进行系统布线（国标免检产品）。</w:t>
            </w:r>
          </w:p>
        </w:tc>
        <w:tc>
          <w:tcPr>
            <w:tcW w:w="771" w:type="dxa"/>
            <w:tcBorders>
              <w:tl2br w:val="nil"/>
              <w:tr2bl w:val="nil"/>
            </w:tcBorders>
            <w:noWrap w:val="0"/>
            <w:vAlign w:val="center"/>
          </w:tcPr>
          <w:p w14:paraId="5120746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82561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项</w:t>
            </w:r>
          </w:p>
        </w:tc>
      </w:tr>
      <w:tr w14:paraId="79E95A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E84E0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19</w:t>
            </w:r>
          </w:p>
        </w:tc>
        <w:tc>
          <w:tcPr>
            <w:tcW w:w="1470" w:type="dxa"/>
            <w:tcBorders>
              <w:tl2br w:val="nil"/>
              <w:tr2bl w:val="nil"/>
            </w:tcBorders>
            <w:noWrap w:val="0"/>
            <w:vAlign w:val="center"/>
          </w:tcPr>
          <w:p w14:paraId="555E072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智能照明</w:t>
            </w:r>
          </w:p>
        </w:tc>
        <w:tc>
          <w:tcPr>
            <w:tcW w:w="1425" w:type="dxa"/>
            <w:tcBorders>
              <w:tl2br w:val="nil"/>
              <w:tr2bl w:val="nil"/>
            </w:tcBorders>
            <w:noWrap w:val="0"/>
            <w:vAlign w:val="center"/>
          </w:tcPr>
          <w:p w14:paraId="445719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9A3120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采用1个标准LED模组，每个模组功率10W，灯板采用2.0mm厚pc光扩散板，扩大了发光面。而使光线变的柔和，达到匀光而又透光的目的，同时满足各种雾度值和透光率的需求。及在保证高透光率，降低光衰的情况下，有着良好的光源遮蔽性效果。</w:t>
            </w:r>
          </w:p>
        </w:tc>
        <w:tc>
          <w:tcPr>
            <w:tcW w:w="771" w:type="dxa"/>
            <w:tcBorders>
              <w:tl2br w:val="nil"/>
              <w:tr2bl w:val="nil"/>
            </w:tcBorders>
            <w:noWrap w:val="0"/>
            <w:vAlign w:val="center"/>
          </w:tcPr>
          <w:p w14:paraId="1A90EC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72" w:type="dxa"/>
            <w:tcBorders>
              <w:tl2br w:val="nil"/>
              <w:tr2bl w:val="nil"/>
            </w:tcBorders>
            <w:noWrap w:val="0"/>
            <w:vAlign w:val="center"/>
          </w:tcPr>
          <w:p w14:paraId="06BC9C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8ECA0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842E6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20</w:t>
            </w:r>
          </w:p>
        </w:tc>
        <w:tc>
          <w:tcPr>
            <w:tcW w:w="1470" w:type="dxa"/>
            <w:tcBorders>
              <w:tl2br w:val="nil"/>
              <w:tr2bl w:val="nil"/>
            </w:tcBorders>
            <w:noWrap w:val="0"/>
            <w:vAlign w:val="center"/>
          </w:tcPr>
          <w:p w14:paraId="25ABBF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系统安装及辅件</w:t>
            </w:r>
          </w:p>
        </w:tc>
        <w:tc>
          <w:tcPr>
            <w:tcW w:w="1425" w:type="dxa"/>
            <w:tcBorders>
              <w:tl2br w:val="nil"/>
              <w:tr2bl w:val="nil"/>
            </w:tcBorders>
            <w:noWrap w:val="0"/>
            <w:vAlign w:val="center"/>
          </w:tcPr>
          <w:p w14:paraId="6E29408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2687BC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采用型材吊装方式，减少楼板承重，防止左右晃动，可进行上下、左右的平衡调节。主要辅件有：型材、龙骨架连接件、高度调节结构等。</w:t>
            </w:r>
          </w:p>
        </w:tc>
        <w:tc>
          <w:tcPr>
            <w:tcW w:w="771" w:type="dxa"/>
            <w:tcBorders>
              <w:tl2br w:val="nil"/>
              <w:tr2bl w:val="nil"/>
            </w:tcBorders>
            <w:noWrap w:val="0"/>
            <w:vAlign w:val="center"/>
          </w:tcPr>
          <w:p w14:paraId="1EE1684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72" w:type="dxa"/>
            <w:tcBorders>
              <w:tl2br w:val="nil"/>
              <w:tr2bl w:val="nil"/>
            </w:tcBorders>
            <w:noWrap w:val="0"/>
            <w:vAlign w:val="center"/>
          </w:tcPr>
          <w:p w14:paraId="3C170CD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项</w:t>
            </w:r>
          </w:p>
        </w:tc>
      </w:tr>
      <w:tr w14:paraId="066EA0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9D34D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21</w:t>
            </w:r>
          </w:p>
        </w:tc>
        <w:tc>
          <w:tcPr>
            <w:tcW w:w="1470" w:type="dxa"/>
            <w:tcBorders>
              <w:tl2br w:val="nil"/>
              <w:tr2bl w:val="nil"/>
            </w:tcBorders>
            <w:noWrap w:val="0"/>
            <w:vAlign w:val="center"/>
          </w:tcPr>
          <w:p w14:paraId="654E61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环境布置</w:t>
            </w:r>
          </w:p>
        </w:tc>
        <w:tc>
          <w:tcPr>
            <w:tcW w:w="1425" w:type="dxa"/>
            <w:tcBorders>
              <w:tl2br w:val="nil"/>
              <w:tr2bl w:val="nil"/>
            </w:tcBorders>
            <w:noWrap w:val="0"/>
            <w:vAlign w:val="center"/>
          </w:tcPr>
          <w:p w14:paraId="75EF82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3CDDAA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地面处理，顶面处理，墙面处理</w:t>
            </w:r>
          </w:p>
        </w:tc>
        <w:tc>
          <w:tcPr>
            <w:tcW w:w="771" w:type="dxa"/>
            <w:tcBorders>
              <w:tl2br w:val="nil"/>
              <w:tr2bl w:val="nil"/>
            </w:tcBorders>
            <w:noWrap w:val="0"/>
            <w:vAlign w:val="center"/>
          </w:tcPr>
          <w:p w14:paraId="5FDBD15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91</w:t>
            </w:r>
          </w:p>
        </w:tc>
        <w:tc>
          <w:tcPr>
            <w:tcW w:w="772" w:type="dxa"/>
            <w:tcBorders>
              <w:tl2br w:val="nil"/>
              <w:tr2bl w:val="nil"/>
            </w:tcBorders>
            <w:noWrap w:val="0"/>
            <w:vAlign w:val="center"/>
          </w:tcPr>
          <w:p w14:paraId="4EFDB7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平方</w:t>
            </w:r>
          </w:p>
        </w:tc>
      </w:tr>
      <w:tr w14:paraId="6D76B4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9864" w:type="dxa"/>
            <w:gridSpan w:val="6"/>
            <w:tcBorders>
              <w:tl2br w:val="nil"/>
              <w:tr2bl w:val="nil"/>
            </w:tcBorders>
            <w:shd w:val="clear" w:color="auto" w:fill="B6DDE8" w:themeFill="accent5" w:themeFillTint="66"/>
            <w:noWrap w:val="0"/>
            <w:vAlign w:val="center"/>
          </w:tcPr>
          <w:p w14:paraId="47F517D2">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b/>
                <w:bCs/>
                <w:color w:val="auto"/>
                <w:position w:val="-6"/>
                <w:sz w:val="24"/>
                <w:szCs w:val="24"/>
                <w:lang w:val="en-US" w:eastAsia="zh-CN"/>
              </w:rPr>
            </w:pPr>
            <w:r>
              <w:rPr>
                <w:rFonts w:hint="eastAsia" w:ascii="仿宋" w:hAnsi="仿宋" w:eastAsia="仿宋" w:cs="仿宋"/>
                <w:b/>
                <w:bCs/>
                <w:color w:val="auto"/>
                <w:position w:val="-6"/>
                <w:sz w:val="24"/>
                <w:szCs w:val="24"/>
                <w:lang w:val="en-US" w:eastAsia="zh-CN"/>
              </w:rPr>
              <w:t>物理准备间</w:t>
            </w:r>
          </w:p>
        </w:tc>
      </w:tr>
      <w:tr w14:paraId="45216A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B6DDE8" w:themeFill="accent5" w:themeFillTint="66"/>
            <w:noWrap w:val="0"/>
            <w:vAlign w:val="center"/>
          </w:tcPr>
          <w:p w14:paraId="36E7047C">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序号</w:t>
            </w:r>
          </w:p>
        </w:tc>
        <w:tc>
          <w:tcPr>
            <w:tcW w:w="1470" w:type="dxa"/>
            <w:tcBorders>
              <w:tl2br w:val="nil"/>
              <w:tr2bl w:val="nil"/>
            </w:tcBorders>
            <w:shd w:val="clear" w:color="auto" w:fill="B6DDE8" w:themeFill="accent5" w:themeFillTint="66"/>
            <w:noWrap w:val="0"/>
            <w:vAlign w:val="center"/>
          </w:tcPr>
          <w:p w14:paraId="73DD5013">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b/>
                <w:bCs/>
                <w:color w:val="auto"/>
                <w:position w:val="-6"/>
                <w:sz w:val="24"/>
                <w:szCs w:val="24"/>
                <w:lang w:val="en-US" w:eastAsia="zh-CN"/>
              </w:rPr>
              <w:t>名称</w:t>
            </w:r>
          </w:p>
        </w:tc>
        <w:tc>
          <w:tcPr>
            <w:tcW w:w="1425" w:type="dxa"/>
            <w:tcBorders>
              <w:tl2br w:val="nil"/>
              <w:tr2bl w:val="nil"/>
            </w:tcBorders>
            <w:shd w:val="clear" w:color="auto" w:fill="B6DDE8" w:themeFill="accent5" w:themeFillTint="66"/>
            <w:noWrap w:val="0"/>
            <w:vAlign w:val="center"/>
          </w:tcPr>
          <w:p w14:paraId="658805DC">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规格</w:t>
            </w:r>
          </w:p>
        </w:tc>
        <w:tc>
          <w:tcPr>
            <w:tcW w:w="4740" w:type="dxa"/>
            <w:tcBorders>
              <w:tl2br w:val="nil"/>
              <w:tr2bl w:val="nil"/>
            </w:tcBorders>
            <w:shd w:val="clear" w:color="auto" w:fill="B6DDE8" w:themeFill="accent5" w:themeFillTint="66"/>
            <w:noWrap w:val="0"/>
            <w:vAlign w:val="center"/>
          </w:tcPr>
          <w:p w14:paraId="7CCCDE91">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技术参数</w:t>
            </w:r>
          </w:p>
        </w:tc>
        <w:tc>
          <w:tcPr>
            <w:tcW w:w="771" w:type="dxa"/>
            <w:tcBorders>
              <w:tl2br w:val="nil"/>
              <w:tr2bl w:val="nil"/>
            </w:tcBorders>
            <w:shd w:val="clear" w:color="auto" w:fill="B6DDE8" w:themeFill="accent5" w:themeFillTint="66"/>
            <w:noWrap w:val="0"/>
            <w:vAlign w:val="center"/>
          </w:tcPr>
          <w:p w14:paraId="7576939D">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数量</w:t>
            </w:r>
          </w:p>
        </w:tc>
        <w:tc>
          <w:tcPr>
            <w:tcW w:w="772" w:type="dxa"/>
            <w:tcBorders>
              <w:tl2br w:val="nil"/>
              <w:tr2bl w:val="nil"/>
            </w:tcBorders>
            <w:shd w:val="clear" w:color="auto" w:fill="B6DDE8" w:themeFill="accent5" w:themeFillTint="66"/>
            <w:noWrap w:val="0"/>
            <w:vAlign w:val="center"/>
          </w:tcPr>
          <w:p w14:paraId="7C4DB48B">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单位</w:t>
            </w:r>
          </w:p>
        </w:tc>
      </w:tr>
      <w:tr w14:paraId="775BF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1124F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w:t>
            </w:r>
          </w:p>
        </w:tc>
        <w:tc>
          <w:tcPr>
            <w:tcW w:w="1470" w:type="dxa"/>
            <w:tcBorders>
              <w:tl2br w:val="nil"/>
              <w:tr2bl w:val="nil"/>
            </w:tcBorders>
            <w:noWrap w:val="0"/>
            <w:vAlign w:val="center"/>
          </w:tcPr>
          <w:p w14:paraId="5CE83A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准备桌</w:t>
            </w:r>
          </w:p>
        </w:tc>
        <w:tc>
          <w:tcPr>
            <w:tcW w:w="1425" w:type="dxa"/>
            <w:tcBorders>
              <w:tl2br w:val="nil"/>
              <w:tr2bl w:val="nil"/>
            </w:tcBorders>
            <w:noWrap w:val="0"/>
            <w:vAlign w:val="center"/>
          </w:tcPr>
          <w:p w14:paraId="67F5437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2400*1000*900mm</w:t>
            </w:r>
          </w:p>
        </w:tc>
        <w:tc>
          <w:tcPr>
            <w:tcW w:w="4740" w:type="dxa"/>
            <w:tcBorders>
              <w:tl2br w:val="nil"/>
              <w:tr2bl w:val="nil"/>
            </w:tcBorders>
            <w:noWrap w:val="0"/>
            <w:vAlign w:val="center"/>
          </w:tcPr>
          <w:p w14:paraId="467A1D1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1.结构：</w:t>
            </w:r>
            <w:r>
              <w:rPr>
                <w:rFonts w:hint="eastAsia" w:ascii="仿宋" w:hAnsi="仿宋" w:eastAsia="仿宋" w:cs="仿宋"/>
                <w:i w:val="0"/>
                <w:iCs w:val="0"/>
                <w:color w:val="auto"/>
                <w:kern w:val="0"/>
                <w:sz w:val="20"/>
                <w:szCs w:val="20"/>
                <w:u w:val="none"/>
                <w:lang w:val="en-US" w:eastAsia="zh-CN" w:bidi="ar"/>
              </w:rPr>
              <w:t>全钢结构</w:t>
            </w:r>
          </w:p>
          <w:p w14:paraId="30A91C6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2.台面：</w:t>
            </w:r>
            <w:r>
              <w:rPr>
                <w:rFonts w:hint="eastAsia" w:ascii="仿宋" w:hAnsi="仿宋" w:eastAsia="仿宋" w:cs="仿宋"/>
                <w:i w:val="0"/>
                <w:iCs w:val="0"/>
                <w:color w:val="auto"/>
                <w:kern w:val="0"/>
                <w:sz w:val="20"/>
                <w:szCs w:val="20"/>
                <w:u w:val="none"/>
                <w:lang w:val="en-US" w:eastAsia="zh-CN" w:bidi="ar"/>
              </w:rPr>
              <w:t>采用15mm厚一体实芯黑色胚体实验室工业陶瓷台面，台面表面为耐腐蚀专业釉面。釉面和黑色胚体（非后期染色处理）经高温烧结而成，釉面与胚体结合后不脱落、不脱层。具有耐强酸碱、防腐蚀、防静电、耐辐射、耐磨、抗污染、易清洁、耐冲击、耐高温、防水、防火等特点；</w:t>
            </w:r>
          </w:p>
          <w:p w14:paraId="775485A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3.柜身：</w:t>
            </w:r>
            <w:r>
              <w:rPr>
                <w:rFonts w:hint="eastAsia" w:ascii="仿宋" w:hAnsi="仿宋" w:eastAsia="仿宋" w:cs="仿宋"/>
                <w:i w:val="0"/>
                <w:iCs w:val="0"/>
                <w:color w:val="auto"/>
                <w:kern w:val="0"/>
                <w:sz w:val="20"/>
                <w:szCs w:val="20"/>
                <w:u w:val="none"/>
                <w:lang w:val="en-US" w:eastAsia="zh-CN" w:bidi="ar"/>
              </w:rPr>
              <w:t>柜体为落地式结构，采用优质镀锌钢板，厚度不小于1.0mm，采用CO2保护焊焊接，打磨处理，表面经耐酸碱环氧树脂粉末烤漆处理，表面硬度附着力、耐腐蚀性符合国家标准，所有钣金的表面接缝均应满焊，焊接处均应打磨平整以保持为连续的平滑表面。</w:t>
            </w:r>
          </w:p>
          <w:p w14:paraId="0131EE8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4.门板及抽面：</w:t>
            </w:r>
            <w:r>
              <w:rPr>
                <w:rFonts w:hint="eastAsia" w:ascii="仿宋" w:hAnsi="仿宋" w:eastAsia="仿宋" w:cs="仿宋"/>
                <w:i w:val="0"/>
                <w:iCs w:val="0"/>
                <w:color w:val="auto"/>
                <w:kern w:val="0"/>
                <w:sz w:val="20"/>
                <w:szCs w:val="20"/>
                <w:u w:val="none"/>
                <w:lang w:val="en-US" w:eastAsia="zh-CN" w:bidi="ar"/>
              </w:rPr>
              <w:t>采用优质镀锌钢板，内设隔音材料，保证关门减少噪音；</w:t>
            </w:r>
          </w:p>
          <w:p w14:paraId="4A28D2C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5.滑轨：</w:t>
            </w:r>
            <w:r>
              <w:rPr>
                <w:rFonts w:hint="eastAsia" w:ascii="仿宋" w:hAnsi="仿宋" w:eastAsia="仿宋" w:cs="仿宋"/>
                <w:i w:val="0"/>
                <w:iCs w:val="0"/>
                <w:color w:val="auto"/>
                <w:kern w:val="0"/>
                <w:sz w:val="20"/>
                <w:szCs w:val="20"/>
                <w:u w:val="none"/>
                <w:lang w:val="en-US" w:eastAsia="zh-CN" w:bidi="ar"/>
              </w:rPr>
              <w:t>采用三节重型滚珠滑轨，承重性强，滑动性能良好，无噪音；</w:t>
            </w:r>
          </w:p>
          <w:p w14:paraId="6EA7783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6.合页：</w:t>
            </w:r>
            <w:r>
              <w:rPr>
                <w:rFonts w:hint="eastAsia" w:ascii="仿宋" w:hAnsi="仿宋" w:eastAsia="仿宋" w:cs="仿宋"/>
                <w:i w:val="0"/>
                <w:iCs w:val="0"/>
                <w:color w:val="auto"/>
                <w:kern w:val="0"/>
                <w:sz w:val="20"/>
                <w:szCs w:val="20"/>
                <w:u w:val="none"/>
                <w:lang w:val="en-US" w:eastAsia="zh-CN" w:bidi="ar"/>
              </w:rPr>
              <w:t>采用优质大弯合页，可开门弧度大于90度，开合次数万次以上；</w:t>
            </w:r>
          </w:p>
          <w:p w14:paraId="6009F17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7.桌脚：</w:t>
            </w:r>
            <w:r>
              <w:rPr>
                <w:rFonts w:hint="eastAsia" w:ascii="仿宋" w:hAnsi="仿宋" w:eastAsia="仿宋" w:cs="仿宋"/>
                <w:i w:val="0"/>
                <w:iCs w:val="0"/>
                <w:color w:val="auto"/>
                <w:kern w:val="0"/>
                <w:sz w:val="20"/>
                <w:szCs w:val="20"/>
                <w:u w:val="none"/>
                <w:lang w:val="en-US" w:eastAsia="zh-CN" w:bidi="ar"/>
              </w:rPr>
              <w:t>采用ABS注塑专用桌垫固定；</w:t>
            </w:r>
          </w:p>
        </w:tc>
        <w:tc>
          <w:tcPr>
            <w:tcW w:w="771" w:type="dxa"/>
            <w:tcBorders>
              <w:tl2br w:val="nil"/>
              <w:tr2bl w:val="nil"/>
            </w:tcBorders>
            <w:noWrap w:val="0"/>
            <w:vAlign w:val="center"/>
          </w:tcPr>
          <w:p w14:paraId="1313A87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B2863F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张</w:t>
            </w:r>
          </w:p>
        </w:tc>
      </w:tr>
      <w:tr w14:paraId="750884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6B7FC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w:t>
            </w:r>
          </w:p>
        </w:tc>
        <w:tc>
          <w:tcPr>
            <w:tcW w:w="1470" w:type="dxa"/>
            <w:tcBorders>
              <w:tl2br w:val="nil"/>
              <w:tr2bl w:val="nil"/>
            </w:tcBorders>
            <w:noWrap w:val="0"/>
            <w:vAlign w:val="center"/>
          </w:tcPr>
          <w:p w14:paraId="424A8E2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试剂架（含电源）</w:t>
            </w:r>
          </w:p>
        </w:tc>
        <w:tc>
          <w:tcPr>
            <w:tcW w:w="1425" w:type="dxa"/>
            <w:tcBorders>
              <w:tl2br w:val="nil"/>
              <w:tr2bl w:val="nil"/>
            </w:tcBorders>
            <w:noWrap w:val="0"/>
            <w:vAlign w:val="center"/>
          </w:tcPr>
          <w:p w14:paraId="09FA9E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1700*230*750mm</w:t>
            </w:r>
          </w:p>
        </w:tc>
        <w:tc>
          <w:tcPr>
            <w:tcW w:w="4740" w:type="dxa"/>
            <w:tcBorders>
              <w:tl2br w:val="nil"/>
              <w:tr2bl w:val="nil"/>
            </w:tcBorders>
            <w:noWrap w:val="0"/>
            <w:vAlign w:val="center"/>
          </w:tcPr>
          <w:p w14:paraId="5F0C749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1.铝合金结构，表面喷涂高温固化匀乳白环氧树脂喷涂理处理，具有较强的耐蚀性能，上下带塑胶模具堵头；</w:t>
            </w:r>
          </w:p>
          <w:p w14:paraId="4D4DEB5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2.试剂架立柱截面尺寸：42mm*82mm, 型材壁厚1.2mm；试剂架立柱双面升降槽，侧面双面镶嵌另色色条；</w:t>
            </w:r>
          </w:p>
          <w:p w14:paraId="7D7CCC3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3.试剂架托架≥1.0mm冷轧钢板，一次性冲压成型；试剂架护栏：护栏壁厚1.2mm，单面镶嵌另色色条。</w:t>
            </w:r>
          </w:p>
          <w:p w14:paraId="5E08ECE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4.立杆牢固固定于C型钢架底端，层板采用≥8mm厚的玻璃，安装后用户可根据试剂大小上下高低无级调节。</w:t>
            </w:r>
          </w:p>
          <w:p w14:paraId="394BA86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5.含五孔国标实验电源。</w:t>
            </w:r>
          </w:p>
        </w:tc>
        <w:tc>
          <w:tcPr>
            <w:tcW w:w="771" w:type="dxa"/>
            <w:tcBorders>
              <w:tl2br w:val="nil"/>
              <w:tr2bl w:val="nil"/>
            </w:tcBorders>
            <w:noWrap w:val="0"/>
            <w:vAlign w:val="center"/>
          </w:tcPr>
          <w:p w14:paraId="038DD95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87768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3CAF06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6F01B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w:t>
            </w:r>
          </w:p>
        </w:tc>
        <w:tc>
          <w:tcPr>
            <w:tcW w:w="1470" w:type="dxa"/>
            <w:tcBorders>
              <w:tl2br w:val="nil"/>
              <w:tr2bl w:val="nil"/>
            </w:tcBorders>
            <w:noWrap w:val="0"/>
            <w:vAlign w:val="center"/>
          </w:tcPr>
          <w:p w14:paraId="182E83D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仪器柜</w:t>
            </w:r>
          </w:p>
        </w:tc>
        <w:tc>
          <w:tcPr>
            <w:tcW w:w="1425" w:type="dxa"/>
            <w:tcBorders>
              <w:tl2br w:val="nil"/>
              <w:tr2bl w:val="nil"/>
            </w:tcBorders>
            <w:noWrap w:val="0"/>
            <w:vAlign w:val="center"/>
          </w:tcPr>
          <w:p w14:paraId="04B0A34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1000*500*2000mm</w:t>
            </w:r>
          </w:p>
        </w:tc>
        <w:tc>
          <w:tcPr>
            <w:tcW w:w="4740" w:type="dxa"/>
            <w:tcBorders>
              <w:tl2br w:val="nil"/>
              <w:tr2bl w:val="nil"/>
            </w:tcBorders>
            <w:noWrap w:val="0"/>
            <w:vAlign w:val="center"/>
          </w:tcPr>
          <w:p w14:paraId="624AC9C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1.柜体框架：</w:t>
            </w:r>
            <w:r>
              <w:rPr>
                <w:rFonts w:hint="eastAsia" w:ascii="仿宋" w:hAnsi="仿宋" w:eastAsia="仿宋" w:cs="仿宋"/>
                <w:i w:val="0"/>
                <w:iCs w:val="0"/>
                <w:color w:val="auto"/>
                <w:kern w:val="0"/>
                <w:sz w:val="20"/>
                <w:szCs w:val="20"/>
                <w:u w:val="none"/>
                <w:lang w:val="en-US" w:eastAsia="zh-CN" w:bidi="ar"/>
              </w:rPr>
              <w:t>采用模具成型的专用铝合金方管制作，铝合金之间的连接采用ABS实芯连接件，保证连接牢固。铝合金型材带凹槽，凹槽的宽度与柜体衬板相匹配，凹槽的深度足够，保证柜体衬板与铝型材之间接缝严密，无晃动现象，不发生脱落。铝合金型材表面需经静电粉沫喷涂处理，整体耐腐蚀、防火、防潮、稳固耐用。</w:t>
            </w:r>
          </w:p>
          <w:p w14:paraId="497D52F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2.柜体衬板：</w:t>
            </w:r>
            <w:r>
              <w:rPr>
                <w:rFonts w:hint="eastAsia" w:ascii="仿宋" w:hAnsi="仿宋" w:eastAsia="仿宋" w:cs="仿宋"/>
                <w:i w:val="0"/>
                <w:iCs w:val="0"/>
                <w:color w:val="auto"/>
                <w:kern w:val="0"/>
                <w:sz w:val="20"/>
                <w:szCs w:val="20"/>
                <w:u w:val="none"/>
                <w:lang w:val="en-US" w:eastAsia="zh-CN" w:bidi="ar"/>
              </w:rPr>
              <w:t>采用16mm厚优质三聚氰胺防潮双贴面板，(基板为E1级环保板)；所有截面都采用自动封边机选用优质PVC封边，粘力强、密封性好、外形美观、经久耐用。组装接缝严密，连接牢固，无松动现象。</w:t>
            </w:r>
          </w:p>
          <w:p w14:paraId="58ECD7E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3.柜门：</w:t>
            </w:r>
            <w:r>
              <w:rPr>
                <w:rFonts w:hint="eastAsia" w:ascii="仿宋" w:hAnsi="仿宋" w:eastAsia="仿宋" w:cs="仿宋"/>
                <w:i w:val="0"/>
                <w:iCs w:val="0"/>
                <w:color w:val="auto"/>
                <w:kern w:val="0"/>
                <w:sz w:val="20"/>
                <w:szCs w:val="20"/>
                <w:u w:val="none"/>
                <w:lang w:val="en-US" w:eastAsia="zh-CN" w:bidi="ar"/>
              </w:rPr>
              <w:t>上部为专用木框对开玻璃门，下部为对开木门。</w:t>
            </w:r>
          </w:p>
          <w:p w14:paraId="2EE8550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4.隔板：</w:t>
            </w:r>
            <w:r>
              <w:rPr>
                <w:rFonts w:hint="eastAsia" w:ascii="仿宋" w:hAnsi="仿宋" w:eastAsia="仿宋" w:cs="仿宋"/>
                <w:i w:val="0"/>
                <w:iCs w:val="0"/>
                <w:color w:val="auto"/>
                <w:kern w:val="0"/>
                <w:sz w:val="20"/>
                <w:szCs w:val="20"/>
                <w:u w:val="none"/>
                <w:lang w:val="en-US" w:eastAsia="zh-CN" w:bidi="ar"/>
              </w:rPr>
              <w:t>上柜设置2块隔板，下柜设置1块隔板。隔板所用的板材与柜体板材相同，厚度不小于16mm。</w:t>
            </w:r>
          </w:p>
          <w:p w14:paraId="35A3A10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5.支脚：</w:t>
            </w:r>
            <w:r>
              <w:rPr>
                <w:rFonts w:hint="eastAsia" w:ascii="仿宋" w:hAnsi="仿宋" w:eastAsia="仿宋" w:cs="仿宋"/>
                <w:i w:val="0"/>
                <w:iCs w:val="0"/>
                <w:color w:val="auto"/>
                <w:kern w:val="0"/>
                <w:sz w:val="20"/>
                <w:szCs w:val="20"/>
                <w:u w:val="none"/>
                <w:lang w:val="en-US" w:eastAsia="zh-CN" w:bidi="ar"/>
              </w:rPr>
              <w:t>采用ABS工程塑料一次注塑成型的脚垫。</w:t>
            </w:r>
          </w:p>
        </w:tc>
        <w:tc>
          <w:tcPr>
            <w:tcW w:w="771" w:type="dxa"/>
            <w:tcBorders>
              <w:tl2br w:val="nil"/>
              <w:tr2bl w:val="nil"/>
            </w:tcBorders>
            <w:noWrap w:val="0"/>
            <w:vAlign w:val="center"/>
          </w:tcPr>
          <w:p w14:paraId="2E0D63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w:t>
            </w:r>
          </w:p>
        </w:tc>
        <w:tc>
          <w:tcPr>
            <w:tcW w:w="772" w:type="dxa"/>
            <w:tcBorders>
              <w:tl2br w:val="nil"/>
              <w:tr2bl w:val="nil"/>
            </w:tcBorders>
            <w:noWrap w:val="0"/>
            <w:vAlign w:val="center"/>
          </w:tcPr>
          <w:p w14:paraId="7DCF08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D195C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334" w:hRule="atLeast"/>
        </w:trPr>
        <w:tc>
          <w:tcPr>
            <w:tcW w:w="686" w:type="dxa"/>
            <w:tcBorders>
              <w:tl2br w:val="nil"/>
              <w:tr2bl w:val="nil"/>
            </w:tcBorders>
            <w:shd w:val="clear" w:color="auto" w:fill="auto"/>
            <w:noWrap w:val="0"/>
            <w:vAlign w:val="center"/>
          </w:tcPr>
          <w:p w14:paraId="7DE2E1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w:t>
            </w:r>
          </w:p>
        </w:tc>
        <w:tc>
          <w:tcPr>
            <w:tcW w:w="1470" w:type="dxa"/>
            <w:tcBorders>
              <w:tl2br w:val="nil"/>
              <w:tr2bl w:val="nil"/>
            </w:tcBorders>
            <w:noWrap w:val="0"/>
            <w:vAlign w:val="center"/>
          </w:tcPr>
          <w:p w14:paraId="49D72EC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仪器柜（大）</w:t>
            </w:r>
          </w:p>
        </w:tc>
        <w:tc>
          <w:tcPr>
            <w:tcW w:w="1425" w:type="dxa"/>
            <w:tcBorders>
              <w:tl2br w:val="nil"/>
              <w:tr2bl w:val="nil"/>
            </w:tcBorders>
            <w:noWrap w:val="0"/>
            <w:vAlign w:val="center"/>
          </w:tcPr>
          <w:p w14:paraId="12EB7B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1350*500*2000mm</w:t>
            </w:r>
          </w:p>
        </w:tc>
        <w:tc>
          <w:tcPr>
            <w:tcW w:w="4740" w:type="dxa"/>
            <w:tcBorders>
              <w:tl2br w:val="nil"/>
              <w:tr2bl w:val="nil"/>
            </w:tcBorders>
            <w:noWrap w:val="0"/>
            <w:vAlign w:val="center"/>
          </w:tcPr>
          <w:p w14:paraId="72047D2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1.柜体框架：</w:t>
            </w:r>
            <w:r>
              <w:rPr>
                <w:rFonts w:hint="eastAsia" w:ascii="仿宋" w:hAnsi="仿宋" w:eastAsia="仿宋" w:cs="仿宋"/>
                <w:i w:val="0"/>
                <w:iCs w:val="0"/>
                <w:color w:val="auto"/>
                <w:kern w:val="0"/>
                <w:sz w:val="20"/>
                <w:szCs w:val="20"/>
                <w:u w:val="none"/>
                <w:lang w:val="en-US" w:eastAsia="zh-CN" w:bidi="ar"/>
              </w:rPr>
              <w:t>采用模具成型的专用铝合金方管制作，铝合金之间的连接采用ABS实芯连接件，保证连接牢固。铝合金型材带凹槽，凹槽的宽度与柜体衬板相匹配，凹槽的深度足够，保证柜体衬板与铝型材之间接缝严密，无晃动现象，不发生脱落。铝合金型材表面需经静电粉沫喷涂处理，整体耐腐蚀、防火、防潮、稳固耐用。</w:t>
            </w:r>
          </w:p>
          <w:p w14:paraId="54C5095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2.柜体衬板：</w:t>
            </w:r>
            <w:r>
              <w:rPr>
                <w:rFonts w:hint="eastAsia" w:ascii="仿宋" w:hAnsi="仿宋" w:eastAsia="仿宋" w:cs="仿宋"/>
                <w:i w:val="0"/>
                <w:iCs w:val="0"/>
                <w:color w:val="auto"/>
                <w:kern w:val="0"/>
                <w:sz w:val="20"/>
                <w:szCs w:val="20"/>
                <w:u w:val="none"/>
                <w:lang w:val="en-US" w:eastAsia="zh-CN" w:bidi="ar"/>
              </w:rPr>
              <w:t>采用16mm厚优质三聚氰胺防潮双贴面板，(基板为E1级环保板)；所有截面都采用自动封边机选用优质PVC封边，粘力强、密封性好、外形美观、经久耐用。组装接缝严密，连接牢固，无松动现象。</w:t>
            </w:r>
          </w:p>
          <w:p w14:paraId="77BAFB1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3.柜门：</w:t>
            </w:r>
            <w:r>
              <w:rPr>
                <w:rFonts w:hint="eastAsia" w:ascii="仿宋" w:hAnsi="仿宋" w:eastAsia="仿宋" w:cs="仿宋"/>
                <w:i w:val="0"/>
                <w:iCs w:val="0"/>
                <w:color w:val="auto"/>
                <w:kern w:val="0"/>
                <w:sz w:val="20"/>
                <w:szCs w:val="20"/>
                <w:u w:val="none"/>
                <w:lang w:val="en-US" w:eastAsia="zh-CN" w:bidi="ar"/>
              </w:rPr>
              <w:t>上部为专用木框对开玻璃门，下部为对开木门。</w:t>
            </w:r>
          </w:p>
          <w:p w14:paraId="39120CD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4.隔板：</w:t>
            </w:r>
            <w:r>
              <w:rPr>
                <w:rFonts w:hint="eastAsia" w:ascii="仿宋" w:hAnsi="仿宋" w:eastAsia="仿宋" w:cs="仿宋"/>
                <w:i w:val="0"/>
                <w:iCs w:val="0"/>
                <w:color w:val="auto"/>
                <w:kern w:val="0"/>
                <w:sz w:val="20"/>
                <w:szCs w:val="20"/>
                <w:u w:val="none"/>
                <w:lang w:val="en-US" w:eastAsia="zh-CN" w:bidi="ar"/>
              </w:rPr>
              <w:t>上柜设置2块隔板，下柜设置1块隔板。隔板所用的板材与柜体板材相同，厚度不小于16mm。</w:t>
            </w:r>
          </w:p>
          <w:p w14:paraId="3233733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5.支脚：</w:t>
            </w:r>
            <w:r>
              <w:rPr>
                <w:rFonts w:hint="eastAsia" w:ascii="仿宋" w:hAnsi="仿宋" w:eastAsia="仿宋" w:cs="仿宋"/>
                <w:i w:val="0"/>
                <w:iCs w:val="0"/>
                <w:color w:val="auto"/>
                <w:kern w:val="0"/>
                <w:sz w:val="20"/>
                <w:szCs w:val="20"/>
                <w:u w:val="none"/>
                <w:lang w:val="en-US" w:eastAsia="zh-CN" w:bidi="ar"/>
              </w:rPr>
              <w:t>采用ABS工程塑料一次注塑成型的脚垫。</w:t>
            </w:r>
          </w:p>
        </w:tc>
        <w:tc>
          <w:tcPr>
            <w:tcW w:w="771" w:type="dxa"/>
            <w:tcBorders>
              <w:tl2br w:val="nil"/>
              <w:tr2bl w:val="nil"/>
            </w:tcBorders>
            <w:noWrap w:val="0"/>
            <w:vAlign w:val="center"/>
          </w:tcPr>
          <w:p w14:paraId="2A543C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5849615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476B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F3720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w:t>
            </w:r>
          </w:p>
        </w:tc>
        <w:tc>
          <w:tcPr>
            <w:tcW w:w="1470" w:type="dxa"/>
            <w:tcBorders>
              <w:tl2br w:val="nil"/>
              <w:tr2bl w:val="nil"/>
            </w:tcBorders>
            <w:noWrap w:val="0"/>
            <w:vAlign w:val="center"/>
          </w:tcPr>
          <w:p w14:paraId="2B5CF3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环境改造</w:t>
            </w:r>
          </w:p>
        </w:tc>
        <w:tc>
          <w:tcPr>
            <w:tcW w:w="1425" w:type="dxa"/>
            <w:tcBorders>
              <w:tl2br w:val="nil"/>
              <w:tr2bl w:val="nil"/>
            </w:tcBorders>
            <w:noWrap w:val="0"/>
            <w:vAlign w:val="center"/>
          </w:tcPr>
          <w:p w14:paraId="4AD0604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BDB80C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地面处理，顶面处理，墙面处理</w:t>
            </w:r>
          </w:p>
        </w:tc>
        <w:tc>
          <w:tcPr>
            <w:tcW w:w="771" w:type="dxa"/>
            <w:tcBorders>
              <w:tl2br w:val="nil"/>
              <w:tr2bl w:val="nil"/>
            </w:tcBorders>
            <w:noWrap w:val="0"/>
            <w:vAlign w:val="center"/>
          </w:tcPr>
          <w:p w14:paraId="4C91A8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2AE357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批</w:t>
            </w:r>
          </w:p>
        </w:tc>
      </w:tr>
      <w:tr w14:paraId="2A23F3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6F830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w:t>
            </w:r>
          </w:p>
        </w:tc>
        <w:tc>
          <w:tcPr>
            <w:tcW w:w="1470" w:type="dxa"/>
            <w:tcBorders>
              <w:tl2br w:val="nil"/>
              <w:tr2bl w:val="nil"/>
            </w:tcBorders>
            <w:noWrap w:val="0"/>
            <w:vAlign w:val="center"/>
          </w:tcPr>
          <w:p w14:paraId="46C65E3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安装</w:t>
            </w:r>
          </w:p>
        </w:tc>
        <w:tc>
          <w:tcPr>
            <w:tcW w:w="1425" w:type="dxa"/>
            <w:tcBorders>
              <w:tl2br w:val="nil"/>
              <w:tr2bl w:val="nil"/>
            </w:tcBorders>
            <w:noWrap w:val="0"/>
            <w:vAlign w:val="center"/>
          </w:tcPr>
          <w:p w14:paraId="5851F2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8C9A7B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设备安装及调试</w:t>
            </w:r>
          </w:p>
        </w:tc>
        <w:tc>
          <w:tcPr>
            <w:tcW w:w="771" w:type="dxa"/>
            <w:tcBorders>
              <w:tl2br w:val="nil"/>
              <w:tr2bl w:val="nil"/>
            </w:tcBorders>
            <w:noWrap w:val="0"/>
            <w:vAlign w:val="center"/>
          </w:tcPr>
          <w:p w14:paraId="06F5DBB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47AD1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项</w:t>
            </w:r>
          </w:p>
        </w:tc>
      </w:tr>
      <w:tr w14:paraId="57246E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658CD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w:t>
            </w:r>
          </w:p>
        </w:tc>
        <w:tc>
          <w:tcPr>
            <w:tcW w:w="1470" w:type="dxa"/>
            <w:tcBorders>
              <w:tl2br w:val="nil"/>
              <w:tr2bl w:val="nil"/>
            </w:tcBorders>
            <w:noWrap w:val="0"/>
            <w:vAlign w:val="center"/>
          </w:tcPr>
          <w:p w14:paraId="4667B6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学生电源</w:t>
            </w:r>
          </w:p>
        </w:tc>
        <w:tc>
          <w:tcPr>
            <w:tcW w:w="1425" w:type="dxa"/>
            <w:tcBorders>
              <w:tl2br w:val="nil"/>
              <w:tr2bl w:val="nil"/>
            </w:tcBorders>
            <w:noWrap w:val="0"/>
            <w:vAlign w:val="center"/>
          </w:tcPr>
          <w:p w14:paraId="7D1204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6D3B2B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直流稳压1.5V～9V，1.5V档，1.5A，1.05～1.5倍延时1s过在保护。输出不与外壳相联</w:t>
            </w:r>
          </w:p>
        </w:tc>
        <w:tc>
          <w:tcPr>
            <w:tcW w:w="771" w:type="dxa"/>
            <w:tcBorders>
              <w:tl2br w:val="nil"/>
              <w:tr2bl w:val="nil"/>
            </w:tcBorders>
            <w:noWrap w:val="0"/>
            <w:vAlign w:val="center"/>
          </w:tcPr>
          <w:p w14:paraId="0A9994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014C5C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1A3BF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4B7C1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w:t>
            </w:r>
          </w:p>
        </w:tc>
        <w:tc>
          <w:tcPr>
            <w:tcW w:w="1470" w:type="dxa"/>
            <w:tcBorders>
              <w:tl2br w:val="nil"/>
              <w:tr2bl w:val="nil"/>
            </w:tcBorders>
            <w:noWrap w:val="0"/>
            <w:vAlign w:val="center"/>
          </w:tcPr>
          <w:p w14:paraId="0777FA2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教学电源</w:t>
            </w:r>
          </w:p>
        </w:tc>
        <w:tc>
          <w:tcPr>
            <w:tcW w:w="1425" w:type="dxa"/>
            <w:tcBorders>
              <w:tl2br w:val="nil"/>
              <w:tr2bl w:val="nil"/>
            </w:tcBorders>
            <w:noWrap w:val="0"/>
            <w:vAlign w:val="center"/>
          </w:tcPr>
          <w:p w14:paraId="62E004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BE9947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交流2V～12V，2V一档，5A；直流1.5V～12V，1.5、3、4.5、6、9、12伏六档，2A；40A、8s自动关断；1.05～1.5倍延时1s过载保护。输出不与外壳相联</w:t>
            </w:r>
          </w:p>
        </w:tc>
        <w:tc>
          <w:tcPr>
            <w:tcW w:w="771" w:type="dxa"/>
            <w:tcBorders>
              <w:tl2br w:val="nil"/>
              <w:tr2bl w:val="nil"/>
            </w:tcBorders>
            <w:noWrap w:val="0"/>
            <w:vAlign w:val="center"/>
          </w:tcPr>
          <w:p w14:paraId="65F3E55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D1E0B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47C37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1EA44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w:t>
            </w:r>
          </w:p>
        </w:tc>
        <w:tc>
          <w:tcPr>
            <w:tcW w:w="1470" w:type="dxa"/>
            <w:tcBorders>
              <w:tl2br w:val="nil"/>
              <w:tr2bl w:val="nil"/>
            </w:tcBorders>
            <w:noWrap w:val="0"/>
            <w:vAlign w:val="center"/>
          </w:tcPr>
          <w:p w14:paraId="0B108A7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电池盒</w:t>
            </w:r>
          </w:p>
        </w:tc>
        <w:tc>
          <w:tcPr>
            <w:tcW w:w="1425" w:type="dxa"/>
            <w:tcBorders>
              <w:tl2br w:val="nil"/>
              <w:tr2bl w:val="nil"/>
            </w:tcBorders>
            <w:noWrap w:val="0"/>
            <w:vAlign w:val="center"/>
          </w:tcPr>
          <w:p w14:paraId="511A32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43558A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R20（1＃）电池用，接线柱。负极可用弹簧或弹性磷铜片。有串联接插口，电池装反时不能接通</w:t>
            </w:r>
          </w:p>
        </w:tc>
        <w:tc>
          <w:tcPr>
            <w:tcW w:w="771" w:type="dxa"/>
            <w:tcBorders>
              <w:tl2br w:val="nil"/>
              <w:tr2bl w:val="nil"/>
            </w:tcBorders>
            <w:noWrap w:val="0"/>
            <w:vAlign w:val="center"/>
          </w:tcPr>
          <w:p w14:paraId="3124575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772" w:type="dxa"/>
            <w:tcBorders>
              <w:tl2br w:val="nil"/>
              <w:tr2bl w:val="nil"/>
            </w:tcBorders>
            <w:noWrap w:val="0"/>
            <w:vAlign w:val="center"/>
          </w:tcPr>
          <w:p w14:paraId="5D6AC5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594F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B7AF1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10</w:t>
            </w:r>
          </w:p>
        </w:tc>
        <w:tc>
          <w:tcPr>
            <w:tcW w:w="1470" w:type="dxa"/>
            <w:tcBorders>
              <w:tl2br w:val="nil"/>
              <w:tr2bl w:val="nil"/>
            </w:tcBorders>
            <w:noWrap w:val="0"/>
            <w:vAlign w:val="center"/>
          </w:tcPr>
          <w:p w14:paraId="68977E5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演示直尺</w:t>
            </w:r>
          </w:p>
        </w:tc>
        <w:tc>
          <w:tcPr>
            <w:tcW w:w="1425" w:type="dxa"/>
            <w:tcBorders>
              <w:tl2br w:val="nil"/>
              <w:tr2bl w:val="nil"/>
            </w:tcBorders>
            <w:noWrap w:val="0"/>
            <w:vAlign w:val="center"/>
          </w:tcPr>
          <w:p w14:paraId="6747E2A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E61DC3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1000mm，宽45mm，带指示线框，木材、塑料或铝合金，分度值1cm，两面标分度，每10cm标数字，一面竖排，一面横排</w:t>
            </w:r>
          </w:p>
        </w:tc>
        <w:tc>
          <w:tcPr>
            <w:tcW w:w="771" w:type="dxa"/>
            <w:tcBorders>
              <w:tl2br w:val="nil"/>
              <w:tr2bl w:val="nil"/>
            </w:tcBorders>
            <w:noWrap w:val="0"/>
            <w:vAlign w:val="center"/>
          </w:tcPr>
          <w:p w14:paraId="1F0798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62C6AA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4AF7F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FCF3E4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11</w:t>
            </w:r>
          </w:p>
        </w:tc>
        <w:tc>
          <w:tcPr>
            <w:tcW w:w="1470" w:type="dxa"/>
            <w:tcBorders>
              <w:tl2br w:val="nil"/>
              <w:tr2bl w:val="nil"/>
            </w:tcBorders>
            <w:noWrap w:val="0"/>
            <w:vAlign w:val="center"/>
          </w:tcPr>
          <w:p w14:paraId="7F950D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直尺</w:t>
            </w:r>
          </w:p>
        </w:tc>
        <w:tc>
          <w:tcPr>
            <w:tcW w:w="1425" w:type="dxa"/>
            <w:tcBorders>
              <w:tl2br w:val="nil"/>
              <w:tr2bl w:val="nil"/>
            </w:tcBorders>
            <w:noWrap w:val="0"/>
            <w:vAlign w:val="center"/>
          </w:tcPr>
          <w:p w14:paraId="23266C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EAFA7D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1000mm，分度值1mm，塑料或铝合金，宽26mm，厚8mm，倾斜面标分度线。起始处标“mm”。有“JY”标志</w:t>
            </w:r>
          </w:p>
        </w:tc>
        <w:tc>
          <w:tcPr>
            <w:tcW w:w="771" w:type="dxa"/>
            <w:tcBorders>
              <w:tl2br w:val="nil"/>
              <w:tr2bl w:val="nil"/>
            </w:tcBorders>
            <w:noWrap w:val="0"/>
            <w:vAlign w:val="center"/>
          </w:tcPr>
          <w:p w14:paraId="48CD8CA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65E006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3DB2C8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905D0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12</w:t>
            </w:r>
          </w:p>
        </w:tc>
        <w:tc>
          <w:tcPr>
            <w:tcW w:w="1470" w:type="dxa"/>
            <w:tcBorders>
              <w:tl2br w:val="nil"/>
              <w:tr2bl w:val="nil"/>
            </w:tcBorders>
            <w:noWrap w:val="0"/>
            <w:vAlign w:val="center"/>
          </w:tcPr>
          <w:p w14:paraId="62C299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钢直尺</w:t>
            </w:r>
          </w:p>
        </w:tc>
        <w:tc>
          <w:tcPr>
            <w:tcW w:w="1425" w:type="dxa"/>
            <w:tcBorders>
              <w:tl2br w:val="nil"/>
              <w:tr2bl w:val="nil"/>
            </w:tcBorders>
            <w:noWrap w:val="0"/>
            <w:vAlign w:val="center"/>
          </w:tcPr>
          <w:p w14:paraId="1035CA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DE010C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300mm，0mm～50mm分度值0.5mm，其余1mm。宽25mm，厚1mm。有“CMC”标志</w:t>
            </w:r>
          </w:p>
        </w:tc>
        <w:tc>
          <w:tcPr>
            <w:tcW w:w="771" w:type="dxa"/>
            <w:tcBorders>
              <w:tl2br w:val="nil"/>
              <w:tr2bl w:val="nil"/>
            </w:tcBorders>
            <w:noWrap w:val="0"/>
            <w:vAlign w:val="center"/>
          </w:tcPr>
          <w:p w14:paraId="685180F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7B0C4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76CA9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3F288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13</w:t>
            </w:r>
          </w:p>
        </w:tc>
        <w:tc>
          <w:tcPr>
            <w:tcW w:w="1470" w:type="dxa"/>
            <w:tcBorders>
              <w:tl2br w:val="nil"/>
              <w:tr2bl w:val="nil"/>
            </w:tcBorders>
            <w:noWrap w:val="0"/>
            <w:vAlign w:val="center"/>
          </w:tcPr>
          <w:p w14:paraId="3C0455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钢卷尺</w:t>
            </w:r>
          </w:p>
        </w:tc>
        <w:tc>
          <w:tcPr>
            <w:tcW w:w="1425" w:type="dxa"/>
            <w:tcBorders>
              <w:tl2br w:val="nil"/>
              <w:tr2bl w:val="nil"/>
            </w:tcBorders>
            <w:noWrap w:val="0"/>
            <w:vAlign w:val="center"/>
          </w:tcPr>
          <w:p w14:paraId="14C5A47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02E514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2000mm，分度值1mm，自卷制动式，尺带宽≥12mm，厚≥0.15mm。有“CMC”标志</w:t>
            </w:r>
          </w:p>
        </w:tc>
        <w:tc>
          <w:tcPr>
            <w:tcW w:w="771" w:type="dxa"/>
            <w:tcBorders>
              <w:tl2br w:val="nil"/>
              <w:tr2bl w:val="nil"/>
            </w:tcBorders>
            <w:noWrap w:val="0"/>
            <w:vAlign w:val="center"/>
          </w:tcPr>
          <w:p w14:paraId="1EF9C36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B96E9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盒</w:t>
            </w:r>
          </w:p>
        </w:tc>
      </w:tr>
      <w:tr w14:paraId="41C257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812F20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14</w:t>
            </w:r>
          </w:p>
        </w:tc>
        <w:tc>
          <w:tcPr>
            <w:tcW w:w="1470" w:type="dxa"/>
            <w:tcBorders>
              <w:tl2br w:val="nil"/>
              <w:tr2bl w:val="nil"/>
            </w:tcBorders>
            <w:noWrap w:val="0"/>
            <w:vAlign w:val="center"/>
          </w:tcPr>
          <w:p w14:paraId="676E77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纤维卷尺</w:t>
            </w:r>
          </w:p>
        </w:tc>
        <w:tc>
          <w:tcPr>
            <w:tcW w:w="1425" w:type="dxa"/>
            <w:tcBorders>
              <w:tl2br w:val="nil"/>
              <w:tr2bl w:val="nil"/>
            </w:tcBorders>
            <w:noWrap w:val="0"/>
            <w:vAlign w:val="center"/>
          </w:tcPr>
          <w:p w14:paraId="4DB0B9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DC179F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盒式，30m，分度值1cm，尺带宽20mm，有“CMC”标志。按厘米、分米、米标数字，10米内每米处标单位“m”。终点线距盒门长度≥150mm</w:t>
            </w:r>
          </w:p>
        </w:tc>
        <w:tc>
          <w:tcPr>
            <w:tcW w:w="771" w:type="dxa"/>
            <w:tcBorders>
              <w:tl2br w:val="nil"/>
              <w:tr2bl w:val="nil"/>
            </w:tcBorders>
            <w:noWrap w:val="0"/>
            <w:vAlign w:val="center"/>
          </w:tcPr>
          <w:p w14:paraId="2F5D2A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19C66A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盒</w:t>
            </w:r>
          </w:p>
        </w:tc>
      </w:tr>
      <w:tr w14:paraId="57AFC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414DBE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15</w:t>
            </w:r>
          </w:p>
        </w:tc>
        <w:tc>
          <w:tcPr>
            <w:tcW w:w="1470" w:type="dxa"/>
            <w:tcBorders>
              <w:tl2br w:val="nil"/>
              <w:tr2bl w:val="nil"/>
            </w:tcBorders>
            <w:noWrap w:val="0"/>
            <w:vAlign w:val="center"/>
          </w:tcPr>
          <w:p w14:paraId="587BB0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游标卡尺</w:t>
            </w:r>
          </w:p>
        </w:tc>
        <w:tc>
          <w:tcPr>
            <w:tcW w:w="1425" w:type="dxa"/>
            <w:tcBorders>
              <w:tl2br w:val="nil"/>
              <w:tr2bl w:val="nil"/>
            </w:tcBorders>
            <w:noWrap w:val="0"/>
            <w:vAlign w:val="center"/>
          </w:tcPr>
          <w:p w14:paraId="77E9CF6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9196B5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0mm～125mm，分度值0.02mm，有深度尺。有“CMC”标志</w:t>
            </w:r>
          </w:p>
        </w:tc>
        <w:tc>
          <w:tcPr>
            <w:tcW w:w="771" w:type="dxa"/>
            <w:tcBorders>
              <w:tl2br w:val="nil"/>
              <w:tr2bl w:val="nil"/>
            </w:tcBorders>
            <w:noWrap w:val="0"/>
            <w:vAlign w:val="center"/>
          </w:tcPr>
          <w:p w14:paraId="3D5312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414B8A7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3F0778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94D6CB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16</w:t>
            </w:r>
          </w:p>
        </w:tc>
        <w:tc>
          <w:tcPr>
            <w:tcW w:w="1470" w:type="dxa"/>
            <w:tcBorders>
              <w:tl2br w:val="nil"/>
              <w:tr2bl w:val="nil"/>
            </w:tcBorders>
            <w:noWrap w:val="0"/>
            <w:vAlign w:val="center"/>
          </w:tcPr>
          <w:p w14:paraId="5C04F10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外径千分尺(螺旋测微器)</w:t>
            </w:r>
          </w:p>
        </w:tc>
        <w:tc>
          <w:tcPr>
            <w:tcW w:w="1425" w:type="dxa"/>
            <w:tcBorders>
              <w:tl2br w:val="nil"/>
              <w:tr2bl w:val="nil"/>
            </w:tcBorders>
            <w:noWrap w:val="0"/>
            <w:vAlign w:val="center"/>
          </w:tcPr>
          <w:p w14:paraId="28EE91A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86279A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0mm～25mm，分度值0.01mm。有“CMC”标志</w:t>
            </w:r>
          </w:p>
        </w:tc>
        <w:tc>
          <w:tcPr>
            <w:tcW w:w="771" w:type="dxa"/>
            <w:tcBorders>
              <w:tl2br w:val="nil"/>
              <w:tr2bl w:val="nil"/>
            </w:tcBorders>
            <w:noWrap w:val="0"/>
            <w:vAlign w:val="center"/>
          </w:tcPr>
          <w:p w14:paraId="28222A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6A7313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37B7B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B8C01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17</w:t>
            </w:r>
          </w:p>
        </w:tc>
        <w:tc>
          <w:tcPr>
            <w:tcW w:w="1470" w:type="dxa"/>
            <w:tcBorders>
              <w:tl2br w:val="nil"/>
              <w:tr2bl w:val="nil"/>
            </w:tcBorders>
            <w:noWrap w:val="0"/>
            <w:vAlign w:val="center"/>
          </w:tcPr>
          <w:p w14:paraId="1DA2F2F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测微尺</w:t>
            </w:r>
          </w:p>
        </w:tc>
        <w:tc>
          <w:tcPr>
            <w:tcW w:w="1425" w:type="dxa"/>
            <w:tcBorders>
              <w:tl2br w:val="nil"/>
              <w:tr2bl w:val="nil"/>
            </w:tcBorders>
            <w:noWrap w:val="0"/>
            <w:vAlign w:val="center"/>
          </w:tcPr>
          <w:p w14:paraId="557494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003B32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长1mm，100等分，10μm刻线外有一直径为Φ3，线粗为0.1mm的圆，刻线上复有厚度为0.17mm的盖玻片</w:t>
            </w:r>
          </w:p>
        </w:tc>
        <w:tc>
          <w:tcPr>
            <w:tcW w:w="771" w:type="dxa"/>
            <w:tcBorders>
              <w:tl2br w:val="nil"/>
              <w:tr2bl w:val="nil"/>
            </w:tcBorders>
            <w:shd w:val="clear" w:color="auto" w:fill="auto"/>
            <w:noWrap w:val="0"/>
            <w:vAlign w:val="center"/>
          </w:tcPr>
          <w:p w14:paraId="676905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72" w:type="dxa"/>
            <w:tcBorders>
              <w:tl2br w:val="nil"/>
              <w:tr2bl w:val="nil"/>
            </w:tcBorders>
            <w:noWrap w:val="0"/>
            <w:vAlign w:val="center"/>
          </w:tcPr>
          <w:p w14:paraId="1D511DB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97F3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D8690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18</w:t>
            </w:r>
          </w:p>
        </w:tc>
        <w:tc>
          <w:tcPr>
            <w:tcW w:w="1470" w:type="dxa"/>
            <w:tcBorders>
              <w:tl2br w:val="nil"/>
              <w:tr2bl w:val="nil"/>
            </w:tcBorders>
            <w:noWrap w:val="0"/>
            <w:vAlign w:val="center"/>
          </w:tcPr>
          <w:p w14:paraId="581526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软尺</w:t>
            </w:r>
          </w:p>
        </w:tc>
        <w:tc>
          <w:tcPr>
            <w:tcW w:w="1425" w:type="dxa"/>
            <w:tcBorders>
              <w:tl2br w:val="nil"/>
              <w:tr2bl w:val="nil"/>
            </w:tcBorders>
            <w:noWrap w:val="0"/>
            <w:vAlign w:val="center"/>
          </w:tcPr>
          <w:p w14:paraId="17171C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1E7DE4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折卷式纤维尺，2m，宽≥15mm，厚≥0.6mm，最小分度值1mm，10cm处有单位“cm”。有教学示范专用计量仪器标志。</w:t>
            </w:r>
          </w:p>
        </w:tc>
        <w:tc>
          <w:tcPr>
            <w:tcW w:w="771" w:type="dxa"/>
            <w:tcBorders>
              <w:tl2br w:val="nil"/>
              <w:tr2bl w:val="nil"/>
            </w:tcBorders>
            <w:shd w:val="clear" w:color="auto" w:fill="auto"/>
            <w:noWrap w:val="0"/>
            <w:vAlign w:val="center"/>
          </w:tcPr>
          <w:p w14:paraId="792390E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E967A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F85D3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E0885F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19</w:t>
            </w:r>
          </w:p>
        </w:tc>
        <w:tc>
          <w:tcPr>
            <w:tcW w:w="1470" w:type="dxa"/>
            <w:tcBorders>
              <w:tl2br w:val="nil"/>
              <w:tr2bl w:val="nil"/>
            </w:tcBorders>
            <w:noWrap w:val="0"/>
            <w:vAlign w:val="center"/>
          </w:tcPr>
          <w:p w14:paraId="7366AE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物理天平</w:t>
            </w:r>
          </w:p>
        </w:tc>
        <w:tc>
          <w:tcPr>
            <w:tcW w:w="1425" w:type="dxa"/>
            <w:tcBorders>
              <w:tl2br w:val="nil"/>
              <w:tr2bl w:val="nil"/>
            </w:tcBorders>
            <w:noWrap w:val="0"/>
            <w:vAlign w:val="center"/>
          </w:tcPr>
          <w:p w14:paraId="301B86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0D03FF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500g，分度值0.05g。水准器和重锤。配5级（M1级）砝码，200g×1，100g×2，50g×1，20g×2，10g×1，5g×1，2g×2，1g×1，500mg×1，200mg×2，100mg×1，50mg×1，20mg×2，10mg×1</w:t>
            </w:r>
          </w:p>
        </w:tc>
        <w:tc>
          <w:tcPr>
            <w:tcW w:w="771" w:type="dxa"/>
            <w:tcBorders>
              <w:tl2br w:val="nil"/>
              <w:tr2bl w:val="nil"/>
            </w:tcBorders>
            <w:shd w:val="clear" w:color="auto" w:fill="auto"/>
            <w:noWrap w:val="0"/>
            <w:vAlign w:val="center"/>
          </w:tcPr>
          <w:p w14:paraId="6C7460C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30E82A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54AF0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0C35F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20</w:t>
            </w:r>
          </w:p>
        </w:tc>
        <w:tc>
          <w:tcPr>
            <w:tcW w:w="1470" w:type="dxa"/>
            <w:tcBorders>
              <w:tl2br w:val="nil"/>
              <w:tr2bl w:val="nil"/>
            </w:tcBorders>
            <w:noWrap w:val="0"/>
            <w:vAlign w:val="center"/>
          </w:tcPr>
          <w:p w14:paraId="129B2B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托盘天平</w:t>
            </w:r>
          </w:p>
        </w:tc>
        <w:tc>
          <w:tcPr>
            <w:tcW w:w="1425" w:type="dxa"/>
            <w:tcBorders>
              <w:tl2br w:val="nil"/>
              <w:tr2bl w:val="nil"/>
            </w:tcBorders>
            <w:noWrap w:val="0"/>
            <w:vAlign w:val="center"/>
          </w:tcPr>
          <w:p w14:paraId="343F0A4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ECC90C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100g，分度值0.1g，配6级（M2级）砝码，50g×1，20g×2，10g×1，5g×1。有“CMC”标志</w:t>
            </w:r>
          </w:p>
        </w:tc>
        <w:tc>
          <w:tcPr>
            <w:tcW w:w="771" w:type="dxa"/>
            <w:tcBorders>
              <w:tl2br w:val="nil"/>
              <w:tr2bl w:val="nil"/>
            </w:tcBorders>
            <w:shd w:val="clear" w:color="auto" w:fill="auto"/>
            <w:noWrap w:val="0"/>
            <w:vAlign w:val="center"/>
          </w:tcPr>
          <w:p w14:paraId="26AC27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29575D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77AF95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824A0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21</w:t>
            </w:r>
          </w:p>
        </w:tc>
        <w:tc>
          <w:tcPr>
            <w:tcW w:w="1470" w:type="dxa"/>
            <w:tcBorders>
              <w:tl2br w:val="nil"/>
              <w:tr2bl w:val="nil"/>
            </w:tcBorders>
            <w:noWrap w:val="0"/>
            <w:vAlign w:val="center"/>
          </w:tcPr>
          <w:p w14:paraId="5849A9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托盘天平</w:t>
            </w:r>
          </w:p>
        </w:tc>
        <w:tc>
          <w:tcPr>
            <w:tcW w:w="1425" w:type="dxa"/>
            <w:tcBorders>
              <w:tl2br w:val="nil"/>
              <w:tr2bl w:val="nil"/>
            </w:tcBorders>
            <w:noWrap w:val="0"/>
            <w:vAlign w:val="center"/>
          </w:tcPr>
          <w:p w14:paraId="0008A5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BD0DF1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500g，分度值0.5g，配6级（M2级）砝码，200g×1，100g×2，50g×1，20g×2，10g×1。有“CMC”标志</w:t>
            </w:r>
          </w:p>
        </w:tc>
        <w:tc>
          <w:tcPr>
            <w:tcW w:w="771" w:type="dxa"/>
            <w:tcBorders>
              <w:tl2br w:val="nil"/>
              <w:tr2bl w:val="nil"/>
            </w:tcBorders>
            <w:shd w:val="clear" w:color="auto" w:fill="auto"/>
            <w:noWrap w:val="0"/>
            <w:vAlign w:val="center"/>
          </w:tcPr>
          <w:p w14:paraId="158E943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41DF8D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2B997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CBF1DC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22</w:t>
            </w:r>
          </w:p>
        </w:tc>
        <w:tc>
          <w:tcPr>
            <w:tcW w:w="1470" w:type="dxa"/>
            <w:tcBorders>
              <w:tl2br w:val="nil"/>
              <w:tr2bl w:val="nil"/>
            </w:tcBorders>
            <w:noWrap w:val="0"/>
            <w:vAlign w:val="center"/>
          </w:tcPr>
          <w:p w14:paraId="5FAEBFA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电子天平</w:t>
            </w:r>
          </w:p>
        </w:tc>
        <w:tc>
          <w:tcPr>
            <w:tcW w:w="1425" w:type="dxa"/>
            <w:tcBorders>
              <w:tl2br w:val="nil"/>
              <w:tr2bl w:val="nil"/>
            </w:tcBorders>
            <w:noWrap w:val="0"/>
            <w:vAlign w:val="center"/>
          </w:tcPr>
          <w:p w14:paraId="3D175AD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539E54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Ⅱ级，100g，0.001g</w:t>
            </w:r>
          </w:p>
        </w:tc>
        <w:tc>
          <w:tcPr>
            <w:tcW w:w="771" w:type="dxa"/>
            <w:tcBorders>
              <w:tl2br w:val="nil"/>
              <w:tr2bl w:val="nil"/>
            </w:tcBorders>
            <w:shd w:val="clear" w:color="auto" w:fill="auto"/>
            <w:noWrap w:val="0"/>
            <w:vAlign w:val="center"/>
          </w:tcPr>
          <w:p w14:paraId="0520D5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8BB01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2F88AE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4D6EB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23</w:t>
            </w:r>
          </w:p>
        </w:tc>
        <w:tc>
          <w:tcPr>
            <w:tcW w:w="1470" w:type="dxa"/>
            <w:tcBorders>
              <w:tl2br w:val="nil"/>
              <w:tr2bl w:val="nil"/>
            </w:tcBorders>
            <w:noWrap w:val="0"/>
            <w:vAlign w:val="center"/>
          </w:tcPr>
          <w:p w14:paraId="25323E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电子天平</w:t>
            </w:r>
          </w:p>
        </w:tc>
        <w:tc>
          <w:tcPr>
            <w:tcW w:w="1425" w:type="dxa"/>
            <w:tcBorders>
              <w:tl2br w:val="nil"/>
              <w:tr2bl w:val="nil"/>
            </w:tcBorders>
            <w:noWrap w:val="0"/>
            <w:vAlign w:val="center"/>
          </w:tcPr>
          <w:p w14:paraId="327C5EC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02B0EC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Ⅲ级，400g，0.1g</w:t>
            </w:r>
          </w:p>
        </w:tc>
        <w:tc>
          <w:tcPr>
            <w:tcW w:w="771" w:type="dxa"/>
            <w:tcBorders>
              <w:tl2br w:val="nil"/>
              <w:tr2bl w:val="nil"/>
            </w:tcBorders>
            <w:shd w:val="clear" w:color="auto" w:fill="auto"/>
            <w:noWrap w:val="0"/>
            <w:vAlign w:val="center"/>
          </w:tcPr>
          <w:p w14:paraId="5DD9E3B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D3328C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27FC86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CCEF0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24</w:t>
            </w:r>
          </w:p>
        </w:tc>
        <w:tc>
          <w:tcPr>
            <w:tcW w:w="1470" w:type="dxa"/>
            <w:tcBorders>
              <w:tl2br w:val="nil"/>
              <w:tr2bl w:val="nil"/>
            </w:tcBorders>
            <w:noWrap w:val="0"/>
            <w:vAlign w:val="center"/>
          </w:tcPr>
          <w:p w14:paraId="51F49D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案秤</w:t>
            </w:r>
          </w:p>
        </w:tc>
        <w:tc>
          <w:tcPr>
            <w:tcW w:w="1425" w:type="dxa"/>
            <w:tcBorders>
              <w:tl2br w:val="nil"/>
              <w:tr2bl w:val="nil"/>
            </w:tcBorders>
            <w:noWrap w:val="0"/>
            <w:vAlign w:val="center"/>
          </w:tcPr>
          <w:p w14:paraId="2BAA8A7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B64DF6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10kg，最小秤量10g，准确度等级：三等，有“CMC”标志</w:t>
            </w:r>
          </w:p>
        </w:tc>
        <w:tc>
          <w:tcPr>
            <w:tcW w:w="771" w:type="dxa"/>
            <w:tcBorders>
              <w:tl2br w:val="nil"/>
              <w:tr2bl w:val="nil"/>
            </w:tcBorders>
            <w:shd w:val="clear" w:color="auto" w:fill="auto"/>
            <w:noWrap w:val="0"/>
            <w:vAlign w:val="center"/>
          </w:tcPr>
          <w:p w14:paraId="106069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DD71C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195555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5A0E9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25</w:t>
            </w:r>
          </w:p>
        </w:tc>
        <w:tc>
          <w:tcPr>
            <w:tcW w:w="1470" w:type="dxa"/>
            <w:tcBorders>
              <w:tl2br w:val="nil"/>
              <w:tr2bl w:val="nil"/>
            </w:tcBorders>
            <w:noWrap w:val="0"/>
            <w:vAlign w:val="center"/>
          </w:tcPr>
          <w:p w14:paraId="2FAD6EC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弹簧度盘秤</w:t>
            </w:r>
          </w:p>
        </w:tc>
        <w:tc>
          <w:tcPr>
            <w:tcW w:w="1425" w:type="dxa"/>
            <w:tcBorders>
              <w:tl2br w:val="nil"/>
              <w:tr2bl w:val="nil"/>
            </w:tcBorders>
            <w:noWrap w:val="0"/>
            <w:vAlign w:val="center"/>
          </w:tcPr>
          <w:p w14:paraId="33CB4E6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19D3B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8kg，分度值：8g，准确度等级：三等，有“CMC”标志</w:t>
            </w:r>
          </w:p>
        </w:tc>
        <w:tc>
          <w:tcPr>
            <w:tcW w:w="771" w:type="dxa"/>
            <w:tcBorders>
              <w:tl2br w:val="nil"/>
              <w:tr2bl w:val="nil"/>
            </w:tcBorders>
            <w:shd w:val="clear" w:color="auto" w:fill="auto"/>
            <w:noWrap w:val="0"/>
            <w:vAlign w:val="center"/>
          </w:tcPr>
          <w:p w14:paraId="3476A1F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6428BB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F055F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96B64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26</w:t>
            </w:r>
          </w:p>
        </w:tc>
        <w:tc>
          <w:tcPr>
            <w:tcW w:w="1470" w:type="dxa"/>
            <w:tcBorders>
              <w:tl2br w:val="nil"/>
              <w:tr2bl w:val="nil"/>
            </w:tcBorders>
            <w:noWrap w:val="0"/>
            <w:vAlign w:val="center"/>
          </w:tcPr>
          <w:p w14:paraId="053A96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金属钩码</w:t>
            </w:r>
          </w:p>
        </w:tc>
        <w:tc>
          <w:tcPr>
            <w:tcW w:w="1425" w:type="dxa"/>
            <w:tcBorders>
              <w:tl2br w:val="nil"/>
              <w:tr2bl w:val="nil"/>
            </w:tcBorders>
            <w:noWrap w:val="0"/>
            <w:vAlign w:val="center"/>
          </w:tcPr>
          <w:p w14:paraId="4E21CA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D7968F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10g（Ф15mm）×l，20g（Ф18mm）×2，50g（Ф26mm）×2，200g（Ф32mm）×2，能叠放，配钩码盒</w:t>
            </w:r>
          </w:p>
        </w:tc>
        <w:tc>
          <w:tcPr>
            <w:tcW w:w="771" w:type="dxa"/>
            <w:tcBorders>
              <w:tl2br w:val="nil"/>
              <w:tr2bl w:val="nil"/>
            </w:tcBorders>
            <w:shd w:val="clear" w:color="auto" w:fill="auto"/>
            <w:noWrap w:val="0"/>
            <w:vAlign w:val="center"/>
          </w:tcPr>
          <w:p w14:paraId="3B5A93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784B27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83393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5B1F4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27</w:t>
            </w:r>
          </w:p>
        </w:tc>
        <w:tc>
          <w:tcPr>
            <w:tcW w:w="1470" w:type="dxa"/>
            <w:tcBorders>
              <w:tl2br w:val="nil"/>
              <w:tr2bl w:val="nil"/>
            </w:tcBorders>
            <w:noWrap w:val="0"/>
            <w:vAlign w:val="center"/>
          </w:tcPr>
          <w:p w14:paraId="38D01E0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金属槽码</w:t>
            </w:r>
          </w:p>
        </w:tc>
        <w:tc>
          <w:tcPr>
            <w:tcW w:w="1425" w:type="dxa"/>
            <w:tcBorders>
              <w:tl2br w:val="nil"/>
              <w:tr2bl w:val="nil"/>
            </w:tcBorders>
            <w:noWrap w:val="0"/>
            <w:vAlign w:val="center"/>
          </w:tcPr>
          <w:p w14:paraId="064D7F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9955F5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10g（Ф22mm）×l，20g（Ф26mm）×2，50g（Ф30mm）×2，200g（Ф48mm）×1，附10g金属槽码盘（Ф16mm）×1</w:t>
            </w:r>
          </w:p>
        </w:tc>
        <w:tc>
          <w:tcPr>
            <w:tcW w:w="771" w:type="dxa"/>
            <w:tcBorders>
              <w:tl2br w:val="nil"/>
              <w:tr2bl w:val="nil"/>
            </w:tcBorders>
            <w:shd w:val="clear" w:color="auto" w:fill="auto"/>
            <w:noWrap w:val="0"/>
            <w:vAlign w:val="center"/>
          </w:tcPr>
          <w:p w14:paraId="23BE29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E6F92D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A5688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5EA98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28</w:t>
            </w:r>
          </w:p>
        </w:tc>
        <w:tc>
          <w:tcPr>
            <w:tcW w:w="1470" w:type="dxa"/>
            <w:tcBorders>
              <w:tl2br w:val="nil"/>
              <w:tr2bl w:val="nil"/>
            </w:tcBorders>
            <w:noWrap w:val="0"/>
            <w:vAlign w:val="center"/>
          </w:tcPr>
          <w:p w14:paraId="20E560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机械停表</w:t>
            </w:r>
          </w:p>
        </w:tc>
        <w:tc>
          <w:tcPr>
            <w:tcW w:w="1425" w:type="dxa"/>
            <w:tcBorders>
              <w:tl2br w:val="nil"/>
              <w:tr2bl w:val="nil"/>
            </w:tcBorders>
            <w:noWrap w:val="0"/>
            <w:vAlign w:val="center"/>
          </w:tcPr>
          <w:p w14:paraId="51A1B0A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7C8285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分度值0.1s，一等品。</w:t>
            </w:r>
          </w:p>
        </w:tc>
        <w:tc>
          <w:tcPr>
            <w:tcW w:w="771" w:type="dxa"/>
            <w:tcBorders>
              <w:tl2br w:val="nil"/>
              <w:tr2bl w:val="nil"/>
            </w:tcBorders>
            <w:shd w:val="clear" w:color="auto" w:fill="auto"/>
            <w:noWrap w:val="0"/>
            <w:vAlign w:val="center"/>
          </w:tcPr>
          <w:p w14:paraId="4887EA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6901C1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块</w:t>
            </w:r>
          </w:p>
        </w:tc>
      </w:tr>
      <w:tr w14:paraId="400B34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0B179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29</w:t>
            </w:r>
          </w:p>
        </w:tc>
        <w:tc>
          <w:tcPr>
            <w:tcW w:w="1470" w:type="dxa"/>
            <w:tcBorders>
              <w:tl2br w:val="nil"/>
              <w:tr2bl w:val="nil"/>
            </w:tcBorders>
            <w:noWrap w:val="0"/>
            <w:vAlign w:val="center"/>
          </w:tcPr>
          <w:p w14:paraId="5169106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电子停表</w:t>
            </w:r>
          </w:p>
        </w:tc>
        <w:tc>
          <w:tcPr>
            <w:tcW w:w="1425" w:type="dxa"/>
            <w:tcBorders>
              <w:tl2br w:val="nil"/>
              <w:tr2bl w:val="nil"/>
            </w:tcBorders>
            <w:noWrap w:val="0"/>
            <w:vAlign w:val="center"/>
          </w:tcPr>
          <w:p w14:paraId="46464E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CDDADF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专用型，全时段分辨率0.01s，有防震、防水功能，电池更换周期≥1.5年</w:t>
            </w:r>
          </w:p>
        </w:tc>
        <w:tc>
          <w:tcPr>
            <w:tcW w:w="771" w:type="dxa"/>
            <w:tcBorders>
              <w:tl2br w:val="nil"/>
              <w:tr2bl w:val="nil"/>
            </w:tcBorders>
            <w:shd w:val="clear" w:color="auto" w:fill="auto"/>
            <w:noWrap w:val="0"/>
            <w:vAlign w:val="center"/>
          </w:tcPr>
          <w:p w14:paraId="153F0A2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5CD7ACB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块</w:t>
            </w:r>
          </w:p>
        </w:tc>
      </w:tr>
      <w:tr w14:paraId="7F642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DA73F8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30</w:t>
            </w:r>
          </w:p>
        </w:tc>
        <w:tc>
          <w:tcPr>
            <w:tcW w:w="1470" w:type="dxa"/>
            <w:tcBorders>
              <w:tl2br w:val="nil"/>
              <w:tr2bl w:val="nil"/>
            </w:tcBorders>
            <w:noWrap w:val="0"/>
            <w:vAlign w:val="center"/>
          </w:tcPr>
          <w:p w14:paraId="6211DBF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节拍器</w:t>
            </w:r>
          </w:p>
        </w:tc>
        <w:tc>
          <w:tcPr>
            <w:tcW w:w="1425" w:type="dxa"/>
            <w:tcBorders>
              <w:tl2br w:val="nil"/>
              <w:tr2bl w:val="nil"/>
            </w:tcBorders>
            <w:noWrap w:val="0"/>
            <w:vAlign w:val="center"/>
          </w:tcPr>
          <w:p w14:paraId="436A843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2830D6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机械式：40拍/分～208拍/分，39档。四种（2、3、4、6）鸣铃模式。或电子式，1拍/分～200拍/分，四种节模式（0、2、3、4）</w:t>
            </w:r>
          </w:p>
        </w:tc>
        <w:tc>
          <w:tcPr>
            <w:tcW w:w="771" w:type="dxa"/>
            <w:tcBorders>
              <w:tl2br w:val="nil"/>
              <w:tr2bl w:val="nil"/>
            </w:tcBorders>
            <w:shd w:val="clear" w:color="auto" w:fill="auto"/>
            <w:noWrap w:val="0"/>
            <w:vAlign w:val="center"/>
          </w:tcPr>
          <w:p w14:paraId="791053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94B5FF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F8573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3831FE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31</w:t>
            </w:r>
          </w:p>
        </w:tc>
        <w:tc>
          <w:tcPr>
            <w:tcW w:w="1470" w:type="dxa"/>
            <w:tcBorders>
              <w:tl2br w:val="nil"/>
              <w:tr2bl w:val="nil"/>
            </w:tcBorders>
            <w:noWrap w:val="0"/>
            <w:vAlign w:val="center"/>
          </w:tcPr>
          <w:p w14:paraId="0918BB2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沙漏</w:t>
            </w:r>
          </w:p>
        </w:tc>
        <w:tc>
          <w:tcPr>
            <w:tcW w:w="1425" w:type="dxa"/>
            <w:tcBorders>
              <w:tl2br w:val="nil"/>
              <w:tr2bl w:val="nil"/>
            </w:tcBorders>
            <w:noWrap w:val="0"/>
            <w:vAlign w:val="center"/>
          </w:tcPr>
          <w:p w14:paraId="65943C2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3A3A78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玻璃制，沙漏时间5min误差10%，塑料支座，尺寸大于Φ8mm×15mm</w:t>
            </w:r>
          </w:p>
        </w:tc>
        <w:tc>
          <w:tcPr>
            <w:tcW w:w="771" w:type="dxa"/>
            <w:tcBorders>
              <w:tl2br w:val="nil"/>
              <w:tr2bl w:val="nil"/>
            </w:tcBorders>
            <w:shd w:val="clear" w:color="auto" w:fill="auto"/>
            <w:noWrap w:val="0"/>
            <w:vAlign w:val="center"/>
          </w:tcPr>
          <w:p w14:paraId="4B39F38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2F3C9C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47BC0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FE00BE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32</w:t>
            </w:r>
          </w:p>
        </w:tc>
        <w:tc>
          <w:tcPr>
            <w:tcW w:w="1470" w:type="dxa"/>
            <w:tcBorders>
              <w:tl2br w:val="nil"/>
              <w:tr2bl w:val="nil"/>
            </w:tcBorders>
            <w:noWrap w:val="0"/>
            <w:vAlign w:val="center"/>
          </w:tcPr>
          <w:p w14:paraId="37A7DB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日晷</w:t>
            </w:r>
          </w:p>
        </w:tc>
        <w:tc>
          <w:tcPr>
            <w:tcW w:w="1425" w:type="dxa"/>
            <w:tcBorders>
              <w:tl2br w:val="nil"/>
              <w:tr2bl w:val="nil"/>
            </w:tcBorders>
            <w:noWrap w:val="0"/>
            <w:vAlign w:val="center"/>
          </w:tcPr>
          <w:p w14:paraId="55B6A75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435884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非固定，赤道式，晷面Ф300mm，晷面与晷台夹角0º～60º可调，晷针Ф5mm，时刻线每15º一长线，每7.5º一短线，时刻线2～22时。无节气线</w:t>
            </w:r>
          </w:p>
        </w:tc>
        <w:tc>
          <w:tcPr>
            <w:tcW w:w="771" w:type="dxa"/>
            <w:tcBorders>
              <w:tl2br w:val="nil"/>
              <w:tr2bl w:val="nil"/>
            </w:tcBorders>
            <w:shd w:val="clear" w:color="auto" w:fill="auto"/>
            <w:noWrap w:val="0"/>
            <w:vAlign w:val="center"/>
          </w:tcPr>
          <w:p w14:paraId="18ECAEC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AC851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813C9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2F943C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33</w:t>
            </w:r>
          </w:p>
        </w:tc>
        <w:tc>
          <w:tcPr>
            <w:tcW w:w="1470" w:type="dxa"/>
            <w:tcBorders>
              <w:tl2br w:val="nil"/>
              <w:tr2bl w:val="nil"/>
            </w:tcBorders>
            <w:noWrap w:val="0"/>
            <w:vAlign w:val="center"/>
          </w:tcPr>
          <w:p w14:paraId="361692A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温度计</w:t>
            </w:r>
          </w:p>
        </w:tc>
        <w:tc>
          <w:tcPr>
            <w:tcW w:w="1425" w:type="dxa"/>
            <w:tcBorders>
              <w:tl2br w:val="nil"/>
              <w:tr2bl w:val="nil"/>
            </w:tcBorders>
            <w:noWrap w:val="0"/>
            <w:vAlign w:val="center"/>
          </w:tcPr>
          <w:p w14:paraId="03DC90C3">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F1B52F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局浸式，有机液体，0℃～100℃，最小分度值1℃，≤±1℃</w:t>
            </w:r>
          </w:p>
        </w:tc>
        <w:tc>
          <w:tcPr>
            <w:tcW w:w="771" w:type="dxa"/>
            <w:tcBorders>
              <w:tl2br w:val="nil"/>
              <w:tr2bl w:val="nil"/>
            </w:tcBorders>
            <w:shd w:val="clear" w:color="auto" w:fill="auto"/>
            <w:noWrap w:val="0"/>
            <w:vAlign w:val="center"/>
          </w:tcPr>
          <w:p w14:paraId="381B44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772" w:type="dxa"/>
            <w:tcBorders>
              <w:tl2br w:val="nil"/>
              <w:tr2bl w:val="nil"/>
            </w:tcBorders>
            <w:noWrap w:val="0"/>
            <w:vAlign w:val="center"/>
          </w:tcPr>
          <w:p w14:paraId="2CD790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4671D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4926C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34</w:t>
            </w:r>
          </w:p>
        </w:tc>
        <w:tc>
          <w:tcPr>
            <w:tcW w:w="1470" w:type="dxa"/>
            <w:tcBorders>
              <w:tl2br w:val="nil"/>
              <w:tr2bl w:val="nil"/>
            </w:tcBorders>
            <w:noWrap w:val="0"/>
            <w:vAlign w:val="center"/>
          </w:tcPr>
          <w:p w14:paraId="571DDE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温度计</w:t>
            </w:r>
          </w:p>
        </w:tc>
        <w:tc>
          <w:tcPr>
            <w:tcW w:w="1425" w:type="dxa"/>
            <w:tcBorders>
              <w:tl2br w:val="nil"/>
              <w:tr2bl w:val="nil"/>
            </w:tcBorders>
            <w:noWrap w:val="0"/>
            <w:vAlign w:val="center"/>
          </w:tcPr>
          <w:p w14:paraId="09111BFD">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80C19D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局浸式，水银，0℃～200℃，最小分度值1℃，100℃以内≤1℃，100℃以上≤±1.5℃</w:t>
            </w:r>
          </w:p>
        </w:tc>
        <w:tc>
          <w:tcPr>
            <w:tcW w:w="771" w:type="dxa"/>
            <w:tcBorders>
              <w:tl2br w:val="nil"/>
              <w:tr2bl w:val="nil"/>
            </w:tcBorders>
            <w:shd w:val="clear" w:color="auto" w:fill="auto"/>
            <w:noWrap w:val="0"/>
            <w:vAlign w:val="center"/>
          </w:tcPr>
          <w:p w14:paraId="5098FE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00E972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2D11A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66BACC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35</w:t>
            </w:r>
          </w:p>
        </w:tc>
        <w:tc>
          <w:tcPr>
            <w:tcW w:w="1470" w:type="dxa"/>
            <w:tcBorders>
              <w:tl2br w:val="nil"/>
              <w:tr2bl w:val="nil"/>
            </w:tcBorders>
            <w:noWrap w:val="0"/>
            <w:vAlign w:val="center"/>
          </w:tcPr>
          <w:p w14:paraId="0E7DB2F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演示温度计</w:t>
            </w:r>
          </w:p>
        </w:tc>
        <w:tc>
          <w:tcPr>
            <w:tcW w:w="1425" w:type="dxa"/>
            <w:tcBorders>
              <w:tl2br w:val="nil"/>
              <w:tr2bl w:val="nil"/>
            </w:tcBorders>
            <w:noWrap w:val="0"/>
            <w:vAlign w:val="center"/>
          </w:tcPr>
          <w:p w14:paraId="479F218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7CC73F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-5℃～100℃，分度值1℃，0℃以上误差±1℃。全长≥565mm，感温泡长度≥30mm，感温泡距离标尺下线≥135mm，标尺全长≥350mm。标度板上标摄氏温度℃和热力学温度K。</w:t>
            </w:r>
          </w:p>
        </w:tc>
        <w:tc>
          <w:tcPr>
            <w:tcW w:w="771" w:type="dxa"/>
            <w:tcBorders>
              <w:tl2br w:val="nil"/>
              <w:tr2bl w:val="nil"/>
            </w:tcBorders>
            <w:shd w:val="clear" w:color="auto" w:fill="auto"/>
            <w:noWrap w:val="0"/>
            <w:vAlign w:val="center"/>
          </w:tcPr>
          <w:p w14:paraId="32D9C97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028B9E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3F3ECE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C6D161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36</w:t>
            </w:r>
          </w:p>
        </w:tc>
        <w:tc>
          <w:tcPr>
            <w:tcW w:w="1470" w:type="dxa"/>
            <w:tcBorders>
              <w:tl2br w:val="nil"/>
              <w:tr2bl w:val="nil"/>
            </w:tcBorders>
            <w:noWrap w:val="0"/>
            <w:vAlign w:val="center"/>
          </w:tcPr>
          <w:p w14:paraId="34B48D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双金属片温度计</w:t>
            </w:r>
          </w:p>
        </w:tc>
        <w:tc>
          <w:tcPr>
            <w:tcW w:w="1425" w:type="dxa"/>
            <w:tcBorders>
              <w:tl2br w:val="nil"/>
              <w:tr2bl w:val="nil"/>
            </w:tcBorders>
            <w:noWrap w:val="0"/>
            <w:vAlign w:val="center"/>
          </w:tcPr>
          <w:p w14:paraId="26B18F9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4C99A0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指针式，双金属游丝测温，游丝部位可见。盘面直径不小于150mm</w:t>
            </w:r>
          </w:p>
        </w:tc>
        <w:tc>
          <w:tcPr>
            <w:tcW w:w="771" w:type="dxa"/>
            <w:tcBorders>
              <w:tl2br w:val="nil"/>
              <w:tr2bl w:val="nil"/>
            </w:tcBorders>
            <w:shd w:val="clear" w:color="auto" w:fill="auto"/>
            <w:noWrap w:val="0"/>
            <w:vAlign w:val="center"/>
          </w:tcPr>
          <w:p w14:paraId="05F7B9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46C8C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B176B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6AC0D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37</w:t>
            </w:r>
          </w:p>
        </w:tc>
        <w:tc>
          <w:tcPr>
            <w:tcW w:w="1470" w:type="dxa"/>
            <w:tcBorders>
              <w:tl2br w:val="nil"/>
              <w:tr2bl w:val="nil"/>
            </w:tcBorders>
            <w:noWrap w:val="0"/>
            <w:vAlign w:val="center"/>
          </w:tcPr>
          <w:p w14:paraId="70167CF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体温计</w:t>
            </w:r>
          </w:p>
        </w:tc>
        <w:tc>
          <w:tcPr>
            <w:tcW w:w="1425" w:type="dxa"/>
            <w:tcBorders>
              <w:tl2br w:val="nil"/>
              <w:tr2bl w:val="nil"/>
            </w:tcBorders>
            <w:noWrap w:val="0"/>
            <w:vAlign w:val="center"/>
          </w:tcPr>
          <w:p w14:paraId="4FB1BEF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87CED4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口腔用水银体温计，35℃～42℃，分度值0.1℃，应有“CCV”标志，盒式，带绳</w:t>
            </w:r>
          </w:p>
        </w:tc>
        <w:tc>
          <w:tcPr>
            <w:tcW w:w="771" w:type="dxa"/>
            <w:tcBorders>
              <w:tl2br w:val="nil"/>
              <w:tr2bl w:val="nil"/>
            </w:tcBorders>
            <w:shd w:val="clear" w:color="auto" w:fill="auto"/>
            <w:noWrap w:val="0"/>
            <w:vAlign w:val="center"/>
          </w:tcPr>
          <w:p w14:paraId="4F2497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w:t>
            </w:r>
          </w:p>
        </w:tc>
        <w:tc>
          <w:tcPr>
            <w:tcW w:w="772" w:type="dxa"/>
            <w:tcBorders>
              <w:tl2br w:val="nil"/>
              <w:tr2bl w:val="nil"/>
            </w:tcBorders>
            <w:noWrap w:val="0"/>
            <w:vAlign w:val="center"/>
          </w:tcPr>
          <w:p w14:paraId="6B5D3F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25633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E46860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38</w:t>
            </w:r>
          </w:p>
        </w:tc>
        <w:tc>
          <w:tcPr>
            <w:tcW w:w="1470" w:type="dxa"/>
            <w:tcBorders>
              <w:tl2br w:val="nil"/>
              <w:tr2bl w:val="nil"/>
            </w:tcBorders>
            <w:noWrap w:val="0"/>
            <w:vAlign w:val="center"/>
          </w:tcPr>
          <w:p w14:paraId="07E502A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电子体温计</w:t>
            </w:r>
          </w:p>
        </w:tc>
        <w:tc>
          <w:tcPr>
            <w:tcW w:w="1425" w:type="dxa"/>
            <w:tcBorders>
              <w:tl2br w:val="nil"/>
              <w:tr2bl w:val="nil"/>
            </w:tcBorders>
            <w:noWrap w:val="0"/>
            <w:vAlign w:val="center"/>
          </w:tcPr>
          <w:p w14:paraId="743222B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265BC6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35.0℃～41.0℃，分辨率0.1℃，测量稳定时有提示或标志，记忆一次测量数据，自动关机</w:t>
            </w:r>
          </w:p>
        </w:tc>
        <w:tc>
          <w:tcPr>
            <w:tcW w:w="771" w:type="dxa"/>
            <w:tcBorders>
              <w:tl2br w:val="nil"/>
              <w:tr2bl w:val="nil"/>
            </w:tcBorders>
            <w:shd w:val="clear" w:color="auto" w:fill="auto"/>
            <w:noWrap w:val="0"/>
            <w:vAlign w:val="center"/>
          </w:tcPr>
          <w:p w14:paraId="31EA557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A1A0E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02401A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8885E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39</w:t>
            </w:r>
          </w:p>
        </w:tc>
        <w:tc>
          <w:tcPr>
            <w:tcW w:w="1470" w:type="dxa"/>
            <w:tcBorders>
              <w:tl2br w:val="nil"/>
              <w:tr2bl w:val="nil"/>
            </w:tcBorders>
            <w:noWrap w:val="0"/>
            <w:vAlign w:val="center"/>
          </w:tcPr>
          <w:p w14:paraId="50CFA7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最高温度表</w:t>
            </w:r>
          </w:p>
        </w:tc>
        <w:tc>
          <w:tcPr>
            <w:tcW w:w="1425" w:type="dxa"/>
            <w:tcBorders>
              <w:tl2br w:val="nil"/>
              <w:tr2bl w:val="nil"/>
            </w:tcBorders>
            <w:noWrap w:val="0"/>
            <w:vAlign w:val="center"/>
          </w:tcPr>
          <w:p w14:paraId="29674CA9">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3A1B27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—15℃～80℃，分度值0.5℃</w:t>
            </w:r>
          </w:p>
        </w:tc>
        <w:tc>
          <w:tcPr>
            <w:tcW w:w="771" w:type="dxa"/>
            <w:tcBorders>
              <w:tl2br w:val="nil"/>
              <w:tr2bl w:val="nil"/>
            </w:tcBorders>
            <w:shd w:val="clear" w:color="auto" w:fill="auto"/>
            <w:noWrap w:val="0"/>
            <w:vAlign w:val="center"/>
          </w:tcPr>
          <w:p w14:paraId="11D3916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0167E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72AE41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B350A2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40</w:t>
            </w:r>
          </w:p>
        </w:tc>
        <w:tc>
          <w:tcPr>
            <w:tcW w:w="1470" w:type="dxa"/>
            <w:tcBorders>
              <w:tl2br w:val="nil"/>
              <w:tr2bl w:val="nil"/>
            </w:tcBorders>
            <w:noWrap w:val="0"/>
            <w:vAlign w:val="center"/>
          </w:tcPr>
          <w:p w14:paraId="374BC7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最低温度表</w:t>
            </w:r>
          </w:p>
        </w:tc>
        <w:tc>
          <w:tcPr>
            <w:tcW w:w="1425" w:type="dxa"/>
            <w:tcBorders>
              <w:tl2br w:val="nil"/>
              <w:tr2bl w:val="nil"/>
            </w:tcBorders>
            <w:noWrap w:val="0"/>
            <w:vAlign w:val="center"/>
          </w:tcPr>
          <w:p w14:paraId="31AC6AB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1D02A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—50℃～40℃，分度值0.5℃</w:t>
            </w:r>
          </w:p>
        </w:tc>
        <w:tc>
          <w:tcPr>
            <w:tcW w:w="771" w:type="dxa"/>
            <w:tcBorders>
              <w:tl2br w:val="nil"/>
              <w:tr2bl w:val="nil"/>
            </w:tcBorders>
            <w:shd w:val="clear" w:color="auto" w:fill="auto"/>
            <w:noWrap w:val="0"/>
            <w:vAlign w:val="center"/>
          </w:tcPr>
          <w:p w14:paraId="1ED0DF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DDADD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00535B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3D32C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41</w:t>
            </w:r>
          </w:p>
        </w:tc>
        <w:tc>
          <w:tcPr>
            <w:tcW w:w="1470" w:type="dxa"/>
            <w:tcBorders>
              <w:tl2br w:val="nil"/>
              <w:tr2bl w:val="nil"/>
            </w:tcBorders>
            <w:noWrap w:val="0"/>
            <w:vAlign w:val="center"/>
          </w:tcPr>
          <w:p w14:paraId="603B20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干湿球温度计</w:t>
            </w:r>
          </w:p>
        </w:tc>
        <w:tc>
          <w:tcPr>
            <w:tcW w:w="1425" w:type="dxa"/>
            <w:tcBorders>
              <w:tl2br w:val="nil"/>
              <w:tr2bl w:val="nil"/>
            </w:tcBorders>
            <w:noWrap w:val="0"/>
            <w:vAlign w:val="center"/>
          </w:tcPr>
          <w:p w14:paraId="635252E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CDD4E0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—35℃～45℃，分度值0.5℃，外形尺寸300mm×100mm×30mm。附对照表</w:t>
            </w:r>
          </w:p>
        </w:tc>
        <w:tc>
          <w:tcPr>
            <w:tcW w:w="771" w:type="dxa"/>
            <w:tcBorders>
              <w:tl2br w:val="nil"/>
              <w:tr2bl w:val="nil"/>
            </w:tcBorders>
            <w:shd w:val="clear" w:color="auto" w:fill="auto"/>
            <w:noWrap w:val="0"/>
            <w:vAlign w:val="center"/>
          </w:tcPr>
          <w:p w14:paraId="00EB95E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w:t>
            </w:r>
          </w:p>
        </w:tc>
        <w:tc>
          <w:tcPr>
            <w:tcW w:w="772" w:type="dxa"/>
            <w:tcBorders>
              <w:tl2br w:val="nil"/>
              <w:tr2bl w:val="nil"/>
            </w:tcBorders>
            <w:noWrap w:val="0"/>
            <w:vAlign w:val="center"/>
          </w:tcPr>
          <w:p w14:paraId="370C32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付</w:t>
            </w:r>
          </w:p>
        </w:tc>
      </w:tr>
      <w:tr w14:paraId="6B04E6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BA6CD4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42</w:t>
            </w:r>
          </w:p>
        </w:tc>
        <w:tc>
          <w:tcPr>
            <w:tcW w:w="1470" w:type="dxa"/>
            <w:tcBorders>
              <w:tl2br w:val="nil"/>
              <w:tr2bl w:val="nil"/>
            </w:tcBorders>
            <w:noWrap w:val="0"/>
            <w:vAlign w:val="center"/>
          </w:tcPr>
          <w:p w14:paraId="1B755BC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条形盒测力计</w:t>
            </w:r>
          </w:p>
        </w:tc>
        <w:tc>
          <w:tcPr>
            <w:tcW w:w="1425" w:type="dxa"/>
            <w:tcBorders>
              <w:tl2br w:val="nil"/>
              <w:tr2bl w:val="nil"/>
            </w:tcBorders>
            <w:noWrap w:val="0"/>
            <w:vAlign w:val="center"/>
          </w:tcPr>
          <w:p w14:paraId="50143034">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D38C53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盒式，指针式，0N～10N，分度值0.2N。刻度尺长80mm</w:t>
            </w:r>
          </w:p>
        </w:tc>
        <w:tc>
          <w:tcPr>
            <w:tcW w:w="771" w:type="dxa"/>
            <w:tcBorders>
              <w:tl2br w:val="nil"/>
              <w:tr2bl w:val="nil"/>
            </w:tcBorders>
            <w:shd w:val="clear" w:color="auto" w:fill="auto"/>
            <w:noWrap w:val="0"/>
            <w:vAlign w:val="center"/>
          </w:tcPr>
          <w:p w14:paraId="38C80E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772" w:type="dxa"/>
            <w:tcBorders>
              <w:tl2br w:val="nil"/>
              <w:tr2bl w:val="nil"/>
            </w:tcBorders>
            <w:noWrap w:val="0"/>
            <w:vAlign w:val="center"/>
          </w:tcPr>
          <w:p w14:paraId="435DBF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E7A75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6A541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43</w:t>
            </w:r>
          </w:p>
        </w:tc>
        <w:tc>
          <w:tcPr>
            <w:tcW w:w="1470" w:type="dxa"/>
            <w:tcBorders>
              <w:tl2br w:val="nil"/>
              <w:tr2bl w:val="nil"/>
            </w:tcBorders>
            <w:noWrap w:val="0"/>
            <w:vAlign w:val="center"/>
          </w:tcPr>
          <w:p w14:paraId="000237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条形盒测力计</w:t>
            </w:r>
          </w:p>
        </w:tc>
        <w:tc>
          <w:tcPr>
            <w:tcW w:w="1425" w:type="dxa"/>
            <w:tcBorders>
              <w:tl2br w:val="nil"/>
              <w:tr2bl w:val="nil"/>
            </w:tcBorders>
            <w:noWrap w:val="0"/>
            <w:vAlign w:val="center"/>
          </w:tcPr>
          <w:p w14:paraId="5521945A">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51F857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盒式，指针式，0N～5N，分度值0.1N。刻度尺长80mm</w:t>
            </w:r>
          </w:p>
        </w:tc>
        <w:tc>
          <w:tcPr>
            <w:tcW w:w="771" w:type="dxa"/>
            <w:tcBorders>
              <w:tl2br w:val="nil"/>
              <w:tr2bl w:val="nil"/>
            </w:tcBorders>
            <w:shd w:val="clear" w:color="auto" w:fill="auto"/>
            <w:noWrap w:val="0"/>
            <w:vAlign w:val="center"/>
          </w:tcPr>
          <w:p w14:paraId="354BF4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507004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C6CB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CCAC7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44</w:t>
            </w:r>
          </w:p>
        </w:tc>
        <w:tc>
          <w:tcPr>
            <w:tcW w:w="1470" w:type="dxa"/>
            <w:tcBorders>
              <w:tl2br w:val="nil"/>
              <w:tr2bl w:val="nil"/>
            </w:tcBorders>
            <w:noWrap w:val="0"/>
            <w:vAlign w:val="center"/>
          </w:tcPr>
          <w:p w14:paraId="6C0002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条形盒测力计</w:t>
            </w:r>
          </w:p>
        </w:tc>
        <w:tc>
          <w:tcPr>
            <w:tcW w:w="1425" w:type="dxa"/>
            <w:tcBorders>
              <w:tl2br w:val="nil"/>
              <w:tr2bl w:val="nil"/>
            </w:tcBorders>
            <w:noWrap w:val="0"/>
            <w:vAlign w:val="center"/>
          </w:tcPr>
          <w:p w14:paraId="43D4F19C">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AF9F66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盒式，指针式，0N～2.5N，分度值0.05N。刻度尺长80mm</w:t>
            </w:r>
          </w:p>
        </w:tc>
        <w:tc>
          <w:tcPr>
            <w:tcW w:w="771" w:type="dxa"/>
            <w:tcBorders>
              <w:tl2br w:val="nil"/>
              <w:tr2bl w:val="nil"/>
            </w:tcBorders>
            <w:shd w:val="clear" w:color="auto" w:fill="auto"/>
            <w:noWrap w:val="0"/>
            <w:vAlign w:val="center"/>
          </w:tcPr>
          <w:p w14:paraId="6F9061F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28AFD6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062B2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3A78C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45</w:t>
            </w:r>
          </w:p>
        </w:tc>
        <w:tc>
          <w:tcPr>
            <w:tcW w:w="1470" w:type="dxa"/>
            <w:tcBorders>
              <w:tl2br w:val="nil"/>
              <w:tr2bl w:val="nil"/>
            </w:tcBorders>
            <w:noWrap w:val="0"/>
            <w:vAlign w:val="center"/>
          </w:tcPr>
          <w:p w14:paraId="7740C4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条形盒测力计</w:t>
            </w:r>
          </w:p>
        </w:tc>
        <w:tc>
          <w:tcPr>
            <w:tcW w:w="1425" w:type="dxa"/>
            <w:tcBorders>
              <w:tl2br w:val="nil"/>
              <w:tr2bl w:val="nil"/>
            </w:tcBorders>
            <w:noWrap w:val="0"/>
            <w:vAlign w:val="center"/>
          </w:tcPr>
          <w:p w14:paraId="2F9AAD0A">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F51DC1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盒式，指针式，0N～1N，分度值0.02N。刻度尺长80mm</w:t>
            </w:r>
          </w:p>
        </w:tc>
        <w:tc>
          <w:tcPr>
            <w:tcW w:w="771" w:type="dxa"/>
            <w:tcBorders>
              <w:tl2br w:val="nil"/>
              <w:tr2bl w:val="nil"/>
            </w:tcBorders>
            <w:shd w:val="clear" w:color="auto" w:fill="auto"/>
            <w:noWrap w:val="0"/>
            <w:vAlign w:val="center"/>
          </w:tcPr>
          <w:p w14:paraId="35CA077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0C3B417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CA712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427E5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46</w:t>
            </w:r>
          </w:p>
        </w:tc>
        <w:tc>
          <w:tcPr>
            <w:tcW w:w="1470" w:type="dxa"/>
            <w:tcBorders>
              <w:tl2br w:val="nil"/>
              <w:tr2bl w:val="nil"/>
            </w:tcBorders>
            <w:noWrap w:val="0"/>
            <w:vAlign w:val="center"/>
          </w:tcPr>
          <w:p w14:paraId="3FB12B0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圆筒测力计</w:t>
            </w:r>
          </w:p>
        </w:tc>
        <w:tc>
          <w:tcPr>
            <w:tcW w:w="1425" w:type="dxa"/>
            <w:tcBorders>
              <w:tl2br w:val="nil"/>
              <w:tr2bl w:val="nil"/>
            </w:tcBorders>
            <w:noWrap w:val="0"/>
            <w:vAlign w:val="center"/>
          </w:tcPr>
          <w:p w14:paraId="337BFED4">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DAD0A1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外筒端面指示，0N～5N，分度值0.1N，刻度尺长100mm</w:t>
            </w:r>
          </w:p>
        </w:tc>
        <w:tc>
          <w:tcPr>
            <w:tcW w:w="771" w:type="dxa"/>
            <w:tcBorders>
              <w:tl2br w:val="nil"/>
              <w:tr2bl w:val="nil"/>
            </w:tcBorders>
            <w:shd w:val="clear" w:color="auto" w:fill="auto"/>
            <w:noWrap w:val="0"/>
            <w:vAlign w:val="center"/>
          </w:tcPr>
          <w:p w14:paraId="2C2F007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3D98E6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5705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DA5246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47</w:t>
            </w:r>
          </w:p>
        </w:tc>
        <w:tc>
          <w:tcPr>
            <w:tcW w:w="1470" w:type="dxa"/>
            <w:tcBorders>
              <w:tl2br w:val="nil"/>
              <w:tr2bl w:val="nil"/>
            </w:tcBorders>
            <w:noWrap w:val="0"/>
            <w:vAlign w:val="center"/>
          </w:tcPr>
          <w:p w14:paraId="5AE03C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圆筒测力计</w:t>
            </w:r>
          </w:p>
        </w:tc>
        <w:tc>
          <w:tcPr>
            <w:tcW w:w="1425" w:type="dxa"/>
            <w:tcBorders>
              <w:tl2br w:val="nil"/>
              <w:tr2bl w:val="nil"/>
            </w:tcBorders>
            <w:noWrap w:val="0"/>
            <w:vAlign w:val="center"/>
          </w:tcPr>
          <w:p w14:paraId="63C23B90">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D1B189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外筒端面指示，0N～1N，分度值0.02N，刻度尺长100mm</w:t>
            </w:r>
          </w:p>
        </w:tc>
        <w:tc>
          <w:tcPr>
            <w:tcW w:w="771" w:type="dxa"/>
            <w:tcBorders>
              <w:tl2br w:val="nil"/>
              <w:tr2bl w:val="nil"/>
            </w:tcBorders>
            <w:shd w:val="clear" w:color="auto" w:fill="auto"/>
            <w:noWrap w:val="0"/>
            <w:vAlign w:val="center"/>
          </w:tcPr>
          <w:p w14:paraId="5FF9FC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3D0B77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EEF6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9E01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48</w:t>
            </w:r>
          </w:p>
        </w:tc>
        <w:tc>
          <w:tcPr>
            <w:tcW w:w="1470" w:type="dxa"/>
            <w:tcBorders>
              <w:tl2br w:val="nil"/>
              <w:tr2bl w:val="nil"/>
            </w:tcBorders>
            <w:noWrap w:val="0"/>
            <w:vAlign w:val="center"/>
          </w:tcPr>
          <w:p w14:paraId="3600D9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平板测力计</w:t>
            </w:r>
          </w:p>
        </w:tc>
        <w:tc>
          <w:tcPr>
            <w:tcW w:w="1425" w:type="dxa"/>
            <w:tcBorders>
              <w:tl2br w:val="nil"/>
              <w:tr2bl w:val="nil"/>
            </w:tcBorders>
            <w:noWrap w:val="0"/>
            <w:vAlign w:val="center"/>
          </w:tcPr>
          <w:p w14:paraId="3974FDA7">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68E0C4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平板指针式，0N～5N，分度值0.1N。刻度尺长100mm</w:t>
            </w:r>
          </w:p>
        </w:tc>
        <w:tc>
          <w:tcPr>
            <w:tcW w:w="771" w:type="dxa"/>
            <w:tcBorders>
              <w:tl2br w:val="nil"/>
              <w:tr2bl w:val="nil"/>
            </w:tcBorders>
            <w:shd w:val="clear" w:color="auto" w:fill="auto"/>
            <w:noWrap w:val="0"/>
            <w:vAlign w:val="center"/>
          </w:tcPr>
          <w:p w14:paraId="4CD6F16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5CAA47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54D29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49A787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49</w:t>
            </w:r>
          </w:p>
        </w:tc>
        <w:tc>
          <w:tcPr>
            <w:tcW w:w="1470" w:type="dxa"/>
            <w:tcBorders>
              <w:tl2br w:val="nil"/>
              <w:tr2bl w:val="nil"/>
            </w:tcBorders>
            <w:noWrap w:val="0"/>
            <w:vAlign w:val="center"/>
          </w:tcPr>
          <w:p w14:paraId="33BD12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演示测力计</w:t>
            </w:r>
          </w:p>
        </w:tc>
        <w:tc>
          <w:tcPr>
            <w:tcW w:w="1425" w:type="dxa"/>
            <w:tcBorders>
              <w:tl2br w:val="nil"/>
              <w:tr2bl w:val="nil"/>
            </w:tcBorders>
            <w:noWrap w:val="0"/>
            <w:vAlign w:val="center"/>
          </w:tcPr>
          <w:p w14:paraId="52E3449A">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F61AFD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平板指针式，0N～2N，分度值0.04N，刻度尺寸长200mm</w:t>
            </w:r>
          </w:p>
        </w:tc>
        <w:tc>
          <w:tcPr>
            <w:tcW w:w="771" w:type="dxa"/>
            <w:tcBorders>
              <w:tl2br w:val="nil"/>
              <w:tr2bl w:val="nil"/>
            </w:tcBorders>
            <w:shd w:val="clear" w:color="auto" w:fill="auto"/>
            <w:noWrap w:val="0"/>
            <w:vAlign w:val="center"/>
          </w:tcPr>
          <w:p w14:paraId="6DD1C3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4D2B8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97470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C947E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50</w:t>
            </w:r>
          </w:p>
        </w:tc>
        <w:tc>
          <w:tcPr>
            <w:tcW w:w="1470" w:type="dxa"/>
            <w:tcBorders>
              <w:tl2br w:val="nil"/>
              <w:tr2bl w:val="nil"/>
            </w:tcBorders>
            <w:noWrap w:val="0"/>
            <w:vAlign w:val="center"/>
          </w:tcPr>
          <w:p w14:paraId="56313F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拉压测力计</w:t>
            </w:r>
          </w:p>
        </w:tc>
        <w:tc>
          <w:tcPr>
            <w:tcW w:w="1425" w:type="dxa"/>
            <w:tcBorders>
              <w:tl2br w:val="nil"/>
              <w:tr2bl w:val="nil"/>
            </w:tcBorders>
            <w:noWrap w:val="0"/>
            <w:vAlign w:val="center"/>
          </w:tcPr>
          <w:p w14:paraId="5E047819">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C10C07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盒式，指针式，－10N～10N，分度值0.2N，刻度尺寸长125mm</w:t>
            </w:r>
          </w:p>
        </w:tc>
        <w:tc>
          <w:tcPr>
            <w:tcW w:w="771" w:type="dxa"/>
            <w:tcBorders>
              <w:tl2br w:val="nil"/>
              <w:tr2bl w:val="nil"/>
            </w:tcBorders>
            <w:shd w:val="clear" w:color="auto" w:fill="auto"/>
            <w:noWrap w:val="0"/>
            <w:vAlign w:val="center"/>
          </w:tcPr>
          <w:p w14:paraId="233476F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5D27CD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E2644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40816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51</w:t>
            </w:r>
          </w:p>
        </w:tc>
        <w:tc>
          <w:tcPr>
            <w:tcW w:w="1470" w:type="dxa"/>
            <w:tcBorders>
              <w:tl2br w:val="nil"/>
              <w:tr2bl w:val="nil"/>
            </w:tcBorders>
            <w:noWrap w:val="0"/>
            <w:vAlign w:val="center"/>
          </w:tcPr>
          <w:p w14:paraId="237162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演示电表</w:t>
            </w:r>
          </w:p>
        </w:tc>
        <w:tc>
          <w:tcPr>
            <w:tcW w:w="1425" w:type="dxa"/>
            <w:tcBorders>
              <w:tl2br w:val="nil"/>
              <w:tr2bl w:val="nil"/>
            </w:tcBorders>
            <w:noWrap w:val="0"/>
            <w:vAlign w:val="center"/>
          </w:tcPr>
          <w:p w14:paraId="7797356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B0BB90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DC：200μA、0.5A、2.5A,2.5V、10V；检流计：－100μA～0～100μA。5kΩ/V。2.5级</w:t>
            </w:r>
          </w:p>
        </w:tc>
        <w:tc>
          <w:tcPr>
            <w:tcW w:w="771" w:type="dxa"/>
            <w:tcBorders>
              <w:tl2br w:val="nil"/>
              <w:tr2bl w:val="nil"/>
            </w:tcBorders>
            <w:shd w:val="clear" w:color="auto" w:fill="auto"/>
            <w:noWrap w:val="0"/>
            <w:vAlign w:val="center"/>
          </w:tcPr>
          <w:p w14:paraId="7B0D15B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3A80330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75E635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C9C9E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52</w:t>
            </w:r>
          </w:p>
        </w:tc>
        <w:tc>
          <w:tcPr>
            <w:tcW w:w="1470" w:type="dxa"/>
            <w:tcBorders>
              <w:tl2br w:val="nil"/>
              <w:tr2bl w:val="nil"/>
            </w:tcBorders>
            <w:noWrap w:val="0"/>
            <w:vAlign w:val="center"/>
          </w:tcPr>
          <w:p w14:paraId="6B4E54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数字演示电表</w:t>
            </w:r>
          </w:p>
        </w:tc>
        <w:tc>
          <w:tcPr>
            <w:tcW w:w="1425" w:type="dxa"/>
            <w:tcBorders>
              <w:tl2br w:val="nil"/>
              <w:tr2bl w:val="nil"/>
            </w:tcBorders>
            <w:noWrap w:val="0"/>
            <w:vAlign w:val="center"/>
          </w:tcPr>
          <w:p w14:paraId="2A33A81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52BA9F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4-1/2位。DC：200mA/2mA/20mA/200mA/2A/20A，0.1级。2V/20V/200V，0.05级。200Ω/2KΩ/20 kΩ/200kKΩ/2MΩ/20MΩ，0.1级。AC：2mA/20mA/200mA/2A，1.0级，2V/20V/200V/700V，0.5级。通断，满量程2V，蜂鸣器。温度－20℃～150℃，0℃～100℃范围内±0.2℃，其余±0.3℃。双面字符，2A、20A以外自动换档。使用交流电源</w:t>
            </w:r>
          </w:p>
        </w:tc>
        <w:tc>
          <w:tcPr>
            <w:tcW w:w="771" w:type="dxa"/>
            <w:tcBorders>
              <w:tl2br w:val="nil"/>
              <w:tr2bl w:val="nil"/>
            </w:tcBorders>
            <w:shd w:val="clear" w:color="auto" w:fill="auto"/>
            <w:noWrap w:val="0"/>
            <w:vAlign w:val="center"/>
          </w:tcPr>
          <w:p w14:paraId="5CA42B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2606BD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7A336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06833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53</w:t>
            </w:r>
          </w:p>
        </w:tc>
        <w:tc>
          <w:tcPr>
            <w:tcW w:w="1470" w:type="dxa"/>
            <w:tcBorders>
              <w:tl2br w:val="nil"/>
              <w:tr2bl w:val="nil"/>
            </w:tcBorders>
            <w:noWrap w:val="0"/>
            <w:vAlign w:val="center"/>
          </w:tcPr>
          <w:p w14:paraId="2616D2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绝缘电阻表</w:t>
            </w:r>
          </w:p>
        </w:tc>
        <w:tc>
          <w:tcPr>
            <w:tcW w:w="1425" w:type="dxa"/>
            <w:tcBorders>
              <w:tl2br w:val="nil"/>
              <w:tr2bl w:val="nil"/>
            </w:tcBorders>
            <w:noWrap w:val="0"/>
            <w:vAlign w:val="center"/>
          </w:tcPr>
          <w:p w14:paraId="3C95B21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DFB2D9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ZC25-3型，500V，500MΩ</w:t>
            </w:r>
          </w:p>
        </w:tc>
        <w:tc>
          <w:tcPr>
            <w:tcW w:w="771" w:type="dxa"/>
            <w:tcBorders>
              <w:tl2br w:val="nil"/>
              <w:tr2bl w:val="nil"/>
            </w:tcBorders>
            <w:shd w:val="clear" w:color="auto" w:fill="auto"/>
            <w:noWrap w:val="0"/>
            <w:vAlign w:val="center"/>
          </w:tcPr>
          <w:p w14:paraId="0DE6DE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FE861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367B4F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8F3D6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54</w:t>
            </w:r>
          </w:p>
        </w:tc>
        <w:tc>
          <w:tcPr>
            <w:tcW w:w="1470" w:type="dxa"/>
            <w:tcBorders>
              <w:tl2br w:val="nil"/>
              <w:tr2bl w:val="nil"/>
            </w:tcBorders>
            <w:noWrap w:val="0"/>
            <w:vAlign w:val="center"/>
          </w:tcPr>
          <w:p w14:paraId="0CD109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直流电流表</w:t>
            </w:r>
          </w:p>
        </w:tc>
        <w:tc>
          <w:tcPr>
            <w:tcW w:w="1425" w:type="dxa"/>
            <w:tcBorders>
              <w:tl2br w:val="nil"/>
              <w:tr2bl w:val="nil"/>
            </w:tcBorders>
            <w:noWrap w:val="0"/>
            <w:vAlign w:val="center"/>
          </w:tcPr>
          <w:p w14:paraId="6A015F9F">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732262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2.5级，0.6A/3A，压降：75mV。</w:t>
            </w:r>
          </w:p>
        </w:tc>
        <w:tc>
          <w:tcPr>
            <w:tcW w:w="771" w:type="dxa"/>
            <w:tcBorders>
              <w:tl2br w:val="nil"/>
              <w:tr2bl w:val="nil"/>
            </w:tcBorders>
            <w:shd w:val="clear" w:color="auto" w:fill="auto"/>
            <w:noWrap w:val="0"/>
            <w:vAlign w:val="center"/>
          </w:tcPr>
          <w:p w14:paraId="3916A9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772" w:type="dxa"/>
            <w:tcBorders>
              <w:tl2br w:val="nil"/>
              <w:tr2bl w:val="nil"/>
            </w:tcBorders>
            <w:noWrap w:val="0"/>
            <w:vAlign w:val="center"/>
          </w:tcPr>
          <w:p w14:paraId="639A5E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627ADD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EDEFD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55</w:t>
            </w:r>
          </w:p>
        </w:tc>
        <w:tc>
          <w:tcPr>
            <w:tcW w:w="1470" w:type="dxa"/>
            <w:tcBorders>
              <w:tl2br w:val="nil"/>
              <w:tr2bl w:val="nil"/>
            </w:tcBorders>
            <w:noWrap w:val="0"/>
            <w:vAlign w:val="center"/>
          </w:tcPr>
          <w:p w14:paraId="53B021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直流电压表</w:t>
            </w:r>
          </w:p>
        </w:tc>
        <w:tc>
          <w:tcPr>
            <w:tcW w:w="1425" w:type="dxa"/>
            <w:tcBorders>
              <w:tl2br w:val="nil"/>
              <w:tr2bl w:val="nil"/>
            </w:tcBorders>
            <w:noWrap w:val="0"/>
            <w:vAlign w:val="center"/>
          </w:tcPr>
          <w:p w14:paraId="304A630C">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2751C7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2.5级，3V/15V，满度电流：1mA。</w:t>
            </w:r>
          </w:p>
        </w:tc>
        <w:tc>
          <w:tcPr>
            <w:tcW w:w="771" w:type="dxa"/>
            <w:tcBorders>
              <w:tl2br w:val="nil"/>
              <w:tr2bl w:val="nil"/>
            </w:tcBorders>
            <w:shd w:val="clear" w:color="auto" w:fill="auto"/>
            <w:noWrap w:val="0"/>
            <w:vAlign w:val="center"/>
          </w:tcPr>
          <w:p w14:paraId="69D12CD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772" w:type="dxa"/>
            <w:tcBorders>
              <w:tl2br w:val="nil"/>
              <w:tr2bl w:val="nil"/>
            </w:tcBorders>
            <w:noWrap w:val="0"/>
            <w:vAlign w:val="center"/>
          </w:tcPr>
          <w:p w14:paraId="0882DE6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68B28A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A94CC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56</w:t>
            </w:r>
          </w:p>
        </w:tc>
        <w:tc>
          <w:tcPr>
            <w:tcW w:w="1470" w:type="dxa"/>
            <w:tcBorders>
              <w:tl2br w:val="nil"/>
              <w:tr2bl w:val="nil"/>
            </w:tcBorders>
            <w:noWrap w:val="0"/>
            <w:vAlign w:val="center"/>
          </w:tcPr>
          <w:p w14:paraId="702A8E2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灵敏电流计</w:t>
            </w:r>
          </w:p>
        </w:tc>
        <w:tc>
          <w:tcPr>
            <w:tcW w:w="1425" w:type="dxa"/>
            <w:tcBorders>
              <w:tl2br w:val="nil"/>
              <w:tr2bl w:val="nil"/>
            </w:tcBorders>
            <w:noWrap w:val="0"/>
            <w:vAlign w:val="center"/>
          </w:tcPr>
          <w:p w14:paraId="5FF4C46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C403E3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－300μA～0～300μA，G0档内阻80～125Ω；G1档内阻4kΩ～3.0kΩ。</w:t>
            </w:r>
          </w:p>
        </w:tc>
        <w:tc>
          <w:tcPr>
            <w:tcW w:w="771" w:type="dxa"/>
            <w:tcBorders>
              <w:tl2br w:val="nil"/>
              <w:tr2bl w:val="nil"/>
            </w:tcBorders>
            <w:shd w:val="clear" w:color="auto" w:fill="auto"/>
            <w:noWrap w:val="0"/>
            <w:vAlign w:val="center"/>
          </w:tcPr>
          <w:p w14:paraId="205ECA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6AAC1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3F7C26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A2CB1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57</w:t>
            </w:r>
          </w:p>
        </w:tc>
        <w:tc>
          <w:tcPr>
            <w:tcW w:w="1470" w:type="dxa"/>
            <w:tcBorders>
              <w:tl2br w:val="nil"/>
              <w:tr2bl w:val="nil"/>
            </w:tcBorders>
            <w:noWrap w:val="0"/>
            <w:vAlign w:val="center"/>
          </w:tcPr>
          <w:p w14:paraId="071217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多用电表</w:t>
            </w:r>
          </w:p>
        </w:tc>
        <w:tc>
          <w:tcPr>
            <w:tcW w:w="1425" w:type="dxa"/>
            <w:tcBorders>
              <w:tl2br w:val="nil"/>
              <w:tr2bl w:val="nil"/>
            </w:tcBorders>
            <w:noWrap w:val="0"/>
            <w:vAlign w:val="center"/>
          </w:tcPr>
          <w:p w14:paraId="478C826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EA02F5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DC：0.05mA～5A六档，0.25V～1000V八档，2.5级；AC：10V～1000V五档，R：×10～×10K四档。L：2H～1000H。C：0.03μF～0.3μF。一个转换开关</w:t>
            </w:r>
          </w:p>
        </w:tc>
        <w:tc>
          <w:tcPr>
            <w:tcW w:w="771" w:type="dxa"/>
            <w:tcBorders>
              <w:tl2br w:val="nil"/>
              <w:tr2bl w:val="nil"/>
            </w:tcBorders>
            <w:shd w:val="clear" w:color="auto" w:fill="auto"/>
            <w:noWrap w:val="0"/>
            <w:vAlign w:val="center"/>
          </w:tcPr>
          <w:p w14:paraId="5F8683F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3C3C27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751891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E73BF2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58</w:t>
            </w:r>
          </w:p>
        </w:tc>
        <w:tc>
          <w:tcPr>
            <w:tcW w:w="1470" w:type="dxa"/>
            <w:tcBorders>
              <w:tl2br w:val="nil"/>
              <w:tr2bl w:val="nil"/>
            </w:tcBorders>
            <w:noWrap w:val="0"/>
            <w:vAlign w:val="center"/>
          </w:tcPr>
          <w:p w14:paraId="5C511E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数字多用电表</w:t>
            </w:r>
          </w:p>
        </w:tc>
        <w:tc>
          <w:tcPr>
            <w:tcW w:w="1425" w:type="dxa"/>
            <w:tcBorders>
              <w:tl2br w:val="nil"/>
              <w:tr2bl w:val="nil"/>
            </w:tcBorders>
            <w:noWrap w:val="0"/>
            <w:vAlign w:val="center"/>
          </w:tcPr>
          <w:p w14:paraId="0FAAB983">
            <w:pPr>
              <w:jc w:val="both"/>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5C8C08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-1/2位，DCV：200mV～1000V，ACV：200mV～700V，DCA：2mA～20A，ACA：2mA～20A，R：200Ω～2000MΩ，L：2mH～20H，C：2nF～200μF，f：2kHz～10MHz，t：－40℃～1000℃，0.8％±4；二极管、三极管测试，通断，峰值保持，功能保护，防震保护（例如VC9808型）。</w:t>
            </w:r>
          </w:p>
        </w:tc>
        <w:tc>
          <w:tcPr>
            <w:tcW w:w="771" w:type="dxa"/>
            <w:tcBorders>
              <w:tl2br w:val="nil"/>
              <w:tr2bl w:val="nil"/>
            </w:tcBorders>
            <w:shd w:val="clear" w:color="auto" w:fill="auto"/>
            <w:noWrap w:val="0"/>
            <w:vAlign w:val="center"/>
          </w:tcPr>
          <w:p w14:paraId="4DD5E71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97B01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49006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84460B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59</w:t>
            </w:r>
          </w:p>
        </w:tc>
        <w:tc>
          <w:tcPr>
            <w:tcW w:w="1470" w:type="dxa"/>
            <w:tcBorders>
              <w:tl2br w:val="nil"/>
              <w:tr2bl w:val="nil"/>
            </w:tcBorders>
            <w:noWrap w:val="0"/>
            <w:vAlign w:val="center"/>
          </w:tcPr>
          <w:p w14:paraId="7357267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数字多用电表</w:t>
            </w:r>
          </w:p>
        </w:tc>
        <w:tc>
          <w:tcPr>
            <w:tcW w:w="1425" w:type="dxa"/>
            <w:tcBorders>
              <w:tl2br w:val="nil"/>
              <w:tr2bl w:val="nil"/>
            </w:tcBorders>
            <w:noWrap w:val="0"/>
            <w:vAlign w:val="center"/>
          </w:tcPr>
          <w:p w14:paraId="43A0A6D2">
            <w:pPr>
              <w:jc w:val="both"/>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1A9489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-1/2位，DCV：200mV～1000V，0.1％±5；ACV：200mV～750V，DCA：2mA～20A，ACA：200mA～20A，R：200Ω～20MΩ，电导：0.1nS～100nS，C：20nF～200μF，f：20kHz～200kHz，二极管、三极管测试，通断，峰值保持，功能保护，防震保护，（例：VC9807A±型）</w:t>
            </w:r>
          </w:p>
        </w:tc>
        <w:tc>
          <w:tcPr>
            <w:tcW w:w="771" w:type="dxa"/>
            <w:tcBorders>
              <w:tl2br w:val="nil"/>
              <w:tr2bl w:val="nil"/>
            </w:tcBorders>
            <w:shd w:val="clear" w:color="auto" w:fill="auto"/>
            <w:noWrap w:val="0"/>
            <w:vAlign w:val="center"/>
          </w:tcPr>
          <w:p w14:paraId="25DA805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81105D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3DF48A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C3988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60</w:t>
            </w:r>
          </w:p>
        </w:tc>
        <w:tc>
          <w:tcPr>
            <w:tcW w:w="1470" w:type="dxa"/>
            <w:tcBorders>
              <w:tl2br w:val="nil"/>
              <w:tr2bl w:val="nil"/>
            </w:tcBorders>
            <w:noWrap w:val="0"/>
            <w:vAlign w:val="center"/>
          </w:tcPr>
          <w:p w14:paraId="13DC80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教学示波器</w:t>
            </w:r>
          </w:p>
        </w:tc>
        <w:tc>
          <w:tcPr>
            <w:tcW w:w="1425" w:type="dxa"/>
            <w:tcBorders>
              <w:tl2br w:val="nil"/>
              <w:tr2bl w:val="nil"/>
            </w:tcBorders>
            <w:noWrap w:val="0"/>
            <w:vAlign w:val="center"/>
          </w:tcPr>
          <w:p w14:paraId="76235E8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168E8C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垂直系统频率DC～5MHz不超过3dB；最大输入电压：400V（DC±AC峰峰值）。电源交流噪声≤8mV。线性误差≤10％，显示8格×10格；中余辉，校准信号：方波，100Hz，100V</w:t>
            </w:r>
          </w:p>
        </w:tc>
        <w:tc>
          <w:tcPr>
            <w:tcW w:w="771" w:type="dxa"/>
            <w:tcBorders>
              <w:tl2br w:val="nil"/>
              <w:tr2bl w:val="nil"/>
            </w:tcBorders>
            <w:shd w:val="clear" w:color="auto" w:fill="auto"/>
            <w:noWrap w:val="0"/>
            <w:vAlign w:val="center"/>
          </w:tcPr>
          <w:p w14:paraId="4B45C46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929C4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6CB0C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8AD3FB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61</w:t>
            </w:r>
          </w:p>
        </w:tc>
        <w:tc>
          <w:tcPr>
            <w:tcW w:w="1470" w:type="dxa"/>
            <w:tcBorders>
              <w:tl2br w:val="nil"/>
              <w:tr2bl w:val="nil"/>
            </w:tcBorders>
            <w:noWrap w:val="0"/>
            <w:vAlign w:val="center"/>
          </w:tcPr>
          <w:p w14:paraId="0FD64F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密度计</w:t>
            </w:r>
          </w:p>
        </w:tc>
        <w:tc>
          <w:tcPr>
            <w:tcW w:w="1425" w:type="dxa"/>
            <w:tcBorders>
              <w:tl2br w:val="nil"/>
              <w:tr2bl w:val="nil"/>
            </w:tcBorders>
            <w:noWrap w:val="0"/>
            <w:vAlign w:val="center"/>
          </w:tcPr>
          <w:p w14:paraId="3315B7D3">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8C3EA7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测密度＞1，密度：1.000～2.000</w:t>
            </w:r>
          </w:p>
        </w:tc>
        <w:tc>
          <w:tcPr>
            <w:tcW w:w="771" w:type="dxa"/>
            <w:tcBorders>
              <w:tl2br w:val="nil"/>
              <w:tr2bl w:val="nil"/>
            </w:tcBorders>
            <w:shd w:val="clear" w:color="auto" w:fill="auto"/>
            <w:noWrap w:val="0"/>
            <w:vAlign w:val="center"/>
          </w:tcPr>
          <w:p w14:paraId="6E81064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682A66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7A23FB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38EEF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62</w:t>
            </w:r>
          </w:p>
        </w:tc>
        <w:tc>
          <w:tcPr>
            <w:tcW w:w="1470" w:type="dxa"/>
            <w:tcBorders>
              <w:tl2br w:val="nil"/>
              <w:tr2bl w:val="nil"/>
            </w:tcBorders>
            <w:noWrap w:val="0"/>
            <w:vAlign w:val="center"/>
          </w:tcPr>
          <w:p w14:paraId="40EABD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密度计</w:t>
            </w:r>
          </w:p>
        </w:tc>
        <w:tc>
          <w:tcPr>
            <w:tcW w:w="1425" w:type="dxa"/>
            <w:tcBorders>
              <w:tl2br w:val="nil"/>
              <w:tr2bl w:val="nil"/>
            </w:tcBorders>
            <w:noWrap w:val="0"/>
            <w:vAlign w:val="center"/>
          </w:tcPr>
          <w:p w14:paraId="1C8AC199">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534348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测密度＜1，密度：0.700～1.000</w:t>
            </w:r>
          </w:p>
        </w:tc>
        <w:tc>
          <w:tcPr>
            <w:tcW w:w="771" w:type="dxa"/>
            <w:tcBorders>
              <w:tl2br w:val="nil"/>
              <w:tr2bl w:val="nil"/>
            </w:tcBorders>
            <w:shd w:val="clear" w:color="auto" w:fill="auto"/>
            <w:noWrap w:val="0"/>
            <w:vAlign w:val="center"/>
          </w:tcPr>
          <w:p w14:paraId="18E85A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596CF6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0745AB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08D34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63</w:t>
            </w:r>
          </w:p>
        </w:tc>
        <w:tc>
          <w:tcPr>
            <w:tcW w:w="1470" w:type="dxa"/>
            <w:tcBorders>
              <w:tl2br w:val="nil"/>
              <w:tr2bl w:val="nil"/>
            </w:tcBorders>
            <w:noWrap w:val="0"/>
            <w:vAlign w:val="center"/>
          </w:tcPr>
          <w:p w14:paraId="1C1C89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酸度计(pH计)</w:t>
            </w:r>
          </w:p>
        </w:tc>
        <w:tc>
          <w:tcPr>
            <w:tcW w:w="1425" w:type="dxa"/>
            <w:tcBorders>
              <w:tl2br w:val="nil"/>
              <w:tr2bl w:val="nil"/>
            </w:tcBorders>
            <w:noWrap w:val="0"/>
            <w:vAlign w:val="center"/>
          </w:tcPr>
          <w:p w14:paraId="7AE1666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54A5F6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笔式，测量范围pH 0.0～14.0，0.2级。</w:t>
            </w:r>
          </w:p>
        </w:tc>
        <w:tc>
          <w:tcPr>
            <w:tcW w:w="771" w:type="dxa"/>
            <w:tcBorders>
              <w:tl2br w:val="nil"/>
              <w:tr2bl w:val="nil"/>
            </w:tcBorders>
            <w:noWrap w:val="0"/>
            <w:vAlign w:val="center"/>
          </w:tcPr>
          <w:p w14:paraId="007B33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4C9003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788A8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60335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64</w:t>
            </w:r>
          </w:p>
        </w:tc>
        <w:tc>
          <w:tcPr>
            <w:tcW w:w="1470" w:type="dxa"/>
            <w:tcBorders>
              <w:tl2br w:val="nil"/>
              <w:tr2bl w:val="nil"/>
            </w:tcBorders>
            <w:noWrap w:val="0"/>
            <w:vAlign w:val="center"/>
          </w:tcPr>
          <w:p w14:paraId="5E55E7C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罗盘</w:t>
            </w:r>
          </w:p>
        </w:tc>
        <w:tc>
          <w:tcPr>
            <w:tcW w:w="1425" w:type="dxa"/>
            <w:tcBorders>
              <w:tl2br w:val="nil"/>
              <w:tr2bl w:val="nil"/>
            </w:tcBorders>
            <w:noWrap w:val="0"/>
            <w:vAlign w:val="center"/>
          </w:tcPr>
          <w:p w14:paraId="304BBB2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5B95FB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地质罗盘，磁针在±5º内摆动次数≥5次，复位误差≤0.3º；垂直测角误差±1º；瞄准和导向装置与刻度盘0º～180º的平行度偏差±0.5º</w:t>
            </w:r>
          </w:p>
        </w:tc>
        <w:tc>
          <w:tcPr>
            <w:tcW w:w="771" w:type="dxa"/>
            <w:tcBorders>
              <w:tl2br w:val="nil"/>
              <w:tr2bl w:val="nil"/>
            </w:tcBorders>
            <w:noWrap w:val="0"/>
            <w:vAlign w:val="center"/>
          </w:tcPr>
          <w:p w14:paraId="395EA95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8CE8B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50D2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C103D7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65</w:t>
            </w:r>
          </w:p>
        </w:tc>
        <w:tc>
          <w:tcPr>
            <w:tcW w:w="1470" w:type="dxa"/>
            <w:tcBorders>
              <w:tl2br w:val="nil"/>
              <w:tr2bl w:val="nil"/>
            </w:tcBorders>
            <w:noWrap w:val="0"/>
            <w:vAlign w:val="center"/>
          </w:tcPr>
          <w:p w14:paraId="5587C0F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指南针</w:t>
            </w:r>
          </w:p>
        </w:tc>
        <w:tc>
          <w:tcPr>
            <w:tcW w:w="1425" w:type="dxa"/>
            <w:tcBorders>
              <w:tl2br w:val="nil"/>
              <w:tr2bl w:val="nil"/>
            </w:tcBorders>
            <w:noWrap w:val="0"/>
            <w:vAlign w:val="center"/>
          </w:tcPr>
          <w:p w14:paraId="122E7B0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66EFA7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全封闭，中文标示四个方向，分辨率5°，指向误差≤3°，定位时间≤5s，外径≥50mm</w:t>
            </w:r>
          </w:p>
        </w:tc>
        <w:tc>
          <w:tcPr>
            <w:tcW w:w="771" w:type="dxa"/>
            <w:tcBorders>
              <w:tl2br w:val="nil"/>
              <w:tr2bl w:val="nil"/>
            </w:tcBorders>
            <w:noWrap w:val="0"/>
            <w:vAlign w:val="center"/>
          </w:tcPr>
          <w:p w14:paraId="7DB322E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286116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26C9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A3F95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66</w:t>
            </w:r>
          </w:p>
        </w:tc>
        <w:tc>
          <w:tcPr>
            <w:tcW w:w="1470" w:type="dxa"/>
            <w:tcBorders>
              <w:tl2br w:val="nil"/>
              <w:tr2bl w:val="nil"/>
            </w:tcBorders>
            <w:noWrap w:val="0"/>
            <w:vAlign w:val="center"/>
          </w:tcPr>
          <w:p w14:paraId="70CAC71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空盒气压计</w:t>
            </w:r>
          </w:p>
        </w:tc>
        <w:tc>
          <w:tcPr>
            <w:tcW w:w="1425" w:type="dxa"/>
            <w:tcBorders>
              <w:tl2br w:val="nil"/>
              <w:tr2bl w:val="nil"/>
            </w:tcBorders>
            <w:noWrap w:val="0"/>
            <w:vAlign w:val="center"/>
          </w:tcPr>
          <w:p w14:paraId="7D4B31F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CA1DAC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多膜盒，80kPa～106kPa,倾斜90°时指针改变≤分度值，最大误差≤0.25kPa。</w:t>
            </w:r>
          </w:p>
        </w:tc>
        <w:tc>
          <w:tcPr>
            <w:tcW w:w="771" w:type="dxa"/>
            <w:tcBorders>
              <w:tl2br w:val="nil"/>
              <w:tr2bl w:val="nil"/>
            </w:tcBorders>
            <w:noWrap w:val="0"/>
            <w:vAlign w:val="center"/>
          </w:tcPr>
          <w:p w14:paraId="27AF965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1E4091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35F9EF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D46A7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67</w:t>
            </w:r>
          </w:p>
        </w:tc>
        <w:tc>
          <w:tcPr>
            <w:tcW w:w="1470" w:type="dxa"/>
            <w:tcBorders>
              <w:tl2br w:val="nil"/>
              <w:tr2bl w:val="nil"/>
            </w:tcBorders>
            <w:noWrap w:val="0"/>
            <w:vAlign w:val="center"/>
          </w:tcPr>
          <w:p w14:paraId="66526D7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空盒气压表</w:t>
            </w:r>
          </w:p>
        </w:tc>
        <w:tc>
          <w:tcPr>
            <w:tcW w:w="1425" w:type="dxa"/>
            <w:tcBorders>
              <w:tl2br w:val="nil"/>
              <w:tr2bl w:val="nil"/>
            </w:tcBorders>
            <w:noWrap w:val="0"/>
            <w:vAlign w:val="center"/>
          </w:tcPr>
          <w:p w14:paraId="7363725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68DA87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DYM3型，800hPa～1064hPa，分度值1hPa，测量误差≤±2.0hPa。温度表－11℃～±41℃，最小分度值：1℃</w:t>
            </w:r>
          </w:p>
        </w:tc>
        <w:tc>
          <w:tcPr>
            <w:tcW w:w="771" w:type="dxa"/>
            <w:tcBorders>
              <w:tl2br w:val="nil"/>
              <w:tr2bl w:val="nil"/>
            </w:tcBorders>
            <w:noWrap w:val="0"/>
            <w:vAlign w:val="center"/>
          </w:tcPr>
          <w:p w14:paraId="37D7A2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802D66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498C7D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FFF41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68</w:t>
            </w:r>
          </w:p>
        </w:tc>
        <w:tc>
          <w:tcPr>
            <w:tcW w:w="1470" w:type="dxa"/>
            <w:tcBorders>
              <w:tl2br w:val="nil"/>
              <w:tr2bl w:val="nil"/>
            </w:tcBorders>
            <w:noWrap w:val="0"/>
            <w:vAlign w:val="center"/>
          </w:tcPr>
          <w:p w14:paraId="78E9EA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血压计</w:t>
            </w:r>
          </w:p>
        </w:tc>
        <w:tc>
          <w:tcPr>
            <w:tcW w:w="1425" w:type="dxa"/>
            <w:tcBorders>
              <w:tl2br w:val="nil"/>
              <w:tr2bl w:val="nil"/>
            </w:tcBorders>
            <w:noWrap w:val="0"/>
            <w:vAlign w:val="center"/>
          </w:tcPr>
          <w:p w14:paraId="0BDADD2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1DEA5D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上臂电子式</w:t>
            </w:r>
          </w:p>
        </w:tc>
        <w:tc>
          <w:tcPr>
            <w:tcW w:w="771" w:type="dxa"/>
            <w:tcBorders>
              <w:tl2br w:val="nil"/>
              <w:tr2bl w:val="nil"/>
            </w:tcBorders>
            <w:noWrap w:val="0"/>
            <w:vAlign w:val="center"/>
          </w:tcPr>
          <w:p w14:paraId="261E30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5683AE4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E4B4C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DCD69D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69</w:t>
            </w:r>
          </w:p>
        </w:tc>
        <w:tc>
          <w:tcPr>
            <w:tcW w:w="1470" w:type="dxa"/>
            <w:tcBorders>
              <w:tl2br w:val="nil"/>
              <w:tr2bl w:val="nil"/>
            </w:tcBorders>
            <w:noWrap w:val="0"/>
            <w:vAlign w:val="center"/>
          </w:tcPr>
          <w:p w14:paraId="629026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雨量器</w:t>
            </w:r>
          </w:p>
        </w:tc>
        <w:tc>
          <w:tcPr>
            <w:tcW w:w="1425" w:type="dxa"/>
            <w:tcBorders>
              <w:tl2br w:val="nil"/>
              <w:tr2bl w:val="nil"/>
            </w:tcBorders>
            <w:noWrap w:val="0"/>
            <w:vAlign w:val="center"/>
          </w:tcPr>
          <w:p w14:paraId="5C97350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AFDB64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不锈钢外筒，盛水器口径200mm，高230mm，配锥形导水漏斗，1000mL塑料量筒，铁质安装框架</w:t>
            </w:r>
          </w:p>
        </w:tc>
        <w:tc>
          <w:tcPr>
            <w:tcW w:w="771" w:type="dxa"/>
            <w:tcBorders>
              <w:tl2br w:val="nil"/>
              <w:tr2bl w:val="nil"/>
            </w:tcBorders>
            <w:noWrap w:val="0"/>
            <w:vAlign w:val="center"/>
          </w:tcPr>
          <w:p w14:paraId="590F4B0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911E8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703B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FE394F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70</w:t>
            </w:r>
          </w:p>
        </w:tc>
        <w:tc>
          <w:tcPr>
            <w:tcW w:w="1470" w:type="dxa"/>
            <w:tcBorders>
              <w:tl2br w:val="nil"/>
              <w:tr2bl w:val="nil"/>
            </w:tcBorders>
            <w:noWrap w:val="0"/>
            <w:vAlign w:val="center"/>
          </w:tcPr>
          <w:p w14:paraId="7AF028E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便携式风速仪</w:t>
            </w:r>
          </w:p>
        </w:tc>
        <w:tc>
          <w:tcPr>
            <w:tcW w:w="1425" w:type="dxa"/>
            <w:tcBorders>
              <w:tl2br w:val="nil"/>
              <w:tr2bl w:val="nil"/>
            </w:tcBorders>
            <w:noWrap w:val="0"/>
            <w:vAlign w:val="center"/>
          </w:tcPr>
          <w:p w14:paraId="259EF61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5FDEBB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便携式三杯磁感式风速仪，LCD显示，带风向指示装置，启动风速≤1.7m/s；误差≤0.5m/s，显示分辨率：0.1m/s</w:t>
            </w:r>
          </w:p>
        </w:tc>
        <w:tc>
          <w:tcPr>
            <w:tcW w:w="771" w:type="dxa"/>
            <w:tcBorders>
              <w:tl2br w:val="nil"/>
              <w:tr2bl w:val="nil"/>
            </w:tcBorders>
            <w:noWrap w:val="0"/>
            <w:vAlign w:val="center"/>
          </w:tcPr>
          <w:p w14:paraId="1EF32F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07D7C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745532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EB0B3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71</w:t>
            </w:r>
          </w:p>
        </w:tc>
        <w:tc>
          <w:tcPr>
            <w:tcW w:w="1470" w:type="dxa"/>
            <w:tcBorders>
              <w:tl2br w:val="nil"/>
              <w:tr2bl w:val="nil"/>
            </w:tcBorders>
            <w:noWrap w:val="0"/>
            <w:vAlign w:val="center"/>
          </w:tcPr>
          <w:p w14:paraId="15CEBD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噪声测定仪</w:t>
            </w:r>
          </w:p>
        </w:tc>
        <w:tc>
          <w:tcPr>
            <w:tcW w:w="1425" w:type="dxa"/>
            <w:tcBorders>
              <w:tl2br w:val="nil"/>
              <w:tr2bl w:val="nil"/>
            </w:tcBorders>
            <w:noWrap w:val="0"/>
            <w:vAlign w:val="center"/>
          </w:tcPr>
          <w:p w14:paraId="078838F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29FEB3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3型普通声级计，带风罩，A计权</w:t>
            </w:r>
          </w:p>
        </w:tc>
        <w:tc>
          <w:tcPr>
            <w:tcW w:w="771" w:type="dxa"/>
            <w:tcBorders>
              <w:tl2br w:val="nil"/>
              <w:tr2bl w:val="nil"/>
            </w:tcBorders>
            <w:noWrap w:val="0"/>
            <w:vAlign w:val="center"/>
          </w:tcPr>
          <w:p w14:paraId="760C356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B45C80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1C21DE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CF132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72</w:t>
            </w:r>
          </w:p>
        </w:tc>
        <w:tc>
          <w:tcPr>
            <w:tcW w:w="1470" w:type="dxa"/>
            <w:tcBorders>
              <w:tl2br w:val="nil"/>
              <w:tr2bl w:val="nil"/>
            </w:tcBorders>
            <w:noWrap w:val="0"/>
            <w:vAlign w:val="center"/>
          </w:tcPr>
          <w:p w14:paraId="0AA15F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圆柱体组</w:t>
            </w:r>
          </w:p>
        </w:tc>
        <w:tc>
          <w:tcPr>
            <w:tcW w:w="1425" w:type="dxa"/>
            <w:tcBorders>
              <w:tl2br w:val="nil"/>
              <w:tr2bl w:val="nil"/>
            </w:tcBorders>
            <w:noWrap w:val="0"/>
            <w:vAlign w:val="center"/>
          </w:tcPr>
          <w:p w14:paraId="528C6FC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A62AE1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纯铜、铝（或铝合金）、铁（钢）各1，直径20mm，高32mm，每个圆柱体配网兜（质量小于0.01g）1个</w:t>
            </w:r>
          </w:p>
        </w:tc>
        <w:tc>
          <w:tcPr>
            <w:tcW w:w="771" w:type="dxa"/>
            <w:tcBorders>
              <w:tl2br w:val="nil"/>
              <w:tr2bl w:val="nil"/>
            </w:tcBorders>
            <w:noWrap w:val="0"/>
            <w:vAlign w:val="center"/>
          </w:tcPr>
          <w:p w14:paraId="313A8B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48B728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EA90F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EC1D3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73</w:t>
            </w:r>
          </w:p>
        </w:tc>
        <w:tc>
          <w:tcPr>
            <w:tcW w:w="1470" w:type="dxa"/>
            <w:tcBorders>
              <w:tl2br w:val="nil"/>
              <w:tr2bl w:val="nil"/>
            </w:tcBorders>
            <w:noWrap w:val="0"/>
            <w:vAlign w:val="center"/>
          </w:tcPr>
          <w:p w14:paraId="550A928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立方体组</w:t>
            </w:r>
          </w:p>
        </w:tc>
        <w:tc>
          <w:tcPr>
            <w:tcW w:w="1425" w:type="dxa"/>
            <w:tcBorders>
              <w:tl2br w:val="nil"/>
              <w:tr2bl w:val="nil"/>
            </w:tcBorders>
            <w:noWrap w:val="0"/>
            <w:vAlign w:val="center"/>
          </w:tcPr>
          <w:p w14:paraId="5FB5505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CBB07F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黄铜（边长20mm）、铁（边长20mm）、铝（边长25mm）、铝（边长30mm）、木材（边长50mm）各1个，带不锈钢挂钩</w:t>
            </w:r>
          </w:p>
        </w:tc>
        <w:tc>
          <w:tcPr>
            <w:tcW w:w="771" w:type="dxa"/>
            <w:tcBorders>
              <w:tl2br w:val="nil"/>
              <w:tr2bl w:val="nil"/>
            </w:tcBorders>
            <w:noWrap w:val="0"/>
            <w:vAlign w:val="center"/>
          </w:tcPr>
          <w:p w14:paraId="620764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325506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86074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367E58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74</w:t>
            </w:r>
          </w:p>
        </w:tc>
        <w:tc>
          <w:tcPr>
            <w:tcW w:w="1470" w:type="dxa"/>
            <w:tcBorders>
              <w:tl2br w:val="nil"/>
              <w:tr2bl w:val="nil"/>
            </w:tcBorders>
            <w:noWrap w:val="0"/>
            <w:vAlign w:val="center"/>
          </w:tcPr>
          <w:p w14:paraId="556CDF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运动和力实验器</w:t>
            </w:r>
          </w:p>
        </w:tc>
        <w:tc>
          <w:tcPr>
            <w:tcW w:w="1425" w:type="dxa"/>
            <w:tcBorders>
              <w:tl2br w:val="nil"/>
              <w:tr2bl w:val="nil"/>
            </w:tcBorders>
            <w:noWrap w:val="0"/>
            <w:vAlign w:val="center"/>
          </w:tcPr>
          <w:p w14:paraId="6073331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6E6165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小车、平面板、过渡片、斜面板、挡板、支架、小球（大小钢球各1个、玻璃球1个）及空盒、毛巾、棉布。小车100g，平面板800mm，斜面板200mm，过渡片厚0.8mm～1mm，钢球2个、玻璃球1个，斜面板调节角度0°～30°</w:t>
            </w:r>
          </w:p>
        </w:tc>
        <w:tc>
          <w:tcPr>
            <w:tcW w:w="771" w:type="dxa"/>
            <w:tcBorders>
              <w:tl2br w:val="nil"/>
              <w:tr2bl w:val="nil"/>
            </w:tcBorders>
            <w:noWrap w:val="0"/>
            <w:vAlign w:val="center"/>
          </w:tcPr>
          <w:p w14:paraId="2FE55F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E3051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9D0BA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39577A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75</w:t>
            </w:r>
          </w:p>
        </w:tc>
        <w:tc>
          <w:tcPr>
            <w:tcW w:w="1470" w:type="dxa"/>
            <w:tcBorders>
              <w:tl2br w:val="nil"/>
              <w:tr2bl w:val="nil"/>
            </w:tcBorders>
            <w:noWrap w:val="0"/>
            <w:vAlign w:val="center"/>
          </w:tcPr>
          <w:p w14:paraId="35F694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惯性演示器</w:t>
            </w:r>
          </w:p>
        </w:tc>
        <w:tc>
          <w:tcPr>
            <w:tcW w:w="1425" w:type="dxa"/>
            <w:tcBorders>
              <w:tl2br w:val="nil"/>
              <w:tr2bl w:val="nil"/>
            </w:tcBorders>
            <w:noWrap w:val="0"/>
            <w:vAlign w:val="center"/>
          </w:tcPr>
          <w:p w14:paraId="07F8690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625688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弹簧片式或弹簧式，托球板用软线与支架连接，实验成功率≥98％。</w:t>
            </w:r>
          </w:p>
        </w:tc>
        <w:tc>
          <w:tcPr>
            <w:tcW w:w="771" w:type="dxa"/>
            <w:tcBorders>
              <w:tl2br w:val="nil"/>
              <w:tr2bl w:val="nil"/>
            </w:tcBorders>
            <w:noWrap w:val="0"/>
            <w:vAlign w:val="center"/>
          </w:tcPr>
          <w:p w14:paraId="542DAE0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C8C137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D69B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94FB4D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76</w:t>
            </w:r>
          </w:p>
        </w:tc>
        <w:tc>
          <w:tcPr>
            <w:tcW w:w="1470" w:type="dxa"/>
            <w:tcBorders>
              <w:tl2br w:val="nil"/>
              <w:tr2bl w:val="nil"/>
            </w:tcBorders>
            <w:noWrap w:val="0"/>
            <w:vAlign w:val="center"/>
          </w:tcPr>
          <w:p w14:paraId="166B237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摩擦计</w:t>
            </w:r>
          </w:p>
        </w:tc>
        <w:tc>
          <w:tcPr>
            <w:tcW w:w="1425" w:type="dxa"/>
            <w:tcBorders>
              <w:tl2br w:val="nil"/>
              <w:tr2bl w:val="nil"/>
            </w:tcBorders>
            <w:noWrap w:val="0"/>
            <w:vAlign w:val="center"/>
          </w:tcPr>
          <w:p w14:paraId="33802DB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1878EA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摩擦板、摩擦块组成，附棉布、毛巾、木砂纸及固定胶合板。摩擦板600mm×60mm×10mm。摩擦块110mm×50mm×35mm，50g±2g。摩擦块钩码孔两个，Ф28mm，端面有挂钩</w:t>
            </w:r>
          </w:p>
        </w:tc>
        <w:tc>
          <w:tcPr>
            <w:tcW w:w="771" w:type="dxa"/>
            <w:tcBorders>
              <w:tl2br w:val="nil"/>
              <w:tr2bl w:val="nil"/>
            </w:tcBorders>
            <w:noWrap w:val="0"/>
            <w:vAlign w:val="center"/>
          </w:tcPr>
          <w:p w14:paraId="5047672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5E4648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56CD6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C33C5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77</w:t>
            </w:r>
          </w:p>
        </w:tc>
        <w:tc>
          <w:tcPr>
            <w:tcW w:w="1470" w:type="dxa"/>
            <w:tcBorders>
              <w:tl2br w:val="nil"/>
              <w:tr2bl w:val="nil"/>
            </w:tcBorders>
            <w:noWrap w:val="0"/>
            <w:vAlign w:val="center"/>
          </w:tcPr>
          <w:p w14:paraId="582D79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螺旋弹簧组</w:t>
            </w:r>
          </w:p>
        </w:tc>
        <w:tc>
          <w:tcPr>
            <w:tcW w:w="1425" w:type="dxa"/>
            <w:tcBorders>
              <w:tl2br w:val="nil"/>
              <w:tr2bl w:val="nil"/>
            </w:tcBorders>
            <w:noWrap w:val="0"/>
            <w:vAlign w:val="center"/>
          </w:tcPr>
          <w:p w14:paraId="6CD061C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9C672F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极限拉力为4.9N、2.94N、1.96N、0.98N和0.49N各一，带全长50mm挂钩（有指针），两端为圆拉环，有标度板</w:t>
            </w:r>
          </w:p>
        </w:tc>
        <w:tc>
          <w:tcPr>
            <w:tcW w:w="771" w:type="dxa"/>
            <w:tcBorders>
              <w:tl2br w:val="nil"/>
              <w:tr2bl w:val="nil"/>
            </w:tcBorders>
            <w:noWrap w:val="0"/>
            <w:vAlign w:val="center"/>
          </w:tcPr>
          <w:p w14:paraId="169D5EC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7086A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4BA506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DED4F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78</w:t>
            </w:r>
          </w:p>
        </w:tc>
        <w:tc>
          <w:tcPr>
            <w:tcW w:w="1470" w:type="dxa"/>
            <w:tcBorders>
              <w:tl2br w:val="nil"/>
              <w:tr2bl w:val="nil"/>
            </w:tcBorders>
            <w:noWrap w:val="0"/>
            <w:vAlign w:val="center"/>
          </w:tcPr>
          <w:p w14:paraId="3113FD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阿基米德原理实验器</w:t>
            </w:r>
          </w:p>
        </w:tc>
        <w:tc>
          <w:tcPr>
            <w:tcW w:w="1425" w:type="dxa"/>
            <w:tcBorders>
              <w:tl2br w:val="nil"/>
              <w:tr2bl w:val="nil"/>
            </w:tcBorders>
            <w:noWrap w:val="0"/>
            <w:vAlign w:val="center"/>
          </w:tcPr>
          <w:p w14:paraId="0BE5A49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2BB699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筒1（内径50mm，质量≤20g）、圆柱体1(外径50mm，体积：1.0×105mm3，质量≥120g)、溢液杯1(内径≥88mm，溢液下口不低于70mm，溢液管内径不小于10mm，管口向下倾斜)。筒和圆柱体外应有三条容积（或体积）等分线，溢液杯有二条容积标尺（分别从溢液管口向下及向上，溢液管以上容积200mL）。</w:t>
            </w:r>
          </w:p>
        </w:tc>
        <w:tc>
          <w:tcPr>
            <w:tcW w:w="771" w:type="dxa"/>
            <w:tcBorders>
              <w:tl2br w:val="nil"/>
              <w:tr2bl w:val="nil"/>
            </w:tcBorders>
            <w:noWrap w:val="0"/>
            <w:vAlign w:val="center"/>
          </w:tcPr>
          <w:p w14:paraId="331A00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390047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69BC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8F92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79</w:t>
            </w:r>
          </w:p>
        </w:tc>
        <w:tc>
          <w:tcPr>
            <w:tcW w:w="1470" w:type="dxa"/>
            <w:tcBorders>
              <w:tl2br w:val="nil"/>
              <w:tr2bl w:val="nil"/>
            </w:tcBorders>
            <w:noWrap w:val="0"/>
            <w:vAlign w:val="center"/>
          </w:tcPr>
          <w:p w14:paraId="25E09E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阿基米德原理及其应用实验器</w:t>
            </w:r>
          </w:p>
        </w:tc>
        <w:tc>
          <w:tcPr>
            <w:tcW w:w="1425" w:type="dxa"/>
            <w:tcBorders>
              <w:tl2br w:val="nil"/>
              <w:tr2bl w:val="nil"/>
            </w:tcBorders>
            <w:noWrap w:val="0"/>
            <w:vAlign w:val="center"/>
          </w:tcPr>
          <w:p w14:paraId="02C2409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518216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筒1、圆柱体1、溢液杯1（筒、圆柱体、溢液杯同“阿基米德原理演示器”），增加：低重心浮筒1、低重心浮筒配重1，选配：专用量杯1、潜水艇模型1、环形浮标1、沉浮子1。</w:t>
            </w:r>
          </w:p>
        </w:tc>
        <w:tc>
          <w:tcPr>
            <w:tcW w:w="771" w:type="dxa"/>
            <w:tcBorders>
              <w:tl2br w:val="nil"/>
              <w:tr2bl w:val="nil"/>
            </w:tcBorders>
            <w:noWrap w:val="0"/>
            <w:vAlign w:val="center"/>
          </w:tcPr>
          <w:p w14:paraId="7411E3A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DABCB2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BDD3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DFD951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c>
          <w:tcPr>
            <w:tcW w:w="1470" w:type="dxa"/>
            <w:tcBorders>
              <w:tl2br w:val="nil"/>
              <w:tr2bl w:val="nil"/>
            </w:tcBorders>
            <w:noWrap w:val="0"/>
            <w:vAlign w:val="center"/>
          </w:tcPr>
          <w:p w14:paraId="43A5830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液体压强与深度关系实验器</w:t>
            </w:r>
          </w:p>
        </w:tc>
        <w:tc>
          <w:tcPr>
            <w:tcW w:w="1425" w:type="dxa"/>
            <w:tcBorders>
              <w:tl2br w:val="nil"/>
              <w:tr2bl w:val="nil"/>
            </w:tcBorders>
            <w:noWrap w:val="0"/>
            <w:vAlign w:val="center"/>
          </w:tcPr>
          <w:p w14:paraId="39CE890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FE3A22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低重心实验筒、砝码组、浮标环和盛液筒组成。</w:t>
            </w:r>
          </w:p>
        </w:tc>
        <w:tc>
          <w:tcPr>
            <w:tcW w:w="771" w:type="dxa"/>
            <w:tcBorders>
              <w:tl2br w:val="nil"/>
              <w:tr2bl w:val="nil"/>
            </w:tcBorders>
            <w:noWrap w:val="0"/>
            <w:vAlign w:val="center"/>
          </w:tcPr>
          <w:p w14:paraId="0D51F23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51390D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F593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2769B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81</w:t>
            </w:r>
          </w:p>
        </w:tc>
        <w:tc>
          <w:tcPr>
            <w:tcW w:w="1470" w:type="dxa"/>
            <w:tcBorders>
              <w:tl2br w:val="nil"/>
              <w:tr2bl w:val="nil"/>
            </w:tcBorders>
            <w:noWrap w:val="0"/>
            <w:vAlign w:val="center"/>
          </w:tcPr>
          <w:p w14:paraId="51DA05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连通器</w:t>
            </w:r>
          </w:p>
        </w:tc>
        <w:tc>
          <w:tcPr>
            <w:tcW w:w="1425" w:type="dxa"/>
            <w:tcBorders>
              <w:tl2br w:val="nil"/>
              <w:tr2bl w:val="nil"/>
            </w:tcBorders>
            <w:noWrap w:val="0"/>
            <w:vAlign w:val="center"/>
          </w:tcPr>
          <w:p w14:paraId="66D3983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543CB4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Ф30mm粗管、Ф12mm细管、弯管和带球管各1。玻璃管壁厚1mm，粗管上部与底座固定，可用无色透明塑料。</w:t>
            </w:r>
          </w:p>
        </w:tc>
        <w:tc>
          <w:tcPr>
            <w:tcW w:w="771" w:type="dxa"/>
            <w:tcBorders>
              <w:tl2br w:val="nil"/>
              <w:tr2bl w:val="nil"/>
            </w:tcBorders>
            <w:noWrap w:val="0"/>
            <w:vAlign w:val="center"/>
          </w:tcPr>
          <w:p w14:paraId="6DA679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229E9C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FEC3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02B77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82</w:t>
            </w:r>
          </w:p>
        </w:tc>
        <w:tc>
          <w:tcPr>
            <w:tcW w:w="1470" w:type="dxa"/>
            <w:tcBorders>
              <w:tl2br w:val="nil"/>
              <w:tr2bl w:val="nil"/>
            </w:tcBorders>
            <w:noWrap w:val="0"/>
            <w:vAlign w:val="center"/>
          </w:tcPr>
          <w:p w14:paraId="60922C2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帕斯卡球</w:t>
            </w:r>
          </w:p>
        </w:tc>
        <w:tc>
          <w:tcPr>
            <w:tcW w:w="1425" w:type="dxa"/>
            <w:tcBorders>
              <w:tl2br w:val="nil"/>
              <w:tr2bl w:val="nil"/>
            </w:tcBorders>
            <w:noWrap w:val="0"/>
            <w:vAlign w:val="center"/>
          </w:tcPr>
          <w:p w14:paraId="537D3ED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CAB3B5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活塞筒外径25mm，长200mm，壁厚≥1.5mm，圆球外径60mm，不锈钢或者铝合金，十个喷嘴，孔径0.5mm，分布：圆周四个，前半球四个（其中轴线一个），后半球二个。</w:t>
            </w:r>
          </w:p>
        </w:tc>
        <w:tc>
          <w:tcPr>
            <w:tcW w:w="771" w:type="dxa"/>
            <w:tcBorders>
              <w:tl2br w:val="nil"/>
              <w:tr2bl w:val="nil"/>
            </w:tcBorders>
            <w:noWrap w:val="0"/>
            <w:vAlign w:val="center"/>
          </w:tcPr>
          <w:p w14:paraId="24773D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ED9F26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56979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792AE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83</w:t>
            </w:r>
          </w:p>
        </w:tc>
        <w:tc>
          <w:tcPr>
            <w:tcW w:w="1470" w:type="dxa"/>
            <w:tcBorders>
              <w:tl2br w:val="nil"/>
              <w:tr2bl w:val="nil"/>
            </w:tcBorders>
            <w:noWrap w:val="0"/>
            <w:vAlign w:val="center"/>
          </w:tcPr>
          <w:p w14:paraId="781CAC4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浮力原理演示器</w:t>
            </w:r>
          </w:p>
        </w:tc>
        <w:tc>
          <w:tcPr>
            <w:tcW w:w="1425" w:type="dxa"/>
            <w:tcBorders>
              <w:tl2br w:val="nil"/>
              <w:tr2bl w:val="nil"/>
            </w:tcBorders>
            <w:noWrap w:val="0"/>
            <w:vAlign w:val="center"/>
          </w:tcPr>
          <w:p w14:paraId="620924E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3CBEE7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透明大水箱、小水箱、排气管，浮体、连通管A、B及控制阀和支架组成，大水箱Ф150mm，高200mm，连通管A中部装有阀门，连通管B伸入小水箱的管口与小水箱上口平面的距离≤2mm。</w:t>
            </w:r>
          </w:p>
        </w:tc>
        <w:tc>
          <w:tcPr>
            <w:tcW w:w="771" w:type="dxa"/>
            <w:tcBorders>
              <w:tl2br w:val="nil"/>
              <w:tr2bl w:val="nil"/>
            </w:tcBorders>
            <w:noWrap w:val="0"/>
            <w:vAlign w:val="center"/>
          </w:tcPr>
          <w:p w14:paraId="781698E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CE3AC0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A1D3B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1B621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84</w:t>
            </w:r>
          </w:p>
        </w:tc>
        <w:tc>
          <w:tcPr>
            <w:tcW w:w="1470" w:type="dxa"/>
            <w:tcBorders>
              <w:tl2br w:val="nil"/>
              <w:tr2bl w:val="nil"/>
            </w:tcBorders>
            <w:noWrap w:val="0"/>
            <w:vAlign w:val="center"/>
          </w:tcPr>
          <w:p w14:paraId="182C07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物体浮沉条件演示器</w:t>
            </w:r>
          </w:p>
        </w:tc>
        <w:tc>
          <w:tcPr>
            <w:tcW w:w="1425" w:type="dxa"/>
            <w:tcBorders>
              <w:tl2br w:val="nil"/>
              <w:tr2bl w:val="nil"/>
            </w:tcBorders>
            <w:noWrap w:val="0"/>
            <w:vAlign w:val="center"/>
          </w:tcPr>
          <w:p w14:paraId="21E09F2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9D3092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由透明盛液筒、浮体（可漂浮、悬浮或下沉，体积、质量都应可独立改变）及附件（U形杯、叉子、注射器、密度计（&gt;1））组成，悬浮有微调。</w:t>
            </w:r>
          </w:p>
        </w:tc>
        <w:tc>
          <w:tcPr>
            <w:tcW w:w="771" w:type="dxa"/>
            <w:tcBorders>
              <w:tl2br w:val="nil"/>
              <w:tr2bl w:val="nil"/>
            </w:tcBorders>
            <w:noWrap w:val="0"/>
            <w:vAlign w:val="center"/>
          </w:tcPr>
          <w:p w14:paraId="3CB6AD4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0D581D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4F2D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E4C1B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85</w:t>
            </w:r>
          </w:p>
        </w:tc>
        <w:tc>
          <w:tcPr>
            <w:tcW w:w="1470" w:type="dxa"/>
            <w:tcBorders>
              <w:tl2br w:val="nil"/>
              <w:tr2bl w:val="nil"/>
            </w:tcBorders>
            <w:noWrap w:val="0"/>
            <w:vAlign w:val="center"/>
          </w:tcPr>
          <w:p w14:paraId="488E251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潜水艇浮沉演示器</w:t>
            </w:r>
          </w:p>
        </w:tc>
        <w:tc>
          <w:tcPr>
            <w:tcW w:w="1425" w:type="dxa"/>
            <w:tcBorders>
              <w:tl2br w:val="nil"/>
              <w:tr2bl w:val="nil"/>
            </w:tcBorders>
            <w:noWrap w:val="0"/>
            <w:vAlign w:val="center"/>
          </w:tcPr>
          <w:p w14:paraId="66F8D8E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E8460F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注射器控制，乳胶管连接。模型中间为透明气室，顶部有吸排气孔，下端有进水孔。水中倾斜≤10º。</w:t>
            </w:r>
          </w:p>
        </w:tc>
        <w:tc>
          <w:tcPr>
            <w:tcW w:w="771" w:type="dxa"/>
            <w:tcBorders>
              <w:tl2br w:val="nil"/>
              <w:tr2bl w:val="nil"/>
            </w:tcBorders>
            <w:noWrap w:val="0"/>
            <w:vAlign w:val="center"/>
          </w:tcPr>
          <w:p w14:paraId="654178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A49B28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7389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01426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86</w:t>
            </w:r>
          </w:p>
        </w:tc>
        <w:tc>
          <w:tcPr>
            <w:tcW w:w="1470" w:type="dxa"/>
            <w:tcBorders>
              <w:tl2br w:val="nil"/>
              <w:tr2bl w:val="nil"/>
            </w:tcBorders>
            <w:noWrap w:val="0"/>
            <w:vAlign w:val="center"/>
          </w:tcPr>
          <w:p w14:paraId="7CE40F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液体内部压强实验器</w:t>
            </w:r>
          </w:p>
        </w:tc>
        <w:tc>
          <w:tcPr>
            <w:tcW w:w="1425" w:type="dxa"/>
            <w:tcBorders>
              <w:tl2br w:val="nil"/>
              <w:tr2bl w:val="nil"/>
            </w:tcBorders>
            <w:noWrap w:val="0"/>
            <w:vAlign w:val="center"/>
          </w:tcPr>
          <w:p w14:paraId="457DDEF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40BCF4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承压盒，支杆、硅胶管、过渡接头、配接乳胶管、硅橡胶膜组成，承压盒内径应为Φ36～Ф38mm，配硅橡胶模，有手动转动机构。</w:t>
            </w:r>
          </w:p>
        </w:tc>
        <w:tc>
          <w:tcPr>
            <w:tcW w:w="771" w:type="dxa"/>
            <w:tcBorders>
              <w:tl2br w:val="nil"/>
              <w:tr2bl w:val="nil"/>
            </w:tcBorders>
            <w:noWrap w:val="0"/>
            <w:vAlign w:val="center"/>
          </w:tcPr>
          <w:p w14:paraId="08F6D02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7FFB66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8E35A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62D5C0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87</w:t>
            </w:r>
          </w:p>
        </w:tc>
        <w:tc>
          <w:tcPr>
            <w:tcW w:w="1470" w:type="dxa"/>
            <w:tcBorders>
              <w:tl2br w:val="nil"/>
              <w:tr2bl w:val="nil"/>
            </w:tcBorders>
            <w:noWrap w:val="0"/>
            <w:vAlign w:val="center"/>
          </w:tcPr>
          <w:p w14:paraId="1FF45A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微小压强计</w:t>
            </w:r>
          </w:p>
        </w:tc>
        <w:tc>
          <w:tcPr>
            <w:tcW w:w="1425" w:type="dxa"/>
            <w:tcBorders>
              <w:tl2br w:val="nil"/>
              <w:tr2bl w:val="nil"/>
            </w:tcBorders>
            <w:noWrap w:val="0"/>
            <w:vAlign w:val="center"/>
          </w:tcPr>
          <w:p w14:paraId="51496FE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490952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由U形管、标度板、三通管及弹簧夹组成；U形管外径6mm，高≥380mm，可移动微调，标度总长300mm，0位在中间，分度线为5mm，用硅橡胶管连接，附30mL塑料注射器。</w:t>
            </w:r>
          </w:p>
        </w:tc>
        <w:tc>
          <w:tcPr>
            <w:tcW w:w="771" w:type="dxa"/>
            <w:tcBorders>
              <w:tl2br w:val="nil"/>
              <w:tr2bl w:val="nil"/>
            </w:tcBorders>
            <w:noWrap w:val="0"/>
            <w:vAlign w:val="center"/>
          </w:tcPr>
          <w:p w14:paraId="3EA6E5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99C28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3CAF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38161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88</w:t>
            </w:r>
          </w:p>
        </w:tc>
        <w:tc>
          <w:tcPr>
            <w:tcW w:w="1470" w:type="dxa"/>
            <w:tcBorders>
              <w:tl2br w:val="nil"/>
              <w:tr2bl w:val="nil"/>
            </w:tcBorders>
            <w:noWrap w:val="0"/>
            <w:vAlign w:val="center"/>
          </w:tcPr>
          <w:p w14:paraId="56F5972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液体对器壁压强演示器</w:t>
            </w:r>
          </w:p>
        </w:tc>
        <w:tc>
          <w:tcPr>
            <w:tcW w:w="1425" w:type="dxa"/>
            <w:tcBorders>
              <w:tl2br w:val="nil"/>
              <w:tr2bl w:val="nil"/>
            </w:tcBorders>
            <w:noWrap w:val="0"/>
            <w:vAlign w:val="center"/>
          </w:tcPr>
          <w:p w14:paraId="108E039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31AA50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透明圆缸（内径100mm，深300mm），侧壁一侧60mm、140mm和220mm处有三个喷嘴，另一侧深140mm有一个喷嘴。配四个喷嘴塞或盖。有表示深度的标尺。</w:t>
            </w:r>
          </w:p>
        </w:tc>
        <w:tc>
          <w:tcPr>
            <w:tcW w:w="771" w:type="dxa"/>
            <w:tcBorders>
              <w:tl2br w:val="nil"/>
              <w:tr2bl w:val="nil"/>
            </w:tcBorders>
            <w:noWrap w:val="0"/>
            <w:vAlign w:val="center"/>
          </w:tcPr>
          <w:p w14:paraId="32EB109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FC7D7B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D44D8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9BE8C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89</w:t>
            </w:r>
          </w:p>
        </w:tc>
        <w:tc>
          <w:tcPr>
            <w:tcW w:w="1470" w:type="dxa"/>
            <w:tcBorders>
              <w:tl2br w:val="nil"/>
              <w:tr2bl w:val="nil"/>
            </w:tcBorders>
            <w:noWrap w:val="0"/>
            <w:vAlign w:val="center"/>
          </w:tcPr>
          <w:p w14:paraId="7306EC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气体浮力演示器</w:t>
            </w:r>
          </w:p>
        </w:tc>
        <w:tc>
          <w:tcPr>
            <w:tcW w:w="1425" w:type="dxa"/>
            <w:tcBorders>
              <w:tl2br w:val="nil"/>
              <w:tr2bl w:val="nil"/>
            </w:tcBorders>
            <w:noWrap w:val="0"/>
            <w:vAlign w:val="center"/>
          </w:tcPr>
          <w:p w14:paraId="6AB747F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E4422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抽气杠杆式，体积比为2的大、小浮体，附配重。</w:t>
            </w:r>
          </w:p>
        </w:tc>
        <w:tc>
          <w:tcPr>
            <w:tcW w:w="771" w:type="dxa"/>
            <w:tcBorders>
              <w:tl2br w:val="nil"/>
              <w:tr2bl w:val="nil"/>
            </w:tcBorders>
            <w:noWrap w:val="0"/>
            <w:vAlign w:val="center"/>
          </w:tcPr>
          <w:p w14:paraId="11BA7B0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5A9EFC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7544D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42BC4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90</w:t>
            </w:r>
          </w:p>
        </w:tc>
        <w:tc>
          <w:tcPr>
            <w:tcW w:w="1470" w:type="dxa"/>
            <w:tcBorders>
              <w:tl2br w:val="nil"/>
              <w:tr2bl w:val="nil"/>
            </w:tcBorders>
            <w:noWrap w:val="0"/>
            <w:vAlign w:val="center"/>
          </w:tcPr>
          <w:p w14:paraId="2D4BA3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马德堡半球</w:t>
            </w:r>
          </w:p>
        </w:tc>
        <w:tc>
          <w:tcPr>
            <w:tcW w:w="1425" w:type="dxa"/>
            <w:tcBorders>
              <w:tl2br w:val="nil"/>
              <w:tr2bl w:val="nil"/>
            </w:tcBorders>
            <w:noWrap w:val="0"/>
            <w:vAlign w:val="center"/>
          </w:tcPr>
          <w:p w14:paraId="02C9966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33CCA0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由带拉手的两半球和底座组成。球体外径应不小于φ80mm，带外径应为Ф8mm气嘴和旋式阀门，附压缩空气用橡胶软管（内径6.3mm±0.75mm），管长≥500mm和≥300 mm各一根。</w:t>
            </w:r>
          </w:p>
        </w:tc>
        <w:tc>
          <w:tcPr>
            <w:tcW w:w="771" w:type="dxa"/>
            <w:tcBorders>
              <w:tl2br w:val="nil"/>
              <w:tr2bl w:val="nil"/>
            </w:tcBorders>
            <w:noWrap w:val="0"/>
            <w:vAlign w:val="center"/>
          </w:tcPr>
          <w:p w14:paraId="7D5D3E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65EFB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5AB6D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EB86B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91</w:t>
            </w:r>
          </w:p>
        </w:tc>
        <w:tc>
          <w:tcPr>
            <w:tcW w:w="1470" w:type="dxa"/>
            <w:tcBorders>
              <w:tl2br w:val="nil"/>
              <w:tr2bl w:val="nil"/>
            </w:tcBorders>
            <w:noWrap w:val="0"/>
            <w:vAlign w:val="center"/>
          </w:tcPr>
          <w:p w14:paraId="52B7B4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大气压系列实验器</w:t>
            </w:r>
          </w:p>
        </w:tc>
        <w:tc>
          <w:tcPr>
            <w:tcW w:w="1425" w:type="dxa"/>
            <w:tcBorders>
              <w:tl2br w:val="nil"/>
              <w:tr2bl w:val="nil"/>
            </w:tcBorders>
            <w:noWrap w:val="0"/>
            <w:vAlign w:val="center"/>
          </w:tcPr>
          <w:p w14:paraId="0AE851B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2C6B19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用充水法、抽气法研究大气压存在，空气压强与密度的关系，大气压应用，粗测大气压，9个实验。</w:t>
            </w:r>
          </w:p>
        </w:tc>
        <w:tc>
          <w:tcPr>
            <w:tcW w:w="771" w:type="dxa"/>
            <w:tcBorders>
              <w:tl2br w:val="nil"/>
              <w:tr2bl w:val="nil"/>
            </w:tcBorders>
            <w:noWrap w:val="0"/>
            <w:vAlign w:val="center"/>
          </w:tcPr>
          <w:p w14:paraId="36E75EB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28A74D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63253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0C4747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92</w:t>
            </w:r>
          </w:p>
        </w:tc>
        <w:tc>
          <w:tcPr>
            <w:tcW w:w="1470" w:type="dxa"/>
            <w:tcBorders>
              <w:tl2br w:val="nil"/>
              <w:tr2bl w:val="nil"/>
            </w:tcBorders>
            <w:noWrap w:val="0"/>
            <w:vAlign w:val="center"/>
          </w:tcPr>
          <w:p w14:paraId="182CCC2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压力和压强演示器</w:t>
            </w:r>
          </w:p>
        </w:tc>
        <w:tc>
          <w:tcPr>
            <w:tcW w:w="1425" w:type="dxa"/>
            <w:tcBorders>
              <w:tl2br w:val="nil"/>
              <w:tr2bl w:val="nil"/>
            </w:tcBorders>
            <w:noWrap w:val="0"/>
            <w:vAlign w:val="center"/>
          </w:tcPr>
          <w:p w14:paraId="0DA218F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CEE930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压强小桌，外形≥200mm×100mm×100mm，脚的外径10mm，配多孔弹性材料，尺寸不小于220mm×120mm×50mm。</w:t>
            </w:r>
          </w:p>
        </w:tc>
        <w:tc>
          <w:tcPr>
            <w:tcW w:w="771" w:type="dxa"/>
            <w:tcBorders>
              <w:tl2br w:val="nil"/>
              <w:tr2bl w:val="nil"/>
            </w:tcBorders>
            <w:noWrap w:val="0"/>
            <w:vAlign w:val="center"/>
          </w:tcPr>
          <w:p w14:paraId="16AB86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214988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盒</w:t>
            </w:r>
          </w:p>
        </w:tc>
      </w:tr>
      <w:tr w14:paraId="24E59F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EC5C71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93</w:t>
            </w:r>
          </w:p>
        </w:tc>
        <w:tc>
          <w:tcPr>
            <w:tcW w:w="1470" w:type="dxa"/>
            <w:tcBorders>
              <w:tl2br w:val="nil"/>
              <w:tr2bl w:val="nil"/>
            </w:tcBorders>
            <w:noWrap w:val="0"/>
            <w:vAlign w:val="center"/>
          </w:tcPr>
          <w:p w14:paraId="75FBA7D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流体压强和流速的关系演示器</w:t>
            </w:r>
          </w:p>
        </w:tc>
        <w:tc>
          <w:tcPr>
            <w:tcW w:w="1425" w:type="dxa"/>
            <w:tcBorders>
              <w:tl2br w:val="nil"/>
              <w:tr2bl w:val="nil"/>
            </w:tcBorders>
            <w:noWrap w:val="0"/>
            <w:vAlign w:val="center"/>
          </w:tcPr>
          <w:p w14:paraId="645EE88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7C7492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气体式，管径变化为小→大，小直径管进；液体式，管径变化为小→大或小→大→小；U形压差计显示压强，测压管口位于流速管中央，管口面垂直于流速管轴线。</w:t>
            </w:r>
          </w:p>
        </w:tc>
        <w:tc>
          <w:tcPr>
            <w:tcW w:w="771" w:type="dxa"/>
            <w:tcBorders>
              <w:tl2br w:val="nil"/>
              <w:tr2bl w:val="nil"/>
            </w:tcBorders>
            <w:noWrap w:val="0"/>
            <w:vAlign w:val="center"/>
          </w:tcPr>
          <w:p w14:paraId="7FFE37C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797561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E715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07C8B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94</w:t>
            </w:r>
          </w:p>
        </w:tc>
        <w:tc>
          <w:tcPr>
            <w:tcW w:w="1470" w:type="dxa"/>
            <w:tcBorders>
              <w:tl2br w:val="nil"/>
              <w:tr2bl w:val="nil"/>
            </w:tcBorders>
            <w:noWrap w:val="0"/>
            <w:vAlign w:val="center"/>
          </w:tcPr>
          <w:p w14:paraId="72D9DC7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杠杆</w:t>
            </w:r>
          </w:p>
        </w:tc>
        <w:tc>
          <w:tcPr>
            <w:tcW w:w="1425" w:type="dxa"/>
            <w:tcBorders>
              <w:tl2br w:val="nil"/>
              <w:tr2bl w:val="nil"/>
            </w:tcBorders>
            <w:noWrap w:val="0"/>
            <w:vAlign w:val="center"/>
          </w:tcPr>
          <w:p w14:paraId="49A5362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80578A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塑料或铝合金制，由杠杆、固定轴、调平装置和5个挂钩（1个向上）组成，杠杆500mm×25mm×8mm，每5厘米印长线并标数字，杠杆中心轴线上方6mm处安装Ф4mm轴套。轴长80mm。螺母质量10g，螺杆上螺纹长20mm。</w:t>
            </w:r>
          </w:p>
        </w:tc>
        <w:tc>
          <w:tcPr>
            <w:tcW w:w="771" w:type="dxa"/>
            <w:tcBorders>
              <w:tl2br w:val="nil"/>
              <w:tr2bl w:val="nil"/>
            </w:tcBorders>
            <w:noWrap w:val="0"/>
            <w:vAlign w:val="center"/>
          </w:tcPr>
          <w:p w14:paraId="3A23D6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E39CF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219FA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FB1F3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95</w:t>
            </w:r>
          </w:p>
        </w:tc>
        <w:tc>
          <w:tcPr>
            <w:tcW w:w="1470" w:type="dxa"/>
            <w:tcBorders>
              <w:tl2br w:val="nil"/>
              <w:tr2bl w:val="nil"/>
            </w:tcBorders>
            <w:noWrap w:val="0"/>
            <w:vAlign w:val="center"/>
          </w:tcPr>
          <w:p w14:paraId="2C5DF3B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演示滑轮组</w:t>
            </w:r>
          </w:p>
        </w:tc>
        <w:tc>
          <w:tcPr>
            <w:tcW w:w="1425" w:type="dxa"/>
            <w:tcBorders>
              <w:tl2br w:val="nil"/>
              <w:tr2bl w:val="nil"/>
            </w:tcBorders>
            <w:noWrap w:val="0"/>
            <w:vAlign w:val="center"/>
          </w:tcPr>
          <w:p w14:paraId="4270407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1AC251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单2，三并2，三串2。单滑轮Ф40mm、三并滑轮Ф70mm、三串滑轮Ф40mm、Ф53mm和Ф70mm。滑轮绳长1m，直径1mm。单边悬臂式滑轮框，上下挂钩互成90°或可转动。每个滑轮组中有一个可止动滑轮。</w:t>
            </w:r>
          </w:p>
        </w:tc>
        <w:tc>
          <w:tcPr>
            <w:tcW w:w="771" w:type="dxa"/>
            <w:tcBorders>
              <w:tl2br w:val="nil"/>
              <w:tr2bl w:val="nil"/>
            </w:tcBorders>
            <w:noWrap w:val="0"/>
            <w:vAlign w:val="center"/>
          </w:tcPr>
          <w:p w14:paraId="51DB26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49286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55A9A5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71C5F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96</w:t>
            </w:r>
          </w:p>
        </w:tc>
        <w:tc>
          <w:tcPr>
            <w:tcW w:w="1470" w:type="dxa"/>
            <w:tcBorders>
              <w:tl2br w:val="nil"/>
              <w:tr2bl w:val="nil"/>
            </w:tcBorders>
            <w:noWrap w:val="0"/>
            <w:vAlign w:val="center"/>
          </w:tcPr>
          <w:p w14:paraId="7EA2A8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滑轮组</w:t>
            </w:r>
          </w:p>
        </w:tc>
        <w:tc>
          <w:tcPr>
            <w:tcW w:w="1425" w:type="dxa"/>
            <w:tcBorders>
              <w:tl2br w:val="nil"/>
              <w:tr2bl w:val="nil"/>
            </w:tcBorders>
            <w:noWrap w:val="0"/>
            <w:vAlign w:val="center"/>
          </w:tcPr>
          <w:p w14:paraId="2D7D97D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62D813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单4，二并2，二串2。单滑轮Ф40mm，二并滑轮Ф40mm，二串滑轮Ф40mm、Ф53mm。滑轮绳1m，直径1mm。单边悬臂式滑轮框，每个滑轮组中有一个可止动滑轮。</w:t>
            </w:r>
          </w:p>
        </w:tc>
        <w:tc>
          <w:tcPr>
            <w:tcW w:w="771" w:type="dxa"/>
            <w:tcBorders>
              <w:tl2br w:val="nil"/>
              <w:tr2bl w:val="nil"/>
            </w:tcBorders>
            <w:noWrap w:val="0"/>
            <w:vAlign w:val="center"/>
          </w:tcPr>
          <w:p w14:paraId="0BB6EB7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2E6E927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3E6687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4D46C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97</w:t>
            </w:r>
          </w:p>
        </w:tc>
        <w:tc>
          <w:tcPr>
            <w:tcW w:w="1470" w:type="dxa"/>
            <w:tcBorders>
              <w:tl2br w:val="nil"/>
              <w:tr2bl w:val="nil"/>
            </w:tcBorders>
            <w:noWrap w:val="0"/>
            <w:vAlign w:val="center"/>
          </w:tcPr>
          <w:p w14:paraId="1FD1D00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滚摆</w:t>
            </w:r>
          </w:p>
        </w:tc>
        <w:tc>
          <w:tcPr>
            <w:tcW w:w="1425" w:type="dxa"/>
            <w:tcBorders>
              <w:tl2br w:val="nil"/>
              <w:tr2bl w:val="nil"/>
            </w:tcBorders>
            <w:noWrap w:val="0"/>
            <w:vAlign w:val="center"/>
          </w:tcPr>
          <w:p w14:paraId="52FD8C8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9C43C3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金属摆轮Φ125mm，0.6kg～0.8kg，红、白相间数等分色格。摆轴Φ8mm×160mm。摆轴上两个穿线孔距离140mm，孔径Φ2mm。支架高460mm，横梁长300mm。前10次回升高度递减量≤65mm。</w:t>
            </w:r>
          </w:p>
        </w:tc>
        <w:tc>
          <w:tcPr>
            <w:tcW w:w="771" w:type="dxa"/>
            <w:tcBorders>
              <w:tl2br w:val="nil"/>
              <w:tr2bl w:val="nil"/>
            </w:tcBorders>
            <w:noWrap w:val="0"/>
            <w:vAlign w:val="center"/>
          </w:tcPr>
          <w:p w14:paraId="3DE25B8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80836F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0F112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B68F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98</w:t>
            </w:r>
          </w:p>
        </w:tc>
        <w:tc>
          <w:tcPr>
            <w:tcW w:w="1470" w:type="dxa"/>
            <w:tcBorders>
              <w:tl2br w:val="nil"/>
              <w:tr2bl w:val="nil"/>
            </w:tcBorders>
            <w:noWrap w:val="0"/>
            <w:vAlign w:val="center"/>
          </w:tcPr>
          <w:p w14:paraId="69A49C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离心轨道</w:t>
            </w:r>
          </w:p>
        </w:tc>
        <w:tc>
          <w:tcPr>
            <w:tcW w:w="1425" w:type="dxa"/>
            <w:tcBorders>
              <w:tl2br w:val="nil"/>
              <w:tr2bl w:val="nil"/>
            </w:tcBorders>
            <w:noWrap w:val="0"/>
            <w:vAlign w:val="center"/>
          </w:tcPr>
          <w:p w14:paraId="49641599">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A18991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环内径≥140mm，短坡高≥120mm，长坡高/圆环半径倍数≤4.0。钢球和塑料球Φ25mm。球自长坡顶部滚下，应能连续沿轨道滚动一周，在轨道顶部保持与轨道接触，在短坡顶部进入接球装置。</w:t>
            </w:r>
          </w:p>
        </w:tc>
        <w:tc>
          <w:tcPr>
            <w:tcW w:w="771" w:type="dxa"/>
            <w:tcBorders>
              <w:tl2br w:val="nil"/>
              <w:tr2bl w:val="nil"/>
            </w:tcBorders>
            <w:noWrap w:val="0"/>
            <w:vAlign w:val="center"/>
          </w:tcPr>
          <w:p w14:paraId="5F65BA6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B85B0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24D30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355E7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99</w:t>
            </w:r>
          </w:p>
        </w:tc>
        <w:tc>
          <w:tcPr>
            <w:tcW w:w="1470" w:type="dxa"/>
            <w:tcBorders>
              <w:tl2br w:val="nil"/>
              <w:tr2bl w:val="nil"/>
            </w:tcBorders>
            <w:noWrap w:val="0"/>
            <w:vAlign w:val="center"/>
          </w:tcPr>
          <w:p w14:paraId="3E30CEF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初中力学演示板</w:t>
            </w:r>
          </w:p>
        </w:tc>
        <w:tc>
          <w:tcPr>
            <w:tcW w:w="1425" w:type="dxa"/>
            <w:tcBorders>
              <w:tl2br w:val="nil"/>
              <w:tr2bl w:val="nil"/>
            </w:tcBorders>
            <w:noWrap w:val="0"/>
            <w:vAlign w:val="center"/>
          </w:tcPr>
          <w:p w14:paraId="50F7CE7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EB6750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含实验板（36cm×24cm×2cm，96孔）4块，双向测力计2套，大滑轮（Φ120mm）2个，小滑轮（Φ60mm）4个，平直导轨1支，平抛导轨1支，三角支板4个，小车2辆，力矩片6片，拉簧2个，重锤1个，滑轮联杆2支，滑轮挂钩2支，支承杆6支，调节杆2支，惯性块2块，塑料吊环4个，色圈4片，以及紧固销、小接插座、挂钩、卡环等结构件。</w:t>
            </w:r>
          </w:p>
        </w:tc>
        <w:tc>
          <w:tcPr>
            <w:tcW w:w="771" w:type="dxa"/>
            <w:tcBorders>
              <w:tl2br w:val="nil"/>
              <w:tr2bl w:val="nil"/>
            </w:tcBorders>
            <w:noWrap w:val="0"/>
            <w:vAlign w:val="center"/>
          </w:tcPr>
          <w:p w14:paraId="1E71B0D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F53A3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30354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F0B8F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c>
          <w:tcPr>
            <w:tcW w:w="1470" w:type="dxa"/>
            <w:tcBorders>
              <w:tl2br w:val="nil"/>
              <w:tr2bl w:val="nil"/>
            </w:tcBorders>
            <w:noWrap w:val="0"/>
            <w:vAlign w:val="center"/>
          </w:tcPr>
          <w:p w14:paraId="531E714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飞机升力原理演示器</w:t>
            </w:r>
          </w:p>
        </w:tc>
        <w:tc>
          <w:tcPr>
            <w:tcW w:w="1425" w:type="dxa"/>
            <w:tcBorders>
              <w:tl2br w:val="nil"/>
              <w:tr2bl w:val="nil"/>
            </w:tcBorders>
            <w:noWrap w:val="0"/>
            <w:vAlign w:val="center"/>
          </w:tcPr>
          <w:p w14:paraId="0A424EC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36A407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平行风源，机翼下表面水平，机翼倒置后不能上升。</w:t>
            </w:r>
          </w:p>
        </w:tc>
        <w:tc>
          <w:tcPr>
            <w:tcW w:w="771" w:type="dxa"/>
            <w:tcBorders>
              <w:tl2br w:val="nil"/>
              <w:tr2bl w:val="nil"/>
            </w:tcBorders>
            <w:noWrap w:val="0"/>
            <w:vAlign w:val="center"/>
          </w:tcPr>
          <w:p w14:paraId="294999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5BE9F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7CA4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2F2DF5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101</w:t>
            </w:r>
          </w:p>
        </w:tc>
        <w:tc>
          <w:tcPr>
            <w:tcW w:w="1470" w:type="dxa"/>
            <w:tcBorders>
              <w:tl2br w:val="nil"/>
              <w:tr2bl w:val="nil"/>
            </w:tcBorders>
            <w:noWrap w:val="0"/>
            <w:vAlign w:val="center"/>
          </w:tcPr>
          <w:p w14:paraId="61DE8B4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手摇离心转台</w:t>
            </w:r>
          </w:p>
        </w:tc>
        <w:tc>
          <w:tcPr>
            <w:tcW w:w="1425" w:type="dxa"/>
            <w:tcBorders>
              <w:tl2br w:val="nil"/>
              <w:tr2bl w:val="nil"/>
            </w:tcBorders>
            <w:noWrap w:val="0"/>
            <w:vAlign w:val="center"/>
          </w:tcPr>
          <w:p w14:paraId="4DA55C4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019037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主动轮与从动轮转速比为6，从动轮轴心与支杆中心距离140mm，从动轮轴孔上段Ф10mm，深16mm，下段锥度1∶20，深45mm。</w:t>
            </w:r>
          </w:p>
        </w:tc>
        <w:tc>
          <w:tcPr>
            <w:tcW w:w="771" w:type="dxa"/>
            <w:tcBorders>
              <w:tl2br w:val="nil"/>
              <w:tr2bl w:val="nil"/>
            </w:tcBorders>
            <w:noWrap w:val="0"/>
            <w:vAlign w:val="center"/>
          </w:tcPr>
          <w:p w14:paraId="46209F2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0852F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242F2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EF17A4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102</w:t>
            </w:r>
          </w:p>
        </w:tc>
        <w:tc>
          <w:tcPr>
            <w:tcW w:w="1470" w:type="dxa"/>
            <w:tcBorders>
              <w:tl2br w:val="nil"/>
              <w:tr2bl w:val="nil"/>
            </w:tcBorders>
            <w:noWrap w:val="0"/>
            <w:vAlign w:val="center"/>
          </w:tcPr>
          <w:p w14:paraId="255EF3C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重力小车</w:t>
            </w:r>
          </w:p>
        </w:tc>
        <w:tc>
          <w:tcPr>
            <w:tcW w:w="1425" w:type="dxa"/>
            <w:tcBorders>
              <w:tl2br w:val="nil"/>
              <w:tr2bl w:val="nil"/>
            </w:tcBorders>
            <w:noWrap w:val="0"/>
            <w:vAlign w:val="center"/>
          </w:tcPr>
          <w:p w14:paraId="6811922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007E28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由物体的重力势能驱动的小车，重物约50g</w:t>
            </w:r>
          </w:p>
        </w:tc>
        <w:tc>
          <w:tcPr>
            <w:tcW w:w="771" w:type="dxa"/>
            <w:tcBorders>
              <w:tl2br w:val="nil"/>
              <w:tr2bl w:val="nil"/>
            </w:tcBorders>
            <w:noWrap w:val="0"/>
            <w:vAlign w:val="center"/>
          </w:tcPr>
          <w:p w14:paraId="31ACA22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35E8A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辆</w:t>
            </w:r>
          </w:p>
        </w:tc>
      </w:tr>
      <w:tr w14:paraId="72FB85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A5DE1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103</w:t>
            </w:r>
          </w:p>
        </w:tc>
        <w:tc>
          <w:tcPr>
            <w:tcW w:w="1470" w:type="dxa"/>
            <w:tcBorders>
              <w:tl2br w:val="nil"/>
              <w:tr2bl w:val="nil"/>
            </w:tcBorders>
            <w:noWrap w:val="0"/>
            <w:vAlign w:val="center"/>
          </w:tcPr>
          <w:p w14:paraId="1CF692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快、慢小车</w:t>
            </w:r>
          </w:p>
        </w:tc>
        <w:tc>
          <w:tcPr>
            <w:tcW w:w="1425" w:type="dxa"/>
            <w:tcBorders>
              <w:tl2br w:val="nil"/>
              <w:tr2bl w:val="nil"/>
            </w:tcBorders>
            <w:noWrap w:val="0"/>
            <w:vAlign w:val="center"/>
          </w:tcPr>
          <w:p w14:paraId="0339D61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9D6099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有动力的小车各一。快车约5s左右通过1m距离，慢车约10s左右通过1m距离。更换电池方便。</w:t>
            </w:r>
          </w:p>
        </w:tc>
        <w:tc>
          <w:tcPr>
            <w:tcW w:w="771" w:type="dxa"/>
            <w:tcBorders>
              <w:tl2br w:val="nil"/>
              <w:tr2bl w:val="nil"/>
            </w:tcBorders>
            <w:noWrap w:val="0"/>
            <w:vAlign w:val="center"/>
          </w:tcPr>
          <w:p w14:paraId="2E576D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w:t>
            </w:r>
          </w:p>
        </w:tc>
        <w:tc>
          <w:tcPr>
            <w:tcW w:w="772" w:type="dxa"/>
            <w:tcBorders>
              <w:tl2br w:val="nil"/>
              <w:tr2bl w:val="nil"/>
            </w:tcBorders>
            <w:noWrap w:val="0"/>
            <w:vAlign w:val="center"/>
          </w:tcPr>
          <w:p w14:paraId="7D96750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4FD96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68CF0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104</w:t>
            </w:r>
          </w:p>
        </w:tc>
        <w:tc>
          <w:tcPr>
            <w:tcW w:w="1470" w:type="dxa"/>
            <w:tcBorders>
              <w:tl2br w:val="nil"/>
              <w:tr2bl w:val="nil"/>
            </w:tcBorders>
            <w:noWrap w:val="0"/>
            <w:vAlign w:val="center"/>
          </w:tcPr>
          <w:p w14:paraId="0C20EE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拉、压两用弹簧</w:t>
            </w:r>
          </w:p>
        </w:tc>
        <w:tc>
          <w:tcPr>
            <w:tcW w:w="1425" w:type="dxa"/>
            <w:tcBorders>
              <w:tl2br w:val="nil"/>
              <w:tr2bl w:val="nil"/>
            </w:tcBorders>
            <w:noWrap w:val="0"/>
            <w:vAlign w:val="center"/>
          </w:tcPr>
          <w:p w14:paraId="079A036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79D4D2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外形尺寸不小于Φ20mm×50mm，两端有环，拉力（或压力）30N下变形量约2倍（或1/2）</w:t>
            </w:r>
          </w:p>
        </w:tc>
        <w:tc>
          <w:tcPr>
            <w:tcW w:w="771" w:type="dxa"/>
            <w:tcBorders>
              <w:tl2br w:val="nil"/>
              <w:tr2bl w:val="nil"/>
            </w:tcBorders>
            <w:noWrap w:val="0"/>
            <w:vAlign w:val="center"/>
          </w:tcPr>
          <w:p w14:paraId="57D54C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F1EEE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136F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B0AE4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105</w:t>
            </w:r>
          </w:p>
        </w:tc>
        <w:tc>
          <w:tcPr>
            <w:tcW w:w="1470" w:type="dxa"/>
            <w:tcBorders>
              <w:tl2br w:val="nil"/>
              <w:tr2bl w:val="nil"/>
            </w:tcBorders>
            <w:noWrap w:val="0"/>
            <w:vAlign w:val="center"/>
          </w:tcPr>
          <w:p w14:paraId="5AA14BF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简易气垫运动体</w:t>
            </w:r>
          </w:p>
        </w:tc>
        <w:tc>
          <w:tcPr>
            <w:tcW w:w="1425" w:type="dxa"/>
            <w:tcBorders>
              <w:tl2br w:val="nil"/>
              <w:tr2bl w:val="nil"/>
            </w:tcBorders>
            <w:noWrap w:val="0"/>
            <w:vAlign w:val="center"/>
          </w:tcPr>
          <w:p w14:paraId="10CC830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193B9D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带阀门的气垫座1个、气球3个、吹嘴1个、吹嘴套2个</w:t>
            </w:r>
          </w:p>
        </w:tc>
        <w:tc>
          <w:tcPr>
            <w:tcW w:w="771" w:type="dxa"/>
            <w:tcBorders>
              <w:tl2br w:val="nil"/>
              <w:tr2bl w:val="nil"/>
            </w:tcBorders>
            <w:noWrap w:val="0"/>
            <w:vAlign w:val="center"/>
          </w:tcPr>
          <w:p w14:paraId="680E0C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5559FA0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5EC2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ED6734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106</w:t>
            </w:r>
          </w:p>
        </w:tc>
        <w:tc>
          <w:tcPr>
            <w:tcW w:w="1470" w:type="dxa"/>
            <w:tcBorders>
              <w:tl2br w:val="nil"/>
              <w:tr2bl w:val="nil"/>
            </w:tcBorders>
            <w:noWrap w:val="0"/>
            <w:vAlign w:val="center"/>
          </w:tcPr>
          <w:p w14:paraId="4C76FB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液体对流演示器</w:t>
            </w:r>
          </w:p>
        </w:tc>
        <w:tc>
          <w:tcPr>
            <w:tcW w:w="1425" w:type="dxa"/>
            <w:tcBorders>
              <w:tl2br w:val="nil"/>
              <w:tr2bl w:val="nil"/>
            </w:tcBorders>
            <w:noWrap w:val="0"/>
            <w:vAlign w:val="center"/>
          </w:tcPr>
          <w:p w14:paraId="36D66A6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034DBB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矩形玻管框200mm×170mm,管内径≥12mm。一角有长50mm加液管</w:t>
            </w:r>
          </w:p>
        </w:tc>
        <w:tc>
          <w:tcPr>
            <w:tcW w:w="771" w:type="dxa"/>
            <w:tcBorders>
              <w:tl2br w:val="nil"/>
              <w:tr2bl w:val="nil"/>
            </w:tcBorders>
            <w:noWrap w:val="0"/>
            <w:vAlign w:val="center"/>
          </w:tcPr>
          <w:p w14:paraId="585E2A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D9245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30B6E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82C19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107</w:t>
            </w:r>
          </w:p>
        </w:tc>
        <w:tc>
          <w:tcPr>
            <w:tcW w:w="1470" w:type="dxa"/>
            <w:tcBorders>
              <w:tl2br w:val="nil"/>
              <w:tr2bl w:val="nil"/>
            </w:tcBorders>
            <w:noWrap w:val="0"/>
            <w:vAlign w:val="center"/>
          </w:tcPr>
          <w:p w14:paraId="0E64C9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浮沉球</w:t>
            </w:r>
          </w:p>
        </w:tc>
        <w:tc>
          <w:tcPr>
            <w:tcW w:w="1425" w:type="dxa"/>
            <w:tcBorders>
              <w:tl2br w:val="nil"/>
              <w:tr2bl w:val="nil"/>
            </w:tcBorders>
            <w:noWrap w:val="0"/>
            <w:vAlign w:val="center"/>
          </w:tcPr>
          <w:p w14:paraId="14E77EE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3D3D37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外形尺寸相同，水中浮、沉和悬浮各1，悬浮有体积微调</w:t>
            </w:r>
          </w:p>
        </w:tc>
        <w:tc>
          <w:tcPr>
            <w:tcW w:w="771" w:type="dxa"/>
            <w:tcBorders>
              <w:tl2br w:val="nil"/>
              <w:tr2bl w:val="nil"/>
            </w:tcBorders>
            <w:noWrap w:val="0"/>
            <w:vAlign w:val="center"/>
          </w:tcPr>
          <w:p w14:paraId="32376B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32FAA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1DE04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2DF5C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108</w:t>
            </w:r>
          </w:p>
        </w:tc>
        <w:tc>
          <w:tcPr>
            <w:tcW w:w="1470" w:type="dxa"/>
            <w:tcBorders>
              <w:tl2br w:val="nil"/>
              <w:tr2bl w:val="nil"/>
            </w:tcBorders>
            <w:noWrap w:val="0"/>
            <w:vAlign w:val="center"/>
          </w:tcPr>
          <w:p w14:paraId="5FD573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斜面小车</w:t>
            </w:r>
          </w:p>
        </w:tc>
        <w:tc>
          <w:tcPr>
            <w:tcW w:w="1425" w:type="dxa"/>
            <w:tcBorders>
              <w:tl2br w:val="nil"/>
              <w:tr2bl w:val="nil"/>
            </w:tcBorders>
            <w:noWrap w:val="0"/>
            <w:vAlign w:val="center"/>
          </w:tcPr>
          <w:p w14:paraId="55EFCD1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EF6715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斜面815mm×100mm×20mm，小车100mm×80mm×40mm，200g，在1∶35坡度的斜面上自动滑下；摩擦块100mm×80mm×40mm，两摩擦面，砝码筒质量6g</w:t>
            </w:r>
          </w:p>
        </w:tc>
        <w:tc>
          <w:tcPr>
            <w:tcW w:w="771" w:type="dxa"/>
            <w:tcBorders>
              <w:tl2br w:val="nil"/>
              <w:tr2bl w:val="nil"/>
            </w:tcBorders>
            <w:noWrap w:val="0"/>
            <w:vAlign w:val="center"/>
          </w:tcPr>
          <w:p w14:paraId="05857F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A23215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27108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78B1D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109</w:t>
            </w:r>
          </w:p>
        </w:tc>
        <w:tc>
          <w:tcPr>
            <w:tcW w:w="1470" w:type="dxa"/>
            <w:tcBorders>
              <w:tl2br w:val="nil"/>
              <w:tr2bl w:val="nil"/>
            </w:tcBorders>
            <w:noWrap w:val="0"/>
            <w:vAlign w:val="center"/>
          </w:tcPr>
          <w:p w14:paraId="509501F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音叉</w:t>
            </w:r>
          </w:p>
        </w:tc>
        <w:tc>
          <w:tcPr>
            <w:tcW w:w="1425" w:type="dxa"/>
            <w:tcBorders>
              <w:tl2br w:val="nil"/>
              <w:tr2bl w:val="nil"/>
            </w:tcBorders>
            <w:noWrap w:val="0"/>
            <w:vAlign w:val="center"/>
          </w:tcPr>
          <w:p w14:paraId="7F971AF2">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10C49B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256Hz，距音叉1000mm处声强90dB</w:t>
            </w:r>
          </w:p>
        </w:tc>
        <w:tc>
          <w:tcPr>
            <w:tcW w:w="771" w:type="dxa"/>
            <w:tcBorders>
              <w:tl2br w:val="nil"/>
              <w:tr2bl w:val="nil"/>
            </w:tcBorders>
            <w:noWrap w:val="0"/>
            <w:vAlign w:val="center"/>
          </w:tcPr>
          <w:p w14:paraId="58D661C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125F06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E97C9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86C20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110</w:t>
            </w:r>
          </w:p>
        </w:tc>
        <w:tc>
          <w:tcPr>
            <w:tcW w:w="1470" w:type="dxa"/>
            <w:tcBorders>
              <w:tl2br w:val="nil"/>
              <w:tr2bl w:val="nil"/>
            </w:tcBorders>
            <w:noWrap w:val="0"/>
            <w:vAlign w:val="center"/>
          </w:tcPr>
          <w:p w14:paraId="558A10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音叉</w:t>
            </w:r>
          </w:p>
        </w:tc>
        <w:tc>
          <w:tcPr>
            <w:tcW w:w="1425" w:type="dxa"/>
            <w:tcBorders>
              <w:tl2br w:val="nil"/>
              <w:tr2bl w:val="nil"/>
            </w:tcBorders>
            <w:noWrap w:val="0"/>
            <w:vAlign w:val="center"/>
          </w:tcPr>
          <w:p w14:paraId="533593A8">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BE1A85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512Hz，距音叉1000mm处声强90dB</w:t>
            </w:r>
          </w:p>
        </w:tc>
        <w:tc>
          <w:tcPr>
            <w:tcW w:w="771" w:type="dxa"/>
            <w:tcBorders>
              <w:tl2br w:val="nil"/>
              <w:tr2bl w:val="nil"/>
            </w:tcBorders>
            <w:noWrap w:val="0"/>
            <w:vAlign w:val="center"/>
          </w:tcPr>
          <w:p w14:paraId="545F80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7CC200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50910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25B682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111</w:t>
            </w:r>
          </w:p>
        </w:tc>
        <w:tc>
          <w:tcPr>
            <w:tcW w:w="1470" w:type="dxa"/>
            <w:tcBorders>
              <w:tl2br w:val="nil"/>
              <w:tr2bl w:val="nil"/>
            </w:tcBorders>
            <w:noWrap w:val="0"/>
            <w:vAlign w:val="center"/>
          </w:tcPr>
          <w:p w14:paraId="2C50AE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发音齿轮</w:t>
            </w:r>
          </w:p>
        </w:tc>
        <w:tc>
          <w:tcPr>
            <w:tcW w:w="1425" w:type="dxa"/>
            <w:tcBorders>
              <w:tl2br w:val="nil"/>
              <w:tr2bl w:val="nil"/>
            </w:tcBorders>
            <w:noWrap w:val="0"/>
            <w:vAlign w:val="center"/>
          </w:tcPr>
          <w:p w14:paraId="4CDD51A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382EB7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80、40、20半圆形齿，附振动片。转轴下段1:20锥体,大端Ф10mm,长34mm</w:t>
            </w:r>
          </w:p>
        </w:tc>
        <w:tc>
          <w:tcPr>
            <w:tcW w:w="771" w:type="dxa"/>
            <w:tcBorders>
              <w:tl2br w:val="nil"/>
              <w:tr2bl w:val="nil"/>
            </w:tcBorders>
            <w:noWrap w:val="0"/>
            <w:vAlign w:val="center"/>
          </w:tcPr>
          <w:p w14:paraId="115BD5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85E91E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401D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3D4E9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112</w:t>
            </w:r>
          </w:p>
        </w:tc>
        <w:tc>
          <w:tcPr>
            <w:tcW w:w="1470" w:type="dxa"/>
            <w:tcBorders>
              <w:tl2br w:val="nil"/>
              <w:tr2bl w:val="nil"/>
            </w:tcBorders>
            <w:noWrap w:val="0"/>
            <w:vAlign w:val="center"/>
          </w:tcPr>
          <w:p w14:paraId="6246E9F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摆器</w:t>
            </w:r>
          </w:p>
        </w:tc>
        <w:tc>
          <w:tcPr>
            <w:tcW w:w="1425" w:type="dxa"/>
            <w:tcBorders>
              <w:tl2br w:val="nil"/>
              <w:tr2bl w:val="nil"/>
            </w:tcBorders>
            <w:noWrap w:val="0"/>
            <w:vAlign w:val="center"/>
          </w:tcPr>
          <w:p w14:paraId="5FF2601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4D3D8F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#N/A</w:t>
            </w:r>
          </w:p>
        </w:tc>
        <w:tc>
          <w:tcPr>
            <w:tcW w:w="771" w:type="dxa"/>
            <w:tcBorders>
              <w:tl2br w:val="nil"/>
              <w:tr2bl w:val="nil"/>
            </w:tcBorders>
            <w:noWrap w:val="0"/>
            <w:vAlign w:val="center"/>
          </w:tcPr>
          <w:p w14:paraId="4EE46E8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7B10BA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56739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DCF1F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113</w:t>
            </w:r>
          </w:p>
        </w:tc>
        <w:tc>
          <w:tcPr>
            <w:tcW w:w="1470" w:type="dxa"/>
            <w:tcBorders>
              <w:tl2br w:val="nil"/>
              <w:tr2bl w:val="nil"/>
            </w:tcBorders>
            <w:noWrap w:val="0"/>
            <w:vAlign w:val="center"/>
          </w:tcPr>
          <w:p w14:paraId="7D5E3B0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波动弹簧</w:t>
            </w:r>
          </w:p>
        </w:tc>
        <w:tc>
          <w:tcPr>
            <w:tcW w:w="1425" w:type="dxa"/>
            <w:tcBorders>
              <w:tl2br w:val="nil"/>
              <w:tr2bl w:val="nil"/>
            </w:tcBorders>
            <w:noWrap w:val="0"/>
            <w:vAlign w:val="center"/>
          </w:tcPr>
          <w:p w14:paraId="0398881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392F5A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130匝拉簧，旋绕比25～35，扁形钢丝宽2.5～2.8mm，厚0.6～0.8mm。刚度（2～5）×0.001N/mm</w:t>
            </w:r>
          </w:p>
        </w:tc>
        <w:tc>
          <w:tcPr>
            <w:tcW w:w="771" w:type="dxa"/>
            <w:tcBorders>
              <w:tl2br w:val="nil"/>
              <w:tr2bl w:val="nil"/>
            </w:tcBorders>
            <w:noWrap w:val="0"/>
            <w:vAlign w:val="center"/>
          </w:tcPr>
          <w:p w14:paraId="2852A1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71086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189D9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6D180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114</w:t>
            </w:r>
          </w:p>
        </w:tc>
        <w:tc>
          <w:tcPr>
            <w:tcW w:w="1470" w:type="dxa"/>
            <w:tcBorders>
              <w:tl2br w:val="nil"/>
              <w:tr2bl w:val="nil"/>
            </w:tcBorders>
            <w:noWrap w:val="0"/>
            <w:vAlign w:val="center"/>
          </w:tcPr>
          <w:p w14:paraId="0C9CA99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音频发生器</w:t>
            </w:r>
          </w:p>
        </w:tc>
        <w:tc>
          <w:tcPr>
            <w:tcW w:w="1425" w:type="dxa"/>
            <w:tcBorders>
              <w:tl2br w:val="nil"/>
              <w:tr2bl w:val="nil"/>
            </w:tcBorders>
            <w:noWrap w:val="0"/>
            <w:vAlign w:val="center"/>
          </w:tcPr>
          <w:p w14:paraId="276C73D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2008AE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20Hz～20kH连续可调，输出正弦波0～1V连续可调,负载300Ω,功率输出5W。有频率计，测频范围:10Hz～999.9kHz，有信号输入端</w:t>
            </w:r>
          </w:p>
        </w:tc>
        <w:tc>
          <w:tcPr>
            <w:tcW w:w="771" w:type="dxa"/>
            <w:tcBorders>
              <w:tl2br w:val="nil"/>
              <w:tr2bl w:val="nil"/>
            </w:tcBorders>
            <w:noWrap w:val="0"/>
            <w:vAlign w:val="center"/>
          </w:tcPr>
          <w:p w14:paraId="3DEB22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37C391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694B2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F93CE0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115</w:t>
            </w:r>
          </w:p>
        </w:tc>
        <w:tc>
          <w:tcPr>
            <w:tcW w:w="1470" w:type="dxa"/>
            <w:tcBorders>
              <w:tl2br w:val="nil"/>
              <w:tr2bl w:val="nil"/>
            </w:tcBorders>
            <w:noWrap w:val="0"/>
            <w:vAlign w:val="center"/>
          </w:tcPr>
          <w:p w14:paraId="28184E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量热器</w:t>
            </w:r>
          </w:p>
        </w:tc>
        <w:tc>
          <w:tcPr>
            <w:tcW w:w="1425" w:type="dxa"/>
            <w:tcBorders>
              <w:tl2br w:val="nil"/>
              <w:tr2bl w:val="nil"/>
            </w:tcBorders>
            <w:noWrap w:val="0"/>
            <w:vAlign w:val="center"/>
          </w:tcPr>
          <w:p w14:paraId="66EA1EB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74CE05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内筒Ф60mm、外筒Ф100mm、盖上有Φ6mm温度计插孔（橡胶塞）和搅拌器、搅拌器（环、杆同种金属，环外径55mm，杆长100mm）</w:t>
            </w:r>
          </w:p>
        </w:tc>
        <w:tc>
          <w:tcPr>
            <w:tcW w:w="771" w:type="dxa"/>
            <w:tcBorders>
              <w:tl2br w:val="nil"/>
              <w:tr2bl w:val="nil"/>
            </w:tcBorders>
            <w:noWrap w:val="0"/>
            <w:vAlign w:val="center"/>
          </w:tcPr>
          <w:p w14:paraId="14759CE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0910094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9E887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6FA8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116</w:t>
            </w:r>
          </w:p>
        </w:tc>
        <w:tc>
          <w:tcPr>
            <w:tcW w:w="1470" w:type="dxa"/>
            <w:tcBorders>
              <w:tl2br w:val="nil"/>
              <w:tr2bl w:val="nil"/>
            </w:tcBorders>
            <w:noWrap w:val="0"/>
            <w:vAlign w:val="center"/>
          </w:tcPr>
          <w:p w14:paraId="421C61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内聚力演示器</w:t>
            </w:r>
          </w:p>
        </w:tc>
        <w:tc>
          <w:tcPr>
            <w:tcW w:w="1425" w:type="dxa"/>
            <w:tcBorders>
              <w:tl2br w:val="nil"/>
              <w:tr2bl w:val="nil"/>
            </w:tcBorders>
            <w:noWrap w:val="0"/>
            <w:vAlign w:val="center"/>
          </w:tcPr>
          <w:p w14:paraId="6F597DB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5649E8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两φ20×50mm铅圆柱体（镶铁长1/2)、挤压器和二根扳杆组成，附旋转式刮削器,挤压孔Ф8mm×35mm，铁镶块上有Ф5mm通孔，两铅圆柱体压接后拉开力60N</w:t>
            </w:r>
          </w:p>
        </w:tc>
        <w:tc>
          <w:tcPr>
            <w:tcW w:w="771" w:type="dxa"/>
            <w:tcBorders>
              <w:tl2br w:val="nil"/>
              <w:tr2bl w:val="nil"/>
            </w:tcBorders>
            <w:noWrap w:val="0"/>
            <w:vAlign w:val="center"/>
          </w:tcPr>
          <w:p w14:paraId="537EE47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D4BD31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4FD24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0B66F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117</w:t>
            </w:r>
          </w:p>
        </w:tc>
        <w:tc>
          <w:tcPr>
            <w:tcW w:w="1470" w:type="dxa"/>
            <w:tcBorders>
              <w:tl2br w:val="nil"/>
              <w:tr2bl w:val="nil"/>
            </w:tcBorders>
            <w:noWrap w:val="0"/>
            <w:vAlign w:val="center"/>
          </w:tcPr>
          <w:p w14:paraId="5B36288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空气压缩引火仪</w:t>
            </w:r>
          </w:p>
        </w:tc>
        <w:tc>
          <w:tcPr>
            <w:tcW w:w="1425" w:type="dxa"/>
            <w:tcBorders>
              <w:tl2br w:val="nil"/>
              <w:tr2bl w:val="nil"/>
            </w:tcBorders>
            <w:noWrap w:val="0"/>
            <w:vAlign w:val="center"/>
          </w:tcPr>
          <w:p w14:paraId="6CD68A3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30CAFF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透明有机玻璃气缸，内径Φ10mm，外径25mm,长130mmmm，底座Ф65mm。手柄Ф40mm，活塞杆Ф8mm。能引燃脱脂棉，不应使用硝化棉。</w:t>
            </w:r>
          </w:p>
        </w:tc>
        <w:tc>
          <w:tcPr>
            <w:tcW w:w="771" w:type="dxa"/>
            <w:tcBorders>
              <w:tl2br w:val="nil"/>
              <w:tr2bl w:val="nil"/>
            </w:tcBorders>
            <w:noWrap w:val="0"/>
            <w:vAlign w:val="center"/>
          </w:tcPr>
          <w:p w14:paraId="181338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8515F0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2BFA4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F4414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118</w:t>
            </w:r>
          </w:p>
        </w:tc>
        <w:tc>
          <w:tcPr>
            <w:tcW w:w="1470" w:type="dxa"/>
            <w:tcBorders>
              <w:tl2br w:val="nil"/>
              <w:tr2bl w:val="nil"/>
            </w:tcBorders>
            <w:noWrap w:val="0"/>
            <w:vAlign w:val="center"/>
          </w:tcPr>
          <w:p w14:paraId="1B97CAF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爆燃器</w:t>
            </w:r>
          </w:p>
        </w:tc>
        <w:tc>
          <w:tcPr>
            <w:tcW w:w="1425" w:type="dxa"/>
            <w:tcBorders>
              <w:tl2br w:val="nil"/>
              <w:tr2bl w:val="nil"/>
            </w:tcBorders>
            <w:noWrap w:val="0"/>
            <w:vAlign w:val="center"/>
          </w:tcPr>
          <w:p w14:paraId="341B1EF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6AB593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由内带放电针的无色透明聚丙烯缸体、缓冲冠、缸盖和底座组成，容积40mL～50mL，壁厚2mm。缸盖与缸体脱开力≤30N</w:t>
            </w:r>
          </w:p>
        </w:tc>
        <w:tc>
          <w:tcPr>
            <w:tcW w:w="771" w:type="dxa"/>
            <w:tcBorders>
              <w:tl2br w:val="nil"/>
              <w:tr2bl w:val="nil"/>
            </w:tcBorders>
            <w:noWrap w:val="0"/>
            <w:vAlign w:val="center"/>
          </w:tcPr>
          <w:p w14:paraId="2C612E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4351A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7C9D3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5F3241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119</w:t>
            </w:r>
          </w:p>
        </w:tc>
        <w:tc>
          <w:tcPr>
            <w:tcW w:w="1470" w:type="dxa"/>
            <w:tcBorders>
              <w:tl2br w:val="nil"/>
              <w:tr2bl w:val="nil"/>
            </w:tcBorders>
            <w:noWrap w:val="0"/>
            <w:vAlign w:val="center"/>
          </w:tcPr>
          <w:p w14:paraId="18C4C2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机械能热能互变演示器</w:t>
            </w:r>
          </w:p>
        </w:tc>
        <w:tc>
          <w:tcPr>
            <w:tcW w:w="1425" w:type="dxa"/>
            <w:tcBorders>
              <w:tl2br w:val="nil"/>
              <w:tr2bl w:val="nil"/>
            </w:tcBorders>
            <w:noWrap w:val="0"/>
            <w:vAlign w:val="center"/>
          </w:tcPr>
          <w:p w14:paraId="41E8A33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548A2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φ16mm×1mm紫铜导热管，长65mm。摩擦绳φ4.5mm，长1m。C形夹有效夹持厚度为5mm～55mm</w:t>
            </w:r>
          </w:p>
        </w:tc>
        <w:tc>
          <w:tcPr>
            <w:tcW w:w="771" w:type="dxa"/>
            <w:tcBorders>
              <w:tl2br w:val="nil"/>
              <w:tr2bl w:val="nil"/>
            </w:tcBorders>
            <w:noWrap w:val="0"/>
            <w:vAlign w:val="center"/>
          </w:tcPr>
          <w:p w14:paraId="458A8D2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0794A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6D246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BE1CBD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120</w:t>
            </w:r>
          </w:p>
        </w:tc>
        <w:tc>
          <w:tcPr>
            <w:tcW w:w="1470" w:type="dxa"/>
            <w:tcBorders>
              <w:tl2br w:val="nil"/>
              <w:tr2bl w:val="nil"/>
            </w:tcBorders>
            <w:noWrap w:val="0"/>
            <w:vAlign w:val="center"/>
          </w:tcPr>
          <w:p w14:paraId="6EC7C1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纸盘扬声器</w:t>
            </w:r>
          </w:p>
        </w:tc>
        <w:tc>
          <w:tcPr>
            <w:tcW w:w="1425" w:type="dxa"/>
            <w:tcBorders>
              <w:tl2br w:val="nil"/>
              <w:tr2bl w:val="nil"/>
            </w:tcBorders>
            <w:noWrap w:val="0"/>
            <w:vAlign w:val="center"/>
          </w:tcPr>
          <w:p w14:paraId="3742B41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9B9BD5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直径不小于200mm，8Ω，功率5W</w:t>
            </w:r>
          </w:p>
        </w:tc>
        <w:tc>
          <w:tcPr>
            <w:tcW w:w="771" w:type="dxa"/>
            <w:tcBorders>
              <w:tl2br w:val="nil"/>
              <w:tr2bl w:val="nil"/>
            </w:tcBorders>
            <w:noWrap w:val="0"/>
            <w:vAlign w:val="center"/>
          </w:tcPr>
          <w:p w14:paraId="16EE93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01B2E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3270B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2F564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121</w:t>
            </w:r>
          </w:p>
        </w:tc>
        <w:tc>
          <w:tcPr>
            <w:tcW w:w="1470" w:type="dxa"/>
            <w:tcBorders>
              <w:tl2br w:val="nil"/>
              <w:tr2bl w:val="nil"/>
            </w:tcBorders>
            <w:noWrap w:val="0"/>
            <w:vAlign w:val="center"/>
          </w:tcPr>
          <w:p w14:paraId="2F4A95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分子间隔演示器</w:t>
            </w:r>
          </w:p>
        </w:tc>
        <w:tc>
          <w:tcPr>
            <w:tcW w:w="1425" w:type="dxa"/>
            <w:tcBorders>
              <w:tl2br w:val="nil"/>
              <w:tr2bl w:val="nil"/>
            </w:tcBorders>
            <w:noWrap w:val="0"/>
            <w:vAlign w:val="center"/>
          </w:tcPr>
          <w:p w14:paraId="7FCF5E7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D04FF5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高200mm细长颈瓶，颈高90mm，直径9mm，瓶身直径40mm，口部有标度线，带塞；有透明塑料底座；附5mL塑料注射器，10mL油酸</w:t>
            </w:r>
          </w:p>
        </w:tc>
        <w:tc>
          <w:tcPr>
            <w:tcW w:w="771" w:type="dxa"/>
            <w:tcBorders>
              <w:tl2br w:val="nil"/>
              <w:tr2bl w:val="nil"/>
            </w:tcBorders>
            <w:noWrap w:val="0"/>
            <w:vAlign w:val="center"/>
          </w:tcPr>
          <w:p w14:paraId="386FF83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DFC5B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3F1676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339C6C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122</w:t>
            </w:r>
          </w:p>
        </w:tc>
        <w:tc>
          <w:tcPr>
            <w:tcW w:w="1470" w:type="dxa"/>
            <w:tcBorders>
              <w:tl2br w:val="nil"/>
              <w:tr2bl w:val="nil"/>
            </w:tcBorders>
            <w:noWrap w:val="0"/>
            <w:vAlign w:val="center"/>
          </w:tcPr>
          <w:p w14:paraId="12671BC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液体表面张力演示器</w:t>
            </w:r>
          </w:p>
        </w:tc>
        <w:tc>
          <w:tcPr>
            <w:tcW w:w="1425" w:type="dxa"/>
            <w:tcBorders>
              <w:tl2br w:val="nil"/>
              <w:tr2bl w:val="nil"/>
            </w:tcBorders>
            <w:noWrap w:val="0"/>
            <w:vAlign w:val="center"/>
          </w:tcPr>
          <w:p w14:paraId="1027724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3FA372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圆形框、凸圆形框、正四面体框、正六面体框、收缩框五种</w:t>
            </w:r>
          </w:p>
        </w:tc>
        <w:tc>
          <w:tcPr>
            <w:tcW w:w="771" w:type="dxa"/>
            <w:tcBorders>
              <w:tl2br w:val="nil"/>
              <w:tr2bl w:val="nil"/>
            </w:tcBorders>
            <w:noWrap w:val="0"/>
            <w:vAlign w:val="center"/>
          </w:tcPr>
          <w:p w14:paraId="5B84AF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406C8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1870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8FBB3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123</w:t>
            </w:r>
          </w:p>
        </w:tc>
        <w:tc>
          <w:tcPr>
            <w:tcW w:w="1470" w:type="dxa"/>
            <w:tcBorders>
              <w:tl2br w:val="nil"/>
              <w:tr2bl w:val="nil"/>
            </w:tcBorders>
            <w:noWrap w:val="0"/>
            <w:vAlign w:val="center"/>
          </w:tcPr>
          <w:p w14:paraId="35004B6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玻棒(附丝绸)</w:t>
            </w:r>
          </w:p>
        </w:tc>
        <w:tc>
          <w:tcPr>
            <w:tcW w:w="1425" w:type="dxa"/>
            <w:tcBorders>
              <w:tl2br w:val="nil"/>
              <w:tr2bl w:val="nil"/>
            </w:tcBorders>
            <w:noWrap w:val="0"/>
            <w:vAlign w:val="center"/>
          </w:tcPr>
          <w:p w14:paraId="3D78025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1F1CDF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有机玻棒，附面积应不小于350mm×350mm丝绸</w:t>
            </w:r>
          </w:p>
        </w:tc>
        <w:tc>
          <w:tcPr>
            <w:tcW w:w="771" w:type="dxa"/>
            <w:tcBorders>
              <w:tl2br w:val="nil"/>
              <w:tr2bl w:val="nil"/>
            </w:tcBorders>
            <w:noWrap w:val="0"/>
            <w:vAlign w:val="center"/>
          </w:tcPr>
          <w:p w14:paraId="2A1FC1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693182C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对</w:t>
            </w:r>
          </w:p>
        </w:tc>
      </w:tr>
      <w:tr w14:paraId="596436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CE7E4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124</w:t>
            </w:r>
          </w:p>
        </w:tc>
        <w:tc>
          <w:tcPr>
            <w:tcW w:w="1470" w:type="dxa"/>
            <w:tcBorders>
              <w:tl2br w:val="nil"/>
              <w:tr2bl w:val="nil"/>
            </w:tcBorders>
            <w:noWrap w:val="0"/>
            <w:vAlign w:val="center"/>
          </w:tcPr>
          <w:p w14:paraId="2F3C8C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胶棒(附毛皮)</w:t>
            </w:r>
          </w:p>
        </w:tc>
        <w:tc>
          <w:tcPr>
            <w:tcW w:w="1425" w:type="dxa"/>
            <w:tcBorders>
              <w:tl2br w:val="nil"/>
              <w:tr2bl w:val="nil"/>
            </w:tcBorders>
            <w:noWrap w:val="0"/>
            <w:vAlign w:val="center"/>
          </w:tcPr>
          <w:p w14:paraId="228486F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8CCCAF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聚碳酸脂棒，附面积应不小于150mm×150mm毛皮</w:t>
            </w:r>
          </w:p>
        </w:tc>
        <w:tc>
          <w:tcPr>
            <w:tcW w:w="771" w:type="dxa"/>
            <w:tcBorders>
              <w:tl2br w:val="nil"/>
              <w:tr2bl w:val="nil"/>
            </w:tcBorders>
            <w:noWrap w:val="0"/>
            <w:vAlign w:val="center"/>
          </w:tcPr>
          <w:p w14:paraId="1A95B9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B513D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对</w:t>
            </w:r>
          </w:p>
        </w:tc>
      </w:tr>
      <w:tr w14:paraId="0EFECC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A395E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125</w:t>
            </w:r>
          </w:p>
        </w:tc>
        <w:tc>
          <w:tcPr>
            <w:tcW w:w="1470" w:type="dxa"/>
            <w:tcBorders>
              <w:tl2br w:val="nil"/>
              <w:tr2bl w:val="nil"/>
            </w:tcBorders>
            <w:noWrap w:val="0"/>
            <w:vAlign w:val="center"/>
          </w:tcPr>
          <w:p w14:paraId="34F512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箔片验电器</w:t>
            </w:r>
          </w:p>
        </w:tc>
        <w:tc>
          <w:tcPr>
            <w:tcW w:w="1425" w:type="dxa"/>
            <w:tcBorders>
              <w:tl2br w:val="nil"/>
              <w:tr2bl w:val="nil"/>
            </w:tcBorders>
            <w:noWrap w:val="0"/>
            <w:vAlign w:val="center"/>
          </w:tcPr>
          <w:p w14:paraId="0643B31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8C07DC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金属外壳，透明玻璃观察面，毛玻璃非观察面，≤65%环境下带电后箔片张开角度约50°，在30°以上时间10min</w:t>
            </w:r>
          </w:p>
        </w:tc>
        <w:tc>
          <w:tcPr>
            <w:tcW w:w="771" w:type="dxa"/>
            <w:tcBorders>
              <w:tl2br w:val="nil"/>
              <w:tr2bl w:val="nil"/>
            </w:tcBorders>
            <w:noWrap w:val="0"/>
            <w:vAlign w:val="center"/>
          </w:tcPr>
          <w:p w14:paraId="165052B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4068A07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对</w:t>
            </w:r>
          </w:p>
        </w:tc>
      </w:tr>
      <w:tr w14:paraId="6A2960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4773E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126</w:t>
            </w:r>
          </w:p>
        </w:tc>
        <w:tc>
          <w:tcPr>
            <w:tcW w:w="1470" w:type="dxa"/>
            <w:tcBorders>
              <w:tl2br w:val="nil"/>
              <w:tr2bl w:val="nil"/>
            </w:tcBorders>
            <w:noWrap w:val="0"/>
            <w:vAlign w:val="center"/>
          </w:tcPr>
          <w:p w14:paraId="3B2CB43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指针验电器</w:t>
            </w:r>
          </w:p>
        </w:tc>
        <w:tc>
          <w:tcPr>
            <w:tcW w:w="1425" w:type="dxa"/>
            <w:tcBorders>
              <w:tl2br w:val="nil"/>
              <w:tr2bl w:val="nil"/>
            </w:tcBorders>
            <w:noWrap w:val="0"/>
            <w:vAlign w:val="center"/>
          </w:tcPr>
          <w:p w14:paraId="0633BCC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630E3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金属外壳，透明玻璃观察面，毛玻璃非观察面，收敛式刻度。指针≥100mm。≤65%环境下带电后指针张开约50°，在30°以上的时间10min</w:t>
            </w:r>
          </w:p>
        </w:tc>
        <w:tc>
          <w:tcPr>
            <w:tcW w:w="771" w:type="dxa"/>
            <w:tcBorders>
              <w:tl2br w:val="nil"/>
              <w:tr2bl w:val="nil"/>
            </w:tcBorders>
            <w:noWrap w:val="0"/>
            <w:vAlign w:val="center"/>
          </w:tcPr>
          <w:p w14:paraId="0B61BC8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F22D2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对</w:t>
            </w:r>
          </w:p>
        </w:tc>
      </w:tr>
      <w:tr w14:paraId="55699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F915E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127</w:t>
            </w:r>
          </w:p>
        </w:tc>
        <w:tc>
          <w:tcPr>
            <w:tcW w:w="1470" w:type="dxa"/>
            <w:tcBorders>
              <w:tl2br w:val="nil"/>
              <w:tr2bl w:val="nil"/>
            </w:tcBorders>
            <w:noWrap w:val="0"/>
            <w:vAlign w:val="center"/>
          </w:tcPr>
          <w:p w14:paraId="176CA3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感应起电机</w:t>
            </w:r>
          </w:p>
        </w:tc>
        <w:tc>
          <w:tcPr>
            <w:tcW w:w="1425" w:type="dxa"/>
            <w:tcBorders>
              <w:tl2br w:val="nil"/>
              <w:tr2bl w:val="nil"/>
            </w:tcBorders>
            <w:noWrap w:val="0"/>
            <w:vAlign w:val="center"/>
          </w:tcPr>
          <w:p w14:paraId="2B4688D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8D1E9D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Ф275mm有机玻璃起电盘厚3mm，28片铝箔和纸箔间隔分布，剥离强度8N，无横梁悬臂结构；束状磷铜丝电刷。起电盘轴横向窜动量≤1mm，盘径向跳动量≤1.5mm</w:t>
            </w:r>
          </w:p>
        </w:tc>
        <w:tc>
          <w:tcPr>
            <w:tcW w:w="771" w:type="dxa"/>
            <w:tcBorders>
              <w:tl2br w:val="nil"/>
              <w:tr2bl w:val="nil"/>
            </w:tcBorders>
            <w:noWrap w:val="0"/>
            <w:vAlign w:val="center"/>
          </w:tcPr>
          <w:p w14:paraId="35C433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DB6DC0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42310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303BB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128</w:t>
            </w:r>
          </w:p>
        </w:tc>
        <w:tc>
          <w:tcPr>
            <w:tcW w:w="1470" w:type="dxa"/>
            <w:tcBorders>
              <w:tl2br w:val="nil"/>
              <w:tr2bl w:val="nil"/>
            </w:tcBorders>
            <w:noWrap w:val="0"/>
            <w:vAlign w:val="center"/>
          </w:tcPr>
          <w:p w14:paraId="0C27B51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小灯座</w:t>
            </w:r>
          </w:p>
        </w:tc>
        <w:tc>
          <w:tcPr>
            <w:tcW w:w="1425" w:type="dxa"/>
            <w:tcBorders>
              <w:tl2br w:val="nil"/>
              <w:tr2bl w:val="nil"/>
            </w:tcBorders>
            <w:noWrap w:val="0"/>
            <w:vAlign w:val="center"/>
          </w:tcPr>
          <w:p w14:paraId="62BCA36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565881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E10螺口灯座，黄铜口圈，弹性中心触点，导线或铜片连接。接线柱帽不能旋下，插接两用，铜质固定螺杆M4，防松脱弹簧垫圈，铜质垫片</w:t>
            </w:r>
          </w:p>
        </w:tc>
        <w:tc>
          <w:tcPr>
            <w:tcW w:w="771" w:type="dxa"/>
            <w:tcBorders>
              <w:tl2br w:val="nil"/>
              <w:tr2bl w:val="nil"/>
            </w:tcBorders>
            <w:noWrap w:val="0"/>
            <w:vAlign w:val="center"/>
          </w:tcPr>
          <w:p w14:paraId="34F8C5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772" w:type="dxa"/>
            <w:tcBorders>
              <w:tl2br w:val="nil"/>
              <w:tr2bl w:val="nil"/>
            </w:tcBorders>
            <w:noWrap w:val="0"/>
            <w:vAlign w:val="center"/>
          </w:tcPr>
          <w:p w14:paraId="0468B7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FB4E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0B92E6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129</w:t>
            </w:r>
          </w:p>
        </w:tc>
        <w:tc>
          <w:tcPr>
            <w:tcW w:w="1470" w:type="dxa"/>
            <w:tcBorders>
              <w:tl2br w:val="nil"/>
              <w:tr2bl w:val="nil"/>
            </w:tcBorders>
            <w:noWrap w:val="0"/>
            <w:vAlign w:val="center"/>
          </w:tcPr>
          <w:p w14:paraId="4E4B250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单刀开关</w:t>
            </w:r>
          </w:p>
        </w:tc>
        <w:tc>
          <w:tcPr>
            <w:tcW w:w="1425" w:type="dxa"/>
            <w:tcBorders>
              <w:tl2br w:val="nil"/>
              <w:tr2bl w:val="nil"/>
            </w:tcBorders>
            <w:noWrap w:val="0"/>
            <w:vAlign w:val="center"/>
          </w:tcPr>
          <w:p w14:paraId="05042D6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8A617E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单刀单掷，铜质闸刀宽7mm厚0.7mm，接线柱帽不能旋下，插接两用，铜质固定螺杆M4，防松脱弹簧垫圈，铜质垫片</w:t>
            </w:r>
          </w:p>
        </w:tc>
        <w:tc>
          <w:tcPr>
            <w:tcW w:w="771" w:type="dxa"/>
            <w:tcBorders>
              <w:tl2br w:val="nil"/>
              <w:tr2bl w:val="nil"/>
            </w:tcBorders>
            <w:noWrap w:val="0"/>
            <w:vAlign w:val="center"/>
          </w:tcPr>
          <w:p w14:paraId="40D343E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772" w:type="dxa"/>
            <w:tcBorders>
              <w:tl2br w:val="nil"/>
              <w:tr2bl w:val="nil"/>
            </w:tcBorders>
            <w:noWrap w:val="0"/>
            <w:vAlign w:val="center"/>
          </w:tcPr>
          <w:p w14:paraId="1BB217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790EB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E590D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w:t>
            </w:r>
          </w:p>
        </w:tc>
        <w:tc>
          <w:tcPr>
            <w:tcW w:w="1470" w:type="dxa"/>
            <w:tcBorders>
              <w:tl2br w:val="nil"/>
              <w:tr2bl w:val="nil"/>
            </w:tcBorders>
            <w:noWrap w:val="0"/>
            <w:vAlign w:val="center"/>
          </w:tcPr>
          <w:p w14:paraId="18CBDA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滑动变阻器</w:t>
            </w:r>
          </w:p>
        </w:tc>
        <w:tc>
          <w:tcPr>
            <w:tcW w:w="1425" w:type="dxa"/>
            <w:tcBorders>
              <w:tl2br w:val="nil"/>
              <w:tr2bl w:val="nil"/>
            </w:tcBorders>
            <w:noWrap w:val="0"/>
            <w:vAlign w:val="center"/>
          </w:tcPr>
          <w:p w14:paraId="4E809F90">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B835E3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10Ω，2A，康铜电阻线，额定电流工作30min温升≤300℃。接线柱有防松动装置</w:t>
            </w:r>
          </w:p>
        </w:tc>
        <w:tc>
          <w:tcPr>
            <w:tcW w:w="771" w:type="dxa"/>
            <w:tcBorders>
              <w:tl2br w:val="nil"/>
              <w:tr2bl w:val="nil"/>
            </w:tcBorders>
            <w:noWrap w:val="0"/>
            <w:vAlign w:val="center"/>
          </w:tcPr>
          <w:p w14:paraId="3905E3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2A1C6A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F08BC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E72C6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131</w:t>
            </w:r>
          </w:p>
        </w:tc>
        <w:tc>
          <w:tcPr>
            <w:tcW w:w="1470" w:type="dxa"/>
            <w:tcBorders>
              <w:tl2br w:val="nil"/>
              <w:tr2bl w:val="nil"/>
            </w:tcBorders>
            <w:noWrap w:val="0"/>
            <w:vAlign w:val="center"/>
          </w:tcPr>
          <w:p w14:paraId="64A6F7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滑动变阻器</w:t>
            </w:r>
          </w:p>
        </w:tc>
        <w:tc>
          <w:tcPr>
            <w:tcW w:w="1425" w:type="dxa"/>
            <w:tcBorders>
              <w:tl2br w:val="nil"/>
              <w:tr2bl w:val="nil"/>
            </w:tcBorders>
            <w:noWrap w:val="0"/>
            <w:vAlign w:val="center"/>
          </w:tcPr>
          <w:p w14:paraId="5A685FE4">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6C8B2C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50Ω，1.5A，康铜电阻线，额定电流工作30min温升≤300℃。接线柱有防松动装置</w:t>
            </w:r>
          </w:p>
        </w:tc>
        <w:tc>
          <w:tcPr>
            <w:tcW w:w="771" w:type="dxa"/>
            <w:tcBorders>
              <w:tl2br w:val="nil"/>
              <w:tr2bl w:val="nil"/>
            </w:tcBorders>
            <w:noWrap w:val="0"/>
            <w:vAlign w:val="center"/>
          </w:tcPr>
          <w:p w14:paraId="71DBA3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7F8D18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100BF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7D06D7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132</w:t>
            </w:r>
          </w:p>
        </w:tc>
        <w:tc>
          <w:tcPr>
            <w:tcW w:w="1470" w:type="dxa"/>
            <w:tcBorders>
              <w:tl2br w:val="nil"/>
              <w:tr2bl w:val="nil"/>
            </w:tcBorders>
            <w:noWrap w:val="0"/>
            <w:vAlign w:val="center"/>
          </w:tcPr>
          <w:p w14:paraId="34F748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滑动变阻器</w:t>
            </w:r>
          </w:p>
        </w:tc>
        <w:tc>
          <w:tcPr>
            <w:tcW w:w="1425" w:type="dxa"/>
            <w:tcBorders>
              <w:tl2br w:val="nil"/>
              <w:tr2bl w:val="nil"/>
            </w:tcBorders>
            <w:noWrap w:val="0"/>
            <w:vAlign w:val="center"/>
          </w:tcPr>
          <w:p w14:paraId="4E5E634E">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A0FAD9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5Ω，3A，康铜电阻线，额定电流工作30min温升≤300℃。接线柱应有防松动装置</w:t>
            </w:r>
          </w:p>
        </w:tc>
        <w:tc>
          <w:tcPr>
            <w:tcW w:w="771" w:type="dxa"/>
            <w:tcBorders>
              <w:tl2br w:val="nil"/>
              <w:tr2bl w:val="nil"/>
            </w:tcBorders>
            <w:noWrap w:val="0"/>
            <w:vAlign w:val="center"/>
          </w:tcPr>
          <w:p w14:paraId="75F2B4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7E7C5B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A01F4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26EE76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w:t>
            </w:r>
          </w:p>
        </w:tc>
        <w:tc>
          <w:tcPr>
            <w:tcW w:w="1470" w:type="dxa"/>
            <w:tcBorders>
              <w:tl2br w:val="nil"/>
              <w:tr2bl w:val="nil"/>
            </w:tcBorders>
            <w:noWrap w:val="0"/>
            <w:vAlign w:val="center"/>
          </w:tcPr>
          <w:p w14:paraId="6D208A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电阻圈</w:t>
            </w:r>
          </w:p>
        </w:tc>
        <w:tc>
          <w:tcPr>
            <w:tcW w:w="1425" w:type="dxa"/>
            <w:tcBorders>
              <w:tl2br w:val="nil"/>
              <w:tr2bl w:val="nil"/>
            </w:tcBorders>
            <w:noWrap w:val="0"/>
            <w:vAlign w:val="center"/>
          </w:tcPr>
          <w:p w14:paraId="23BB18C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BEBDEE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5Ω/1.5A,10Ω/1A,15Ω/0.6A，连续工作2h，阻值误差≤1％</w:t>
            </w:r>
          </w:p>
        </w:tc>
        <w:tc>
          <w:tcPr>
            <w:tcW w:w="771" w:type="dxa"/>
            <w:tcBorders>
              <w:tl2br w:val="nil"/>
              <w:tr2bl w:val="nil"/>
            </w:tcBorders>
            <w:noWrap w:val="0"/>
            <w:vAlign w:val="center"/>
          </w:tcPr>
          <w:p w14:paraId="40A7C1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CB9C2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66C63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45B9F2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134</w:t>
            </w:r>
          </w:p>
        </w:tc>
        <w:tc>
          <w:tcPr>
            <w:tcW w:w="1470" w:type="dxa"/>
            <w:tcBorders>
              <w:tl2br w:val="nil"/>
              <w:tr2bl w:val="nil"/>
            </w:tcBorders>
            <w:noWrap w:val="0"/>
            <w:vAlign w:val="center"/>
          </w:tcPr>
          <w:p w14:paraId="0DAAD6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电阻定律演示器</w:t>
            </w:r>
          </w:p>
        </w:tc>
        <w:tc>
          <w:tcPr>
            <w:tcW w:w="1425" w:type="dxa"/>
            <w:tcBorders>
              <w:tl2br w:val="nil"/>
              <w:tr2bl w:val="nil"/>
            </w:tcBorders>
            <w:noWrap w:val="0"/>
            <w:vAlign w:val="center"/>
          </w:tcPr>
          <w:p w14:paraId="669A145B">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1AEDCA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Φ0.3mm、Φ0.5mm、Φ0.8mm镍铬丝，Φ0.3mm、Φ0.5mm、Φ0.8mm康铜丝，长度均为100cm，通过接线柱固定在底板上，有串联连接片，铜质接线柱和连接片</w:t>
            </w:r>
          </w:p>
        </w:tc>
        <w:tc>
          <w:tcPr>
            <w:tcW w:w="771" w:type="dxa"/>
            <w:tcBorders>
              <w:tl2br w:val="nil"/>
              <w:tr2bl w:val="nil"/>
            </w:tcBorders>
            <w:noWrap w:val="0"/>
            <w:vAlign w:val="center"/>
          </w:tcPr>
          <w:p w14:paraId="4E7926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2D907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2E69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6C3B7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135</w:t>
            </w:r>
          </w:p>
        </w:tc>
        <w:tc>
          <w:tcPr>
            <w:tcW w:w="1470" w:type="dxa"/>
            <w:tcBorders>
              <w:tl2br w:val="nil"/>
              <w:tr2bl w:val="nil"/>
            </w:tcBorders>
            <w:noWrap w:val="0"/>
            <w:vAlign w:val="center"/>
          </w:tcPr>
          <w:p w14:paraId="11740E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电阻定律实验器</w:t>
            </w:r>
          </w:p>
        </w:tc>
        <w:tc>
          <w:tcPr>
            <w:tcW w:w="1425" w:type="dxa"/>
            <w:tcBorders>
              <w:tl2br w:val="nil"/>
              <w:tr2bl w:val="nil"/>
            </w:tcBorders>
            <w:noWrap w:val="0"/>
            <w:vAlign w:val="center"/>
          </w:tcPr>
          <w:p w14:paraId="59502310">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EA1126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Φ0.3mm、Φ0.5mm、Φ0.8mm镍铬丝，Φ0.3mm、Φ0.5mm、Φ0.8mm康铜丝，长度均为50cm，通过接线柱固定在底板上，有串联连接片，铜质接线柱和连接片</w:t>
            </w:r>
          </w:p>
        </w:tc>
        <w:tc>
          <w:tcPr>
            <w:tcW w:w="771" w:type="dxa"/>
            <w:tcBorders>
              <w:tl2br w:val="nil"/>
              <w:tr2bl w:val="nil"/>
            </w:tcBorders>
            <w:noWrap w:val="0"/>
            <w:vAlign w:val="center"/>
          </w:tcPr>
          <w:p w14:paraId="032C59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2703D01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15C7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489D74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136</w:t>
            </w:r>
          </w:p>
        </w:tc>
        <w:tc>
          <w:tcPr>
            <w:tcW w:w="1470" w:type="dxa"/>
            <w:tcBorders>
              <w:tl2br w:val="nil"/>
              <w:tr2bl w:val="nil"/>
            </w:tcBorders>
            <w:noWrap w:val="0"/>
            <w:vAlign w:val="center"/>
          </w:tcPr>
          <w:p w14:paraId="74E377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演示电阻箱</w:t>
            </w:r>
          </w:p>
        </w:tc>
        <w:tc>
          <w:tcPr>
            <w:tcW w:w="1425" w:type="dxa"/>
            <w:tcBorders>
              <w:tl2br w:val="nil"/>
              <w:tr2bl w:val="nil"/>
            </w:tcBorders>
            <w:noWrap w:val="0"/>
            <w:vAlign w:val="center"/>
          </w:tcPr>
          <w:p w14:paraId="239942A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1B6664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1Ω、2Ω、2Ω、5Ω插头式，最大误差0.05Ω，1Ω、2Ω最大电流2A，5Ω最大电流1A。残余电阻≤0.05Ω</w:t>
            </w:r>
          </w:p>
        </w:tc>
        <w:tc>
          <w:tcPr>
            <w:tcW w:w="771" w:type="dxa"/>
            <w:tcBorders>
              <w:tl2br w:val="nil"/>
              <w:tr2bl w:val="nil"/>
            </w:tcBorders>
            <w:noWrap w:val="0"/>
            <w:vAlign w:val="center"/>
          </w:tcPr>
          <w:p w14:paraId="61F79A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A9D0B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3424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42726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w:t>
            </w:r>
          </w:p>
        </w:tc>
        <w:tc>
          <w:tcPr>
            <w:tcW w:w="1470" w:type="dxa"/>
            <w:tcBorders>
              <w:tl2br w:val="nil"/>
              <w:tr2bl w:val="nil"/>
            </w:tcBorders>
            <w:noWrap w:val="0"/>
            <w:vAlign w:val="center"/>
          </w:tcPr>
          <w:p w14:paraId="78BFAF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教学电阻箱</w:t>
            </w:r>
          </w:p>
        </w:tc>
        <w:tc>
          <w:tcPr>
            <w:tcW w:w="1425" w:type="dxa"/>
            <w:tcBorders>
              <w:tl2br w:val="nil"/>
              <w:tr2bl w:val="nil"/>
            </w:tcBorders>
            <w:noWrap w:val="0"/>
            <w:vAlign w:val="center"/>
          </w:tcPr>
          <w:p w14:paraId="2D9C264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CC7A5B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开关式，0Ω～9999.9Ω，×1000、×100、×10为0.5级，×1为1级，×0.1为2级</w:t>
            </w:r>
          </w:p>
        </w:tc>
        <w:tc>
          <w:tcPr>
            <w:tcW w:w="771" w:type="dxa"/>
            <w:tcBorders>
              <w:tl2br w:val="nil"/>
              <w:tr2bl w:val="nil"/>
            </w:tcBorders>
            <w:noWrap w:val="0"/>
            <w:vAlign w:val="center"/>
          </w:tcPr>
          <w:p w14:paraId="6C8002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4E80B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E77C0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2EFE7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w:t>
            </w:r>
          </w:p>
        </w:tc>
        <w:tc>
          <w:tcPr>
            <w:tcW w:w="1470" w:type="dxa"/>
            <w:tcBorders>
              <w:tl2br w:val="nil"/>
              <w:tr2bl w:val="nil"/>
            </w:tcBorders>
            <w:noWrap w:val="0"/>
            <w:vAlign w:val="center"/>
          </w:tcPr>
          <w:p w14:paraId="04A633B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简式电阻箱</w:t>
            </w:r>
          </w:p>
        </w:tc>
        <w:tc>
          <w:tcPr>
            <w:tcW w:w="1425" w:type="dxa"/>
            <w:tcBorders>
              <w:tl2br w:val="nil"/>
              <w:tr2bl w:val="nil"/>
            </w:tcBorders>
            <w:noWrap w:val="0"/>
            <w:vAlign w:val="center"/>
          </w:tcPr>
          <w:p w14:paraId="67C770F9">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10ADCE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开关式，0Ω～9999Ω，×1000、×100、×10为1级，×1为2级</w:t>
            </w:r>
          </w:p>
        </w:tc>
        <w:tc>
          <w:tcPr>
            <w:tcW w:w="771" w:type="dxa"/>
            <w:tcBorders>
              <w:tl2br w:val="nil"/>
              <w:tr2bl w:val="nil"/>
            </w:tcBorders>
            <w:noWrap w:val="0"/>
            <w:vAlign w:val="center"/>
          </w:tcPr>
          <w:p w14:paraId="3B2300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5ECBA53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7357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89013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w:t>
            </w:r>
          </w:p>
        </w:tc>
        <w:tc>
          <w:tcPr>
            <w:tcW w:w="1470" w:type="dxa"/>
            <w:tcBorders>
              <w:tl2br w:val="nil"/>
              <w:tr2bl w:val="nil"/>
            </w:tcBorders>
            <w:noWrap w:val="0"/>
            <w:vAlign w:val="center"/>
          </w:tcPr>
          <w:p w14:paraId="7A0543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演示线路实验板</w:t>
            </w:r>
          </w:p>
        </w:tc>
        <w:tc>
          <w:tcPr>
            <w:tcW w:w="1425" w:type="dxa"/>
            <w:tcBorders>
              <w:tl2br w:val="nil"/>
              <w:tr2bl w:val="nil"/>
            </w:tcBorders>
            <w:noWrap w:val="0"/>
            <w:vAlign w:val="center"/>
          </w:tcPr>
          <w:p w14:paraId="6455D13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9F2552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36cm×24cm×2cm的96孔板6；4W/5Ω、15Ω、20Ω各1，8W/10Ω2；R20电池座6；单极开关3；双极开关2；接线柱座6；电压表座3；电流表座3；灯座3；三角支板4；吊环6；压紧螺栓7；压紧环3；开口销钉、小接插座、康铜丝、镍铬丝、小灯泡、导线等结构件和附件</w:t>
            </w:r>
          </w:p>
        </w:tc>
        <w:tc>
          <w:tcPr>
            <w:tcW w:w="771" w:type="dxa"/>
            <w:tcBorders>
              <w:tl2br w:val="nil"/>
              <w:tr2bl w:val="nil"/>
            </w:tcBorders>
            <w:noWrap w:val="0"/>
            <w:vAlign w:val="center"/>
          </w:tcPr>
          <w:p w14:paraId="0ECF11B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15184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4D1D43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37852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140</w:t>
            </w:r>
          </w:p>
        </w:tc>
        <w:tc>
          <w:tcPr>
            <w:tcW w:w="1470" w:type="dxa"/>
            <w:tcBorders>
              <w:tl2br w:val="nil"/>
              <w:tr2bl w:val="nil"/>
            </w:tcBorders>
            <w:noWrap w:val="0"/>
            <w:vAlign w:val="center"/>
          </w:tcPr>
          <w:p w14:paraId="019B9A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初中电学演示箱</w:t>
            </w:r>
          </w:p>
        </w:tc>
        <w:tc>
          <w:tcPr>
            <w:tcW w:w="1425" w:type="dxa"/>
            <w:tcBorders>
              <w:tl2br w:val="nil"/>
              <w:tr2bl w:val="nil"/>
            </w:tcBorders>
            <w:noWrap w:val="0"/>
            <w:vAlign w:val="center"/>
          </w:tcPr>
          <w:p w14:paraId="27309D0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E67D48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主要配置及用材：电学实验模块、电学实验底板、滑动变阻器、 量热器、多用电表、导线等。</w:t>
            </w:r>
          </w:p>
        </w:tc>
        <w:tc>
          <w:tcPr>
            <w:tcW w:w="771" w:type="dxa"/>
            <w:tcBorders>
              <w:tl2br w:val="nil"/>
              <w:tr2bl w:val="nil"/>
            </w:tcBorders>
            <w:noWrap w:val="0"/>
            <w:vAlign w:val="center"/>
          </w:tcPr>
          <w:p w14:paraId="6C9CF8E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E6A0B1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ABF75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53A31C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141</w:t>
            </w:r>
          </w:p>
        </w:tc>
        <w:tc>
          <w:tcPr>
            <w:tcW w:w="1470" w:type="dxa"/>
            <w:tcBorders>
              <w:tl2br w:val="nil"/>
              <w:tr2bl w:val="nil"/>
            </w:tcBorders>
            <w:noWrap w:val="0"/>
            <w:vAlign w:val="center"/>
          </w:tcPr>
          <w:p w14:paraId="24B371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学生线路实验板</w:t>
            </w:r>
          </w:p>
        </w:tc>
        <w:tc>
          <w:tcPr>
            <w:tcW w:w="1425" w:type="dxa"/>
            <w:tcBorders>
              <w:tl2br w:val="nil"/>
              <w:tr2bl w:val="nil"/>
            </w:tcBorders>
            <w:noWrap w:val="0"/>
            <w:vAlign w:val="center"/>
          </w:tcPr>
          <w:p w14:paraId="092990E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E0B943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36cm×24cm×2cm的96孔板1，4W/5Ω2，8W/10Ω2，R20电池座4，单极开关3，灯座3，小接插座10，导线22</w:t>
            </w:r>
          </w:p>
        </w:tc>
        <w:tc>
          <w:tcPr>
            <w:tcW w:w="771" w:type="dxa"/>
            <w:tcBorders>
              <w:tl2br w:val="nil"/>
              <w:tr2bl w:val="nil"/>
            </w:tcBorders>
            <w:noWrap w:val="0"/>
            <w:vAlign w:val="center"/>
          </w:tcPr>
          <w:p w14:paraId="3E4322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2DEB8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875E4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8FA859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142</w:t>
            </w:r>
          </w:p>
        </w:tc>
        <w:tc>
          <w:tcPr>
            <w:tcW w:w="1470" w:type="dxa"/>
            <w:tcBorders>
              <w:tl2br w:val="nil"/>
              <w:tr2bl w:val="nil"/>
            </w:tcBorders>
            <w:noWrap w:val="0"/>
            <w:vAlign w:val="center"/>
          </w:tcPr>
          <w:p w14:paraId="26C41FB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单刀双掷开关</w:t>
            </w:r>
          </w:p>
        </w:tc>
        <w:tc>
          <w:tcPr>
            <w:tcW w:w="1425" w:type="dxa"/>
            <w:tcBorders>
              <w:tl2br w:val="nil"/>
              <w:tr2bl w:val="nil"/>
            </w:tcBorders>
            <w:noWrap w:val="0"/>
            <w:vAlign w:val="center"/>
          </w:tcPr>
          <w:p w14:paraId="1115DCE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CF976C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单刀双掷铜质闸刀宽7mm厚0.7mm，接线柱帽不能旋下，插接两用，铜质固定螺杆M4，防松脱弹簧垫圈，铜质垫片</w:t>
            </w:r>
          </w:p>
        </w:tc>
        <w:tc>
          <w:tcPr>
            <w:tcW w:w="771" w:type="dxa"/>
            <w:tcBorders>
              <w:tl2br w:val="nil"/>
              <w:tr2bl w:val="nil"/>
            </w:tcBorders>
            <w:noWrap w:val="0"/>
            <w:vAlign w:val="center"/>
          </w:tcPr>
          <w:p w14:paraId="2DF1E96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86FE6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C5715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552881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143</w:t>
            </w:r>
          </w:p>
        </w:tc>
        <w:tc>
          <w:tcPr>
            <w:tcW w:w="1470" w:type="dxa"/>
            <w:tcBorders>
              <w:tl2br w:val="nil"/>
              <w:tr2bl w:val="nil"/>
            </w:tcBorders>
            <w:noWrap w:val="0"/>
            <w:vAlign w:val="center"/>
          </w:tcPr>
          <w:p w14:paraId="4CC107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双刀双掷开关</w:t>
            </w:r>
          </w:p>
        </w:tc>
        <w:tc>
          <w:tcPr>
            <w:tcW w:w="1425" w:type="dxa"/>
            <w:tcBorders>
              <w:tl2br w:val="nil"/>
              <w:tr2bl w:val="nil"/>
            </w:tcBorders>
            <w:noWrap w:val="0"/>
            <w:vAlign w:val="center"/>
          </w:tcPr>
          <w:p w14:paraId="061AB80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BAD579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双刀双掷铜质闸刀宽7mm厚0.7mm，接线柱帽不能旋下，插接两用，铜质固定螺杆M4，防松脱弹簧垫圈，铜质垫片</w:t>
            </w:r>
          </w:p>
        </w:tc>
        <w:tc>
          <w:tcPr>
            <w:tcW w:w="771" w:type="dxa"/>
            <w:tcBorders>
              <w:tl2br w:val="nil"/>
              <w:tr2bl w:val="nil"/>
            </w:tcBorders>
            <w:noWrap w:val="0"/>
            <w:vAlign w:val="center"/>
          </w:tcPr>
          <w:p w14:paraId="2AF1450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772" w:type="dxa"/>
            <w:tcBorders>
              <w:tl2br w:val="nil"/>
              <w:tr2bl w:val="nil"/>
            </w:tcBorders>
            <w:noWrap w:val="0"/>
            <w:vAlign w:val="center"/>
          </w:tcPr>
          <w:p w14:paraId="29BE917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14DB9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131A9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144</w:t>
            </w:r>
          </w:p>
        </w:tc>
        <w:tc>
          <w:tcPr>
            <w:tcW w:w="1470" w:type="dxa"/>
            <w:tcBorders>
              <w:tl2br w:val="nil"/>
              <w:tr2bl w:val="nil"/>
            </w:tcBorders>
            <w:noWrap w:val="0"/>
            <w:vAlign w:val="center"/>
          </w:tcPr>
          <w:p w14:paraId="4E0C2FD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焦耳定律演示器</w:t>
            </w:r>
          </w:p>
        </w:tc>
        <w:tc>
          <w:tcPr>
            <w:tcW w:w="1425" w:type="dxa"/>
            <w:tcBorders>
              <w:tl2br w:val="nil"/>
              <w:tr2bl w:val="nil"/>
            </w:tcBorders>
            <w:noWrap w:val="0"/>
            <w:vAlign w:val="center"/>
          </w:tcPr>
          <w:p w14:paraId="1CB5512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6300C0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演示板，液体式，透明贮液筒3，底座3，电阻圈3（4Ω2，2Ω1，误差≤±5%），两数字温度计误差±1℃，能锁存</w:t>
            </w:r>
          </w:p>
        </w:tc>
        <w:tc>
          <w:tcPr>
            <w:tcW w:w="771" w:type="dxa"/>
            <w:tcBorders>
              <w:tl2br w:val="nil"/>
              <w:tr2bl w:val="nil"/>
            </w:tcBorders>
            <w:noWrap w:val="0"/>
            <w:vAlign w:val="center"/>
          </w:tcPr>
          <w:p w14:paraId="51C4B1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E9682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327421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D9EDD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145</w:t>
            </w:r>
          </w:p>
        </w:tc>
        <w:tc>
          <w:tcPr>
            <w:tcW w:w="1470" w:type="dxa"/>
            <w:tcBorders>
              <w:tl2br w:val="nil"/>
              <w:tr2bl w:val="nil"/>
            </w:tcBorders>
            <w:noWrap w:val="0"/>
            <w:vAlign w:val="center"/>
          </w:tcPr>
          <w:p w14:paraId="700490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焦耳定律实验器</w:t>
            </w:r>
          </w:p>
        </w:tc>
        <w:tc>
          <w:tcPr>
            <w:tcW w:w="1425" w:type="dxa"/>
            <w:tcBorders>
              <w:tl2br w:val="nil"/>
              <w:tr2bl w:val="nil"/>
            </w:tcBorders>
            <w:noWrap w:val="0"/>
            <w:vAlign w:val="center"/>
          </w:tcPr>
          <w:p w14:paraId="028FA9D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A47816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演示板，液体式，透明贮液筒3，底座3，电阻圈3（4Ω2，2Ω1，误差≤±5%），用玻璃液体温度计</w:t>
            </w:r>
          </w:p>
        </w:tc>
        <w:tc>
          <w:tcPr>
            <w:tcW w:w="771" w:type="dxa"/>
            <w:tcBorders>
              <w:tl2br w:val="nil"/>
              <w:tr2bl w:val="nil"/>
            </w:tcBorders>
            <w:noWrap w:val="0"/>
            <w:vAlign w:val="center"/>
          </w:tcPr>
          <w:p w14:paraId="4F3C2D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04DB192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C87A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9D0A5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146</w:t>
            </w:r>
          </w:p>
        </w:tc>
        <w:tc>
          <w:tcPr>
            <w:tcW w:w="1470" w:type="dxa"/>
            <w:tcBorders>
              <w:tl2br w:val="nil"/>
              <w:tr2bl w:val="nil"/>
            </w:tcBorders>
            <w:noWrap w:val="0"/>
            <w:vAlign w:val="center"/>
          </w:tcPr>
          <w:p w14:paraId="1396D48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保险丝作用演示器</w:t>
            </w:r>
          </w:p>
        </w:tc>
        <w:tc>
          <w:tcPr>
            <w:tcW w:w="1425" w:type="dxa"/>
            <w:tcBorders>
              <w:tl2br w:val="nil"/>
              <w:tr2bl w:val="nil"/>
            </w:tcBorders>
            <w:noWrap w:val="0"/>
            <w:vAlign w:val="center"/>
          </w:tcPr>
          <w:p w14:paraId="6AF7607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0C2D68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变压器输出≤14.5V，≥10A时≥12V；1A、2A、3A、5A铅保险丝；单芯铜线0.5mm长80mm10根；绝缘导线3A，290mm30根；单芯裸导线0.7mm，285mm10根；多芯短路导线150mm两端有接线夹；12V50W4和12V10W2灯泡</w:t>
            </w:r>
          </w:p>
        </w:tc>
        <w:tc>
          <w:tcPr>
            <w:tcW w:w="771" w:type="dxa"/>
            <w:tcBorders>
              <w:tl2br w:val="nil"/>
              <w:tr2bl w:val="nil"/>
            </w:tcBorders>
            <w:noWrap w:val="0"/>
            <w:vAlign w:val="center"/>
          </w:tcPr>
          <w:p w14:paraId="1EB3B5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B2D43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F4AD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716BA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147</w:t>
            </w:r>
          </w:p>
        </w:tc>
        <w:tc>
          <w:tcPr>
            <w:tcW w:w="1470" w:type="dxa"/>
            <w:tcBorders>
              <w:tl2br w:val="nil"/>
              <w:tr2bl w:val="nil"/>
            </w:tcBorders>
            <w:noWrap w:val="0"/>
            <w:vAlign w:val="center"/>
          </w:tcPr>
          <w:p w14:paraId="5C5BEE5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玩具电动机</w:t>
            </w:r>
          </w:p>
        </w:tc>
        <w:tc>
          <w:tcPr>
            <w:tcW w:w="1425" w:type="dxa"/>
            <w:tcBorders>
              <w:tl2br w:val="nil"/>
              <w:tr2bl w:val="nil"/>
            </w:tcBorders>
            <w:noWrap w:val="0"/>
            <w:vAlign w:val="center"/>
          </w:tcPr>
          <w:p w14:paraId="5FC7AAA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7A5CBC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启动≤0.8V，≤40mA，工作≤6V，带风扇，吹动风扇能发电点亮发光二极管，带底座</w:t>
            </w:r>
          </w:p>
        </w:tc>
        <w:tc>
          <w:tcPr>
            <w:tcW w:w="771" w:type="dxa"/>
            <w:tcBorders>
              <w:tl2br w:val="nil"/>
              <w:tr2bl w:val="nil"/>
            </w:tcBorders>
            <w:noWrap w:val="0"/>
            <w:vAlign w:val="center"/>
          </w:tcPr>
          <w:p w14:paraId="1522EC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79EA77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7F665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25AA1E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148</w:t>
            </w:r>
          </w:p>
        </w:tc>
        <w:tc>
          <w:tcPr>
            <w:tcW w:w="1470" w:type="dxa"/>
            <w:tcBorders>
              <w:tl2br w:val="nil"/>
              <w:tr2bl w:val="nil"/>
            </w:tcBorders>
            <w:noWrap w:val="0"/>
            <w:vAlign w:val="center"/>
          </w:tcPr>
          <w:p w14:paraId="344D04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金属导体电阻与温度关系演示器</w:t>
            </w:r>
          </w:p>
        </w:tc>
        <w:tc>
          <w:tcPr>
            <w:tcW w:w="1425" w:type="dxa"/>
            <w:tcBorders>
              <w:tl2br w:val="nil"/>
              <w:tr2bl w:val="nil"/>
            </w:tcBorders>
            <w:noWrap w:val="0"/>
            <w:vAlign w:val="center"/>
          </w:tcPr>
          <w:p w14:paraId="64ACF3D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649BA4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用3V电源，Ф≤0.3mm铁线绕成螺旋形，2.5V小灯泡</w:t>
            </w:r>
          </w:p>
        </w:tc>
        <w:tc>
          <w:tcPr>
            <w:tcW w:w="771" w:type="dxa"/>
            <w:tcBorders>
              <w:tl2br w:val="nil"/>
              <w:tr2bl w:val="nil"/>
            </w:tcBorders>
            <w:noWrap w:val="0"/>
            <w:vAlign w:val="center"/>
          </w:tcPr>
          <w:p w14:paraId="2B8AEC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D46EB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49C91A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CED13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149</w:t>
            </w:r>
          </w:p>
        </w:tc>
        <w:tc>
          <w:tcPr>
            <w:tcW w:w="1470" w:type="dxa"/>
            <w:tcBorders>
              <w:tl2br w:val="nil"/>
              <w:tr2bl w:val="nil"/>
            </w:tcBorders>
            <w:noWrap w:val="0"/>
            <w:vAlign w:val="center"/>
          </w:tcPr>
          <w:p w14:paraId="71749C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人体触电演示器</w:t>
            </w:r>
          </w:p>
        </w:tc>
        <w:tc>
          <w:tcPr>
            <w:tcW w:w="1425" w:type="dxa"/>
            <w:tcBorders>
              <w:tl2br w:val="nil"/>
              <w:tr2bl w:val="nil"/>
            </w:tcBorders>
            <w:noWrap w:val="0"/>
            <w:vAlign w:val="center"/>
          </w:tcPr>
          <w:p w14:paraId="6D0FDB2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6F5E10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示教板式。演示触电方式：电流经过两手、由手经人体到脚、跨步电压、接触设备带电外壳</w:t>
            </w:r>
          </w:p>
        </w:tc>
        <w:tc>
          <w:tcPr>
            <w:tcW w:w="771" w:type="dxa"/>
            <w:tcBorders>
              <w:tl2br w:val="nil"/>
              <w:tr2bl w:val="nil"/>
            </w:tcBorders>
            <w:noWrap w:val="0"/>
            <w:vAlign w:val="center"/>
          </w:tcPr>
          <w:p w14:paraId="78EA75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3A7AD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5B4699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A851D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150</w:t>
            </w:r>
          </w:p>
        </w:tc>
        <w:tc>
          <w:tcPr>
            <w:tcW w:w="1470" w:type="dxa"/>
            <w:tcBorders>
              <w:tl2br w:val="nil"/>
              <w:tr2bl w:val="nil"/>
            </w:tcBorders>
            <w:noWrap w:val="0"/>
            <w:vAlign w:val="center"/>
          </w:tcPr>
          <w:p w14:paraId="14367B7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玻璃导电演示器</w:t>
            </w:r>
          </w:p>
        </w:tc>
        <w:tc>
          <w:tcPr>
            <w:tcW w:w="1425" w:type="dxa"/>
            <w:tcBorders>
              <w:tl2br w:val="nil"/>
              <w:tr2bl w:val="nil"/>
            </w:tcBorders>
            <w:noWrap w:val="0"/>
            <w:vAlign w:val="center"/>
          </w:tcPr>
          <w:p w14:paraId="5C6EA83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7023B8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带隔离变压器，有防护罩，玻璃体位置适合于用酒精灯加热</w:t>
            </w:r>
          </w:p>
        </w:tc>
        <w:tc>
          <w:tcPr>
            <w:tcW w:w="771" w:type="dxa"/>
            <w:tcBorders>
              <w:tl2br w:val="nil"/>
              <w:tr2bl w:val="nil"/>
            </w:tcBorders>
            <w:noWrap w:val="0"/>
            <w:vAlign w:val="center"/>
          </w:tcPr>
          <w:p w14:paraId="1599A8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FD177B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727C4A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72A123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151</w:t>
            </w:r>
          </w:p>
        </w:tc>
        <w:tc>
          <w:tcPr>
            <w:tcW w:w="1470" w:type="dxa"/>
            <w:tcBorders>
              <w:tl2br w:val="nil"/>
              <w:tr2bl w:val="nil"/>
            </w:tcBorders>
            <w:noWrap w:val="0"/>
            <w:vAlign w:val="center"/>
          </w:tcPr>
          <w:p w14:paraId="5B21626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条形磁铁</w:t>
            </w:r>
          </w:p>
        </w:tc>
        <w:tc>
          <w:tcPr>
            <w:tcW w:w="1425" w:type="dxa"/>
            <w:tcBorders>
              <w:tl2br w:val="nil"/>
              <w:tr2bl w:val="nil"/>
            </w:tcBorders>
            <w:noWrap w:val="0"/>
            <w:vAlign w:val="center"/>
          </w:tcPr>
          <w:p w14:paraId="069F180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83609E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长180mm铝铁碳条形磁钢一对，截面积405mm2，配磁力线闭合铁片，表观磁感应强度≥0.070T</w:t>
            </w:r>
          </w:p>
        </w:tc>
        <w:tc>
          <w:tcPr>
            <w:tcW w:w="771" w:type="dxa"/>
            <w:tcBorders>
              <w:tl2br w:val="nil"/>
              <w:tr2bl w:val="nil"/>
            </w:tcBorders>
            <w:noWrap w:val="0"/>
            <w:vAlign w:val="center"/>
          </w:tcPr>
          <w:p w14:paraId="0A6DFF2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26C9D5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对</w:t>
            </w:r>
          </w:p>
        </w:tc>
      </w:tr>
      <w:tr w14:paraId="1B8D9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369F4F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152</w:t>
            </w:r>
          </w:p>
        </w:tc>
        <w:tc>
          <w:tcPr>
            <w:tcW w:w="1470" w:type="dxa"/>
            <w:tcBorders>
              <w:tl2br w:val="nil"/>
              <w:tr2bl w:val="nil"/>
            </w:tcBorders>
            <w:noWrap w:val="0"/>
            <w:vAlign w:val="center"/>
          </w:tcPr>
          <w:p w14:paraId="30EFD0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蹄形磁铁</w:t>
            </w:r>
          </w:p>
        </w:tc>
        <w:tc>
          <w:tcPr>
            <w:tcW w:w="1425" w:type="dxa"/>
            <w:tcBorders>
              <w:tl2br w:val="nil"/>
              <w:tr2bl w:val="nil"/>
            </w:tcBorders>
            <w:noWrap w:val="0"/>
            <w:vAlign w:val="center"/>
          </w:tcPr>
          <w:p w14:paraId="3F9F6D7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E5B853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长80mm铝铁碳U形磁钢一个，截面积200mm2，配磁力线闭合衔铁，表观磁感应强度≥0.055T。</w:t>
            </w:r>
          </w:p>
        </w:tc>
        <w:tc>
          <w:tcPr>
            <w:tcW w:w="771" w:type="dxa"/>
            <w:tcBorders>
              <w:tl2br w:val="nil"/>
              <w:tr2bl w:val="nil"/>
            </w:tcBorders>
            <w:noWrap w:val="0"/>
            <w:vAlign w:val="center"/>
          </w:tcPr>
          <w:p w14:paraId="173C29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646A91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2B23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9412E4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153</w:t>
            </w:r>
          </w:p>
        </w:tc>
        <w:tc>
          <w:tcPr>
            <w:tcW w:w="1470" w:type="dxa"/>
            <w:tcBorders>
              <w:tl2br w:val="nil"/>
              <w:tr2bl w:val="nil"/>
            </w:tcBorders>
            <w:noWrap w:val="0"/>
            <w:vAlign w:val="center"/>
          </w:tcPr>
          <w:p w14:paraId="7218B9C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磁感线演示器</w:t>
            </w:r>
          </w:p>
        </w:tc>
        <w:tc>
          <w:tcPr>
            <w:tcW w:w="1425" w:type="dxa"/>
            <w:tcBorders>
              <w:tl2br w:val="nil"/>
              <w:tr2bl w:val="nil"/>
            </w:tcBorders>
            <w:noWrap w:val="0"/>
            <w:vAlign w:val="center"/>
          </w:tcPr>
          <w:p w14:paraId="0D725B5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EDB959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油封铁粉式，环境温度大于10℃时摇匀铁粉每次≤20s</w:t>
            </w:r>
          </w:p>
        </w:tc>
        <w:tc>
          <w:tcPr>
            <w:tcW w:w="771" w:type="dxa"/>
            <w:tcBorders>
              <w:tl2br w:val="nil"/>
              <w:tr2bl w:val="nil"/>
            </w:tcBorders>
            <w:noWrap w:val="0"/>
            <w:vAlign w:val="center"/>
          </w:tcPr>
          <w:p w14:paraId="2DCDBD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4E2C5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BF668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A11C3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154</w:t>
            </w:r>
          </w:p>
        </w:tc>
        <w:tc>
          <w:tcPr>
            <w:tcW w:w="1470" w:type="dxa"/>
            <w:tcBorders>
              <w:tl2br w:val="nil"/>
              <w:tr2bl w:val="nil"/>
            </w:tcBorders>
            <w:noWrap w:val="0"/>
            <w:vAlign w:val="center"/>
          </w:tcPr>
          <w:p w14:paraId="23147BB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立体磁感线演示器</w:t>
            </w:r>
          </w:p>
        </w:tc>
        <w:tc>
          <w:tcPr>
            <w:tcW w:w="1425" w:type="dxa"/>
            <w:tcBorders>
              <w:tl2br w:val="nil"/>
              <w:tr2bl w:val="nil"/>
            </w:tcBorders>
            <w:noWrap w:val="0"/>
            <w:vAlign w:val="center"/>
          </w:tcPr>
          <w:p w14:paraId="74E1283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813C04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铁针事先未排好方向或位置，显示条形、U形永磁铁的空间磁场分布</w:t>
            </w:r>
          </w:p>
        </w:tc>
        <w:tc>
          <w:tcPr>
            <w:tcW w:w="771" w:type="dxa"/>
            <w:tcBorders>
              <w:tl2br w:val="nil"/>
              <w:tr2bl w:val="nil"/>
            </w:tcBorders>
            <w:noWrap w:val="0"/>
            <w:vAlign w:val="center"/>
          </w:tcPr>
          <w:p w14:paraId="0BEA44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41BE43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32E21E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277" w:hRule="atLeast"/>
        </w:trPr>
        <w:tc>
          <w:tcPr>
            <w:tcW w:w="686" w:type="dxa"/>
            <w:tcBorders>
              <w:tl2br w:val="nil"/>
              <w:tr2bl w:val="nil"/>
            </w:tcBorders>
            <w:shd w:val="clear" w:color="auto" w:fill="auto"/>
            <w:noWrap w:val="0"/>
            <w:vAlign w:val="center"/>
          </w:tcPr>
          <w:p w14:paraId="5F73BBB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155</w:t>
            </w:r>
          </w:p>
        </w:tc>
        <w:tc>
          <w:tcPr>
            <w:tcW w:w="1470" w:type="dxa"/>
            <w:tcBorders>
              <w:tl2br w:val="nil"/>
              <w:tr2bl w:val="nil"/>
            </w:tcBorders>
            <w:noWrap w:val="0"/>
            <w:vAlign w:val="center"/>
          </w:tcPr>
          <w:p w14:paraId="1AF96FA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磁感线演示板</w:t>
            </w:r>
          </w:p>
        </w:tc>
        <w:tc>
          <w:tcPr>
            <w:tcW w:w="1425" w:type="dxa"/>
            <w:tcBorders>
              <w:tl2br w:val="nil"/>
              <w:tr2bl w:val="nil"/>
            </w:tcBorders>
            <w:noWrap w:val="0"/>
            <w:vAlign w:val="center"/>
          </w:tcPr>
          <w:p w14:paraId="112B6F6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E6724A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有≥132个内含自由活动小铁棒空穴的透明投影板3块，圆线圈（可组成螺线管、单个圆线圈、亥姆霍兹线圈）和方线圈，铁芯板和铁环能放进螺线管，磁针、铁芯棒、铁环和投影板座组成</w:t>
            </w:r>
          </w:p>
        </w:tc>
        <w:tc>
          <w:tcPr>
            <w:tcW w:w="771" w:type="dxa"/>
            <w:tcBorders>
              <w:tl2br w:val="nil"/>
              <w:tr2bl w:val="nil"/>
            </w:tcBorders>
            <w:noWrap w:val="0"/>
            <w:vAlign w:val="center"/>
          </w:tcPr>
          <w:p w14:paraId="7799AC3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001F7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9D428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7338C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156</w:t>
            </w:r>
          </w:p>
        </w:tc>
        <w:tc>
          <w:tcPr>
            <w:tcW w:w="1470" w:type="dxa"/>
            <w:tcBorders>
              <w:tl2br w:val="nil"/>
              <w:tr2bl w:val="nil"/>
            </w:tcBorders>
            <w:noWrap w:val="0"/>
            <w:vAlign w:val="center"/>
          </w:tcPr>
          <w:p w14:paraId="72980F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电流磁场演示器</w:t>
            </w:r>
          </w:p>
        </w:tc>
        <w:tc>
          <w:tcPr>
            <w:tcW w:w="1425" w:type="dxa"/>
            <w:tcBorders>
              <w:tl2br w:val="nil"/>
              <w:tr2bl w:val="nil"/>
            </w:tcBorders>
            <w:noWrap w:val="0"/>
            <w:vAlign w:val="center"/>
          </w:tcPr>
          <w:p w14:paraId="6AB95C4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68C1CB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油封铁粉盒式，显示通电直线电流、单匝线圈、螺线管的磁场分布</w:t>
            </w:r>
          </w:p>
        </w:tc>
        <w:tc>
          <w:tcPr>
            <w:tcW w:w="771" w:type="dxa"/>
            <w:tcBorders>
              <w:tl2br w:val="nil"/>
              <w:tr2bl w:val="nil"/>
            </w:tcBorders>
            <w:noWrap w:val="0"/>
            <w:vAlign w:val="center"/>
          </w:tcPr>
          <w:p w14:paraId="7197605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6F859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3159DC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FC8ABB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157</w:t>
            </w:r>
          </w:p>
        </w:tc>
        <w:tc>
          <w:tcPr>
            <w:tcW w:w="1470" w:type="dxa"/>
            <w:tcBorders>
              <w:tl2br w:val="nil"/>
              <w:tr2bl w:val="nil"/>
            </w:tcBorders>
            <w:noWrap w:val="0"/>
            <w:vAlign w:val="center"/>
          </w:tcPr>
          <w:p w14:paraId="00B5408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菱形小磁针</w:t>
            </w:r>
          </w:p>
        </w:tc>
        <w:tc>
          <w:tcPr>
            <w:tcW w:w="1425" w:type="dxa"/>
            <w:tcBorders>
              <w:tl2br w:val="nil"/>
              <w:tr2bl w:val="nil"/>
            </w:tcBorders>
            <w:noWrap w:val="0"/>
            <w:vAlign w:val="center"/>
          </w:tcPr>
          <w:p w14:paraId="55EF326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629D5C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菱形小磁针16支，磁针28mm×8mm，磁针体中间铆接铜轴承套的嵌玻璃轴承；平均磁感应强度≥5mT</w:t>
            </w:r>
          </w:p>
        </w:tc>
        <w:tc>
          <w:tcPr>
            <w:tcW w:w="771" w:type="dxa"/>
            <w:tcBorders>
              <w:tl2br w:val="nil"/>
              <w:tr2bl w:val="nil"/>
            </w:tcBorders>
            <w:noWrap w:val="0"/>
            <w:vAlign w:val="center"/>
          </w:tcPr>
          <w:p w14:paraId="40AACD0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3B73861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E4A1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249D19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w:t>
            </w:r>
          </w:p>
        </w:tc>
        <w:tc>
          <w:tcPr>
            <w:tcW w:w="1470" w:type="dxa"/>
            <w:tcBorders>
              <w:tl2br w:val="nil"/>
              <w:tr2bl w:val="nil"/>
            </w:tcBorders>
            <w:noWrap w:val="0"/>
            <w:vAlign w:val="center"/>
          </w:tcPr>
          <w:p w14:paraId="7148BBF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翼形磁针</w:t>
            </w:r>
          </w:p>
        </w:tc>
        <w:tc>
          <w:tcPr>
            <w:tcW w:w="1425" w:type="dxa"/>
            <w:tcBorders>
              <w:tl2br w:val="nil"/>
              <w:tr2bl w:val="nil"/>
            </w:tcBorders>
            <w:noWrap w:val="0"/>
            <w:vAlign w:val="center"/>
          </w:tcPr>
          <w:p w14:paraId="4F7775A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B86179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翼型磁针2支，针体140mm×8mm，磁针体中间铆接铜轴承套的嵌玻璃轴承。平均磁感应强度≥9mT</w:t>
            </w:r>
          </w:p>
        </w:tc>
        <w:tc>
          <w:tcPr>
            <w:tcW w:w="771" w:type="dxa"/>
            <w:tcBorders>
              <w:tl2br w:val="nil"/>
              <w:tr2bl w:val="nil"/>
            </w:tcBorders>
            <w:noWrap w:val="0"/>
            <w:vAlign w:val="center"/>
          </w:tcPr>
          <w:p w14:paraId="78E8EFF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7CC2E2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对</w:t>
            </w:r>
          </w:p>
        </w:tc>
      </w:tr>
      <w:tr w14:paraId="5455C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C7ECC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159</w:t>
            </w:r>
          </w:p>
        </w:tc>
        <w:tc>
          <w:tcPr>
            <w:tcW w:w="1470" w:type="dxa"/>
            <w:tcBorders>
              <w:tl2br w:val="nil"/>
              <w:tr2bl w:val="nil"/>
            </w:tcBorders>
            <w:noWrap w:val="0"/>
            <w:vAlign w:val="center"/>
          </w:tcPr>
          <w:p w14:paraId="69E6209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演示原副线圈</w:t>
            </w:r>
          </w:p>
        </w:tc>
        <w:tc>
          <w:tcPr>
            <w:tcW w:w="1425" w:type="dxa"/>
            <w:tcBorders>
              <w:tl2br w:val="nil"/>
              <w:tr2bl w:val="nil"/>
            </w:tcBorders>
            <w:noWrap w:val="0"/>
            <w:vAlign w:val="center"/>
          </w:tcPr>
          <w:p w14:paraId="16AA73C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3F5ADA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原线圈架内径13mm，外径22mm，0.59mm线400±8匝，副线圈架内径35mm，外径49mm，0.27mm线2000±50匝；软铁芯Φ12mm×113mm，有塑料手柄</w:t>
            </w:r>
          </w:p>
        </w:tc>
        <w:tc>
          <w:tcPr>
            <w:tcW w:w="771" w:type="dxa"/>
            <w:tcBorders>
              <w:tl2br w:val="nil"/>
              <w:tr2bl w:val="nil"/>
            </w:tcBorders>
            <w:noWrap w:val="0"/>
            <w:vAlign w:val="center"/>
          </w:tcPr>
          <w:p w14:paraId="78CFB0B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4C024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E135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2ABE6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160</w:t>
            </w:r>
          </w:p>
        </w:tc>
        <w:tc>
          <w:tcPr>
            <w:tcW w:w="1470" w:type="dxa"/>
            <w:tcBorders>
              <w:tl2br w:val="nil"/>
              <w:tr2bl w:val="nil"/>
            </w:tcBorders>
            <w:noWrap w:val="0"/>
            <w:vAlign w:val="center"/>
          </w:tcPr>
          <w:p w14:paraId="180C75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原副线圈</w:t>
            </w:r>
          </w:p>
        </w:tc>
        <w:tc>
          <w:tcPr>
            <w:tcW w:w="1425" w:type="dxa"/>
            <w:tcBorders>
              <w:tl2br w:val="nil"/>
              <w:tr2bl w:val="nil"/>
            </w:tcBorders>
            <w:noWrap w:val="0"/>
            <w:vAlign w:val="center"/>
          </w:tcPr>
          <w:p w14:paraId="752F4DC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693E6B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原线圈架内径11mm，外径15mm，0.44mm线240匝，副线圈架内径24mm，外径30mm，0.23mm线755匝；软铁芯Φ10mm×77mm，有塑料手柄</w:t>
            </w:r>
          </w:p>
        </w:tc>
        <w:tc>
          <w:tcPr>
            <w:tcW w:w="771" w:type="dxa"/>
            <w:tcBorders>
              <w:tl2br w:val="nil"/>
              <w:tr2bl w:val="nil"/>
            </w:tcBorders>
            <w:noWrap w:val="0"/>
            <w:vAlign w:val="center"/>
          </w:tcPr>
          <w:p w14:paraId="3C1220F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F4483A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A9A22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1191D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161</w:t>
            </w:r>
          </w:p>
        </w:tc>
        <w:tc>
          <w:tcPr>
            <w:tcW w:w="1470" w:type="dxa"/>
            <w:tcBorders>
              <w:tl2br w:val="nil"/>
              <w:tr2bl w:val="nil"/>
            </w:tcBorders>
            <w:noWrap w:val="0"/>
            <w:vAlign w:val="center"/>
          </w:tcPr>
          <w:p w14:paraId="4A81233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蹄形电磁铁</w:t>
            </w:r>
          </w:p>
        </w:tc>
        <w:tc>
          <w:tcPr>
            <w:tcW w:w="1425" w:type="dxa"/>
            <w:tcBorders>
              <w:tl2br w:val="nil"/>
              <w:tr2bl w:val="nil"/>
            </w:tcBorders>
            <w:noWrap w:val="0"/>
            <w:vAlign w:val="center"/>
          </w:tcPr>
          <w:p w14:paraId="30CEABB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DD8920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磁路≥220mm，磁极面中心距≥40mm。线圈架两端有铜质接线柱，铜质焊片及垫圈。吸力≥49N，剩余磁力≤5.88N。工作电压≤6V，电流≤1A</w:t>
            </w:r>
          </w:p>
        </w:tc>
        <w:tc>
          <w:tcPr>
            <w:tcW w:w="771" w:type="dxa"/>
            <w:tcBorders>
              <w:tl2br w:val="nil"/>
              <w:tr2bl w:val="nil"/>
            </w:tcBorders>
            <w:noWrap w:val="0"/>
            <w:vAlign w:val="center"/>
          </w:tcPr>
          <w:p w14:paraId="34BD525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55506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5A05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65B90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162</w:t>
            </w:r>
          </w:p>
        </w:tc>
        <w:tc>
          <w:tcPr>
            <w:tcW w:w="1470" w:type="dxa"/>
            <w:tcBorders>
              <w:tl2br w:val="nil"/>
              <w:tr2bl w:val="nil"/>
            </w:tcBorders>
            <w:noWrap w:val="0"/>
            <w:vAlign w:val="center"/>
          </w:tcPr>
          <w:p w14:paraId="52AC55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电磁铁实验器</w:t>
            </w:r>
          </w:p>
        </w:tc>
        <w:tc>
          <w:tcPr>
            <w:tcW w:w="1425" w:type="dxa"/>
            <w:tcBorders>
              <w:tl2br w:val="nil"/>
              <w:tr2bl w:val="nil"/>
            </w:tcBorders>
            <w:noWrap w:val="0"/>
            <w:vAlign w:val="center"/>
          </w:tcPr>
          <w:p w14:paraId="48558F2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684FEA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线圈2组、柱形铁芯1个、蹄形铁芯1个、衔铁2个，附连接导线3根，500mA时产生的吸力应能提起200g物体</w:t>
            </w:r>
          </w:p>
        </w:tc>
        <w:tc>
          <w:tcPr>
            <w:tcW w:w="771" w:type="dxa"/>
            <w:tcBorders>
              <w:tl2br w:val="nil"/>
              <w:tr2bl w:val="nil"/>
            </w:tcBorders>
            <w:noWrap w:val="0"/>
            <w:vAlign w:val="center"/>
          </w:tcPr>
          <w:p w14:paraId="612FB4C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762AD0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9ADC0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38210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163</w:t>
            </w:r>
          </w:p>
        </w:tc>
        <w:tc>
          <w:tcPr>
            <w:tcW w:w="1470" w:type="dxa"/>
            <w:tcBorders>
              <w:tl2br w:val="nil"/>
              <w:tr2bl w:val="nil"/>
            </w:tcBorders>
            <w:noWrap w:val="0"/>
            <w:vAlign w:val="center"/>
          </w:tcPr>
          <w:p w14:paraId="42407E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电铃</w:t>
            </w:r>
          </w:p>
        </w:tc>
        <w:tc>
          <w:tcPr>
            <w:tcW w:w="1425" w:type="dxa"/>
            <w:tcBorders>
              <w:tl2br w:val="nil"/>
              <w:tr2bl w:val="nil"/>
            </w:tcBorders>
            <w:noWrap w:val="0"/>
            <w:vAlign w:val="center"/>
          </w:tcPr>
          <w:p w14:paraId="6BF9BBD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672584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电磁铁、衔铁、铁铃、衬板和底座。直流3V～6V。线圈电阻10Ω～20Ω。衔铁的触点为银质，φ75mm自行车铃盖</w:t>
            </w:r>
          </w:p>
        </w:tc>
        <w:tc>
          <w:tcPr>
            <w:tcW w:w="771" w:type="dxa"/>
            <w:tcBorders>
              <w:tl2br w:val="nil"/>
              <w:tr2bl w:val="nil"/>
            </w:tcBorders>
            <w:noWrap w:val="0"/>
            <w:vAlign w:val="center"/>
          </w:tcPr>
          <w:p w14:paraId="1584743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1F344E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B601E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A7B8A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164</w:t>
            </w:r>
          </w:p>
        </w:tc>
        <w:tc>
          <w:tcPr>
            <w:tcW w:w="1470" w:type="dxa"/>
            <w:tcBorders>
              <w:tl2br w:val="nil"/>
              <w:tr2bl w:val="nil"/>
            </w:tcBorders>
            <w:noWrap w:val="0"/>
            <w:vAlign w:val="center"/>
          </w:tcPr>
          <w:p w14:paraId="4BED80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演示电磁继电器</w:t>
            </w:r>
          </w:p>
        </w:tc>
        <w:tc>
          <w:tcPr>
            <w:tcW w:w="1425" w:type="dxa"/>
            <w:tcBorders>
              <w:tl2br w:val="nil"/>
              <w:tr2bl w:val="nil"/>
            </w:tcBorders>
            <w:noWrap w:val="0"/>
            <w:vAlign w:val="center"/>
          </w:tcPr>
          <w:p w14:paraId="4EA3F00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42A358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200mm×90mm×230mm立式，DC9V60mA，吸合≤48mA，释放≥10mA。接触电阻常闭lΩ常开＜0.5Ω。触点开距≥2mm。触点表面镀银或镀镍。线圈外有绕向标志，500次无误动作</w:t>
            </w:r>
          </w:p>
        </w:tc>
        <w:tc>
          <w:tcPr>
            <w:tcW w:w="771" w:type="dxa"/>
            <w:tcBorders>
              <w:tl2br w:val="nil"/>
              <w:tr2bl w:val="nil"/>
            </w:tcBorders>
            <w:noWrap w:val="0"/>
            <w:vAlign w:val="center"/>
          </w:tcPr>
          <w:p w14:paraId="2F93953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1C7E2B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9B932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8B6A8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165</w:t>
            </w:r>
          </w:p>
        </w:tc>
        <w:tc>
          <w:tcPr>
            <w:tcW w:w="1470" w:type="dxa"/>
            <w:tcBorders>
              <w:tl2br w:val="nil"/>
              <w:tr2bl w:val="nil"/>
            </w:tcBorders>
            <w:noWrap w:val="0"/>
            <w:vAlign w:val="center"/>
          </w:tcPr>
          <w:p w14:paraId="610FDA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电磁继电器</w:t>
            </w:r>
          </w:p>
        </w:tc>
        <w:tc>
          <w:tcPr>
            <w:tcW w:w="1425" w:type="dxa"/>
            <w:tcBorders>
              <w:tl2br w:val="nil"/>
              <w:tr2bl w:val="nil"/>
            </w:tcBorders>
            <w:noWrap w:val="0"/>
            <w:vAlign w:val="center"/>
          </w:tcPr>
          <w:p w14:paraId="44DF323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FC7CFE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透明外壳，6V30mA；吸合≤30mA，释放≥7.5mA。触点＜0.2Ω纯银或经表面处理铜，铜质螺钉接线柱。引线颜色与接线柱帽相同，接线柱旁有标志</w:t>
            </w:r>
          </w:p>
        </w:tc>
        <w:tc>
          <w:tcPr>
            <w:tcW w:w="771" w:type="dxa"/>
            <w:tcBorders>
              <w:tl2br w:val="nil"/>
              <w:tr2bl w:val="nil"/>
            </w:tcBorders>
            <w:noWrap w:val="0"/>
            <w:vAlign w:val="center"/>
          </w:tcPr>
          <w:p w14:paraId="3F2DF6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34CB9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528A6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615877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166</w:t>
            </w:r>
          </w:p>
        </w:tc>
        <w:tc>
          <w:tcPr>
            <w:tcW w:w="1470" w:type="dxa"/>
            <w:tcBorders>
              <w:tl2br w:val="nil"/>
              <w:tr2bl w:val="nil"/>
            </w:tcBorders>
            <w:noWrap w:val="0"/>
            <w:vAlign w:val="center"/>
          </w:tcPr>
          <w:p w14:paraId="1A0EE0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磁场对电流作用实验器</w:t>
            </w:r>
          </w:p>
        </w:tc>
        <w:tc>
          <w:tcPr>
            <w:tcW w:w="1425" w:type="dxa"/>
            <w:tcBorders>
              <w:tl2br w:val="nil"/>
              <w:tr2bl w:val="nil"/>
            </w:tcBorders>
            <w:noWrap w:val="0"/>
            <w:vAlign w:val="center"/>
          </w:tcPr>
          <w:p w14:paraId="721B225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FCD2CB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Ф2mm铜棒1、接线柱、导轨、U形磁钢、有固定磁铁（磁极方向可换）的底板。导体滚动电流≤2A。附砂纸</w:t>
            </w:r>
          </w:p>
        </w:tc>
        <w:tc>
          <w:tcPr>
            <w:tcW w:w="771" w:type="dxa"/>
            <w:tcBorders>
              <w:tl2br w:val="nil"/>
              <w:tr2bl w:val="nil"/>
            </w:tcBorders>
            <w:noWrap w:val="0"/>
            <w:vAlign w:val="center"/>
          </w:tcPr>
          <w:p w14:paraId="5F0A335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7C84D70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2F9D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D59CA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167</w:t>
            </w:r>
          </w:p>
        </w:tc>
        <w:tc>
          <w:tcPr>
            <w:tcW w:w="1470" w:type="dxa"/>
            <w:tcBorders>
              <w:tl2br w:val="nil"/>
              <w:tr2bl w:val="nil"/>
            </w:tcBorders>
            <w:noWrap w:val="0"/>
            <w:vAlign w:val="center"/>
          </w:tcPr>
          <w:p w14:paraId="161FEC2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左右手定则演示器</w:t>
            </w:r>
          </w:p>
        </w:tc>
        <w:tc>
          <w:tcPr>
            <w:tcW w:w="1425" w:type="dxa"/>
            <w:tcBorders>
              <w:tl2br w:val="nil"/>
              <w:tr2bl w:val="nil"/>
            </w:tcBorders>
            <w:noWrap w:val="0"/>
            <w:vAlign w:val="center"/>
          </w:tcPr>
          <w:p w14:paraId="6C85D9A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6A0CB0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底座190mm×140mm×4mm底座，撑杆440mm；接线板150mm，红、黑接线柱；正方形线圈框架内边长为63mm；多股引线截面积≥0.8m2；150匝；线圈中部到底座高度46mm</w:t>
            </w:r>
          </w:p>
        </w:tc>
        <w:tc>
          <w:tcPr>
            <w:tcW w:w="771" w:type="dxa"/>
            <w:tcBorders>
              <w:tl2br w:val="nil"/>
              <w:tr2bl w:val="nil"/>
            </w:tcBorders>
            <w:noWrap w:val="0"/>
            <w:vAlign w:val="center"/>
          </w:tcPr>
          <w:p w14:paraId="2EF38B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26</w:t>
            </w:r>
          </w:p>
        </w:tc>
        <w:tc>
          <w:tcPr>
            <w:tcW w:w="772" w:type="dxa"/>
            <w:tcBorders>
              <w:tl2br w:val="nil"/>
              <w:tr2bl w:val="nil"/>
            </w:tcBorders>
            <w:noWrap w:val="0"/>
            <w:vAlign w:val="center"/>
          </w:tcPr>
          <w:p w14:paraId="7D6DD0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1356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8257D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168</w:t>
            </w:r>
          </w:p>
        </w:tc>
        <w:tc>
          <w:tcPr>
            <w:tcW w:w="1470" w:type="dxa"/>
            <w:tcBorders>
              <w:tl2br w:val="nil"/>
              <w:tr2bl w:val="nil"/>
            </w:tcBorders>
            <w:noWrap w:val="0"/>
            <w:vAlign w:val="center"/>
          </w:tcPr>
          <w:p w14:paraId="57F8F4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小型电动机实验器</w:t>
            </w:r>
          </w:p>
        </w:tc>
        <w:tc>
          <w:tcPr>
            <w:tcW w:w="1425" w:type="dxa"/>
            <w:tcBorders>
              <w:tl2br w:val="nil"/>
              <w:tr2bl w:val="nil"/>
            </w:tcBorders>
            <w:noWrap w:val="0"/>
            <w:vAlign w:val="center"/>
          </w:tcPr>
          <w:p w14:paraId="23717D6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DC96FC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卧式，M4接线柱。启动：直流永磁和并励≤3V，串励≤6V，交流并励≤4V，交流串励≤8V；空载：直流永磁1.5V时≤0.5A，直流串励6V时≤0.8A，交流并励4V时≤1.8A，5V时≤2.0A，交流串励8V时≤0.8A，附拆装工具；长期使用存放盒</w:t>
            </w:r>
          </w:p>
        </w:tc>
        <w:tc>
          <w:tcPr>
            <w:tcW w:w="771" w:type="dxa"/>
            <w:tcBorders>
              <w:tl2br w:val="nil"/>
              <w:tr2bl w:val="nil"/>
            </w:tcBorders>
            <w:noWrap w:val="0"/>
            <w:vAlign w:val="center"/>
          </w:tcPr>
          <w:p w14:paraId="388A47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303FC2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46A153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D78AF2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169</w:t>
            </w:r>
          </w:p>
        </w:tc>
        <w:tc>
          <w:tcPr>
            <w:tcW w:w="1470" w:type="dxa"/>
            <w:tcBorders>
              <w:tl2br w:val="nil"/>
              <w:tr2bl w:val="nil"/>
            </w:tcBorders>
            <w:noWrap w:val="0"/>
            <w:vAlign w:val="center"/>
          </w:tcPr>
          <w:p w14:paraId="0BFDBB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手摇交直流发电机</w:t>
            </w:r>
          </w:p>
        </w:tc>
        <w:tc>
          <w:tcPr>
            <w:tcW w:w="1425" w:type="dxa"/>
            <w:tcBorders>
              <w:tl2br w:val="nil"/>
              <w:tr2bl w:val="nil"/>
            </w:tcBorders>
            <w:noWrap w:val="0"/>
            <w:vAlign w:val="center"/>
          </w:tcPr>
          <w:p w14:paraId="6BF3B95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F758D7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定子：永磁体和极靴，两极转子，1600r/min时空载交直流电压≥8V。16Ω负载输出交、直流电压≥5V；作电动机使用启动≤4V，≤0.4A，配4.8V0.3AE10螺口灯泡</w:t>
            </w:r>
          </w:p>
        </w:tc>
        <w:tc>
          <w:tcPr>
            <w:tcW w:w="771" w:type="dxa"/>
            <w:tcBorders>
              <w:tl2br w:val="nil"/>
              <w:tr2bl w:val="nil"/>
            </w:tcBorders>
            <w:noWrap w:val="0"/>
            <w:vAlign w:val="center"/>
          </w:tcPr>
          <w:p w14:paraId="459AEF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E777DC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4BA6A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3C2960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170</w:t>
            </w:r>
          </w:p>
        </w:tc>
        <w:tc>
          <w:tcPr>
            <w:tcW w:w="1470" w:type="dxa"/>
            <w:tcBorders>
              <w:tl2br w:val="nil"/>
              <w:tr2bl w:val="nil"/>
            </w:tcBorders>
            <w:noWrap w:val="0"/>
            <w:vAlign w:val="center"/>
          </w:tcPr>
          <w:p w14:paraId="06443F9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电机原理说明器</w:t>
            </w:r>
          </w:p>
        </w:tc>
        <w:tc>
          <w:tcPr>
            <w:tcW w:w="1425" w:type="dxa"/>
            <w:tcBorders>
              <w:tl2br w:val="nil"/>
              <w:tr2bl w:val="nil"/>
            </w:tcBorders>
            <w:noWrap w:val="0"/>
            <w:vAlign w:val="center"/>
          </w:tcPr>
          <w:p w14:paraId="7465C2B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C6DB2F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直流电动机：串激，4V～16V，并激，10V～6V；直流发电机：定子6V，180r／min输出＞80μA；交流发电机：定子6V，使电流计指针左右偏转满刻度；串激24V</w:t>
            </w:r>
          </w:p>
        </w:tc>
        <w:tc>
          <w:tcPr>
            <w:tcW w:w="771" w:type="dxa"/>
            <w:tcBorders>
              <w:tl2br w:val="nil"/>
              <w:tr2bl w:val="nil"/>
            </w:tcBorders>
            <w:noWrap w:val="0"/>
            <w:vAlign w:val="center"/>
          </w:tcPr>
          <w:p w14:paraId="7A2A3F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F0B9A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958E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105172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171</w:t>
            </w:r>
          </w:p>
        </w:tc>
        <w:tc>
          <w:tcPr>
            <w:tcW w:w="1470" w:type="dxa"/>
            <w:tcBorders>
              <w:tl2br w:val="nil"/>
              <w:tr2bl w:val="nil"/>
            </w:tcBorders>
            <w:noWrap w:val="0"/>
            <w:vAlign w:val="center"/>
          </w:tcPr>
          <w:p w14:paraId="059457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阴极射线管(磁效应管)</w:t>
            </w:r>
          </w:p>
        </w:tc>
        <w:tc>
          <w:tcPr>
            <w:tcW w:w="1425" w:type="dxa"/>
            <w:tcBorders>
              <w:tl2br w:val="nil"/>
              <w:tr2bl w:val="nil"/>
            </w:tcBorders>
            <w:noWrap w:val="0"/>
            <w:vAlign w:val="center"/>
          </w:tcPr>
          <w:p w14:paraId="0D40C1C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3208F4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管径40mm，管长270mm，荧光板与玻管轴线约成10°角，挡板开缝，配底座</w:t>
            </w:r>
          </w:p>
        </w:tc>
        <w:tc>
          <w:tcPr>
            <w:tcW w:w="771" w:type="dxa"/>
            <w:tcBorders>
              <w:tl2br w:val="nil"/>
              <w:tr2bl w:val="nil"/>
            </w:tcBorders>
            <w:noWrap w:val="0"/>
            <w:vAlign w:val="center"/>
          </w:tcPr>
          <w:p w14:paraId="795112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D0DD42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6B54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262" w:hRule="atLeast"/>
        </w:trPr>
        <w:tc>
          <w:tcPr>
            <w:tcW w:w="686" w:type="dxa"/>
            <w:tcBorders>
              <w:tl2br w:val="nil"/>
              <w:tr2bl w:val="nil"/>
            </w:tcBorders>
            <w:shd w:val="clear" w:color="auto" w:fill="auto"/>
            <w:noWrap w:val="0"/>
            <w:vAlign w:val="center"/>
          </w:tcPr>
          <w:p w14:paraId="5124E1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172</w:t>
            </w:r>
          </w:p>
        </w:tc>
        <w:tc>
          <w:tcPr>
            <w:tcW w:w="1470" w:type="dxa"/>
            <w:tcBorders>
              <w:tl2br w:val="nil"/>
              <w:tr2bl w:val="nil"/>
            </w:tcBorders>
            <w:noWrap w:val="0"/>
            <w:vAlign w:val="center"/>
          </w:tcPr>
          <w:p w14:paraId="6CF1DE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能的转化演示器</w:t>
            </w:r>
          </w:p>
        </w:tc>
        <w:tc>
          <w:tcPr>
            <w:tcW w:w="1425" w:type="dxa"/>
            <w:tcBorders>
              <w:tl2br w:val="nil"/>
              <w:tr2bl w:val="nil"/>
            </w:tcBorders>
            <w:noWrap w:val="0"/>
            <w:vAlign w:val="center"/>
          </w:tcPr>
          <w:p w14:paraId="4985533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241092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模块式，机械能－电能2，互连可发电/电动；风力发电1；太阳能电池1；发光二极管1；白炽灯1；半导体制冷 (热)/温差发电1，电压指示（－2.5V～0～2.5V）1，镍氢蓄电池1；专用电源12V/4A1；配水槽1；连接导线。可吸合在钢制黑板上</w:t>
            </w:r>
          </w:p>
        </w:tc>
        <w:tc>
          <w:tcPr>
            <w:tcW w:w="771" w:type="dxa"/>
            <w:tcBorders>
              <w:tl2br w:val="nil"/>
              <w:tr2bl w:val="nil"/>
            </w:tcBorders>
            <w:noWrap w:val="0"/>
            <w:vAlign w:val="center"/>
          </w:tcPr>
          <w:p w14:paraId="7DBA53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47A378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2E98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3E5A6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173</w:t>
            </w:r>
          </w:p>
        </w:tc>
        <w:tc>
          <w:tcPr>
            <w:tcW w:w="1470" w:type="dxa"/>
            <w:tcBorders>
              <w:tl2br w:val="nil"/>
              <w:tr2bl w:val="nil"/>
            </w:tcBorders>
            <w:noWrap w:val="0"/>
            <w:vAlign w:val="center"/>
          </w:tcPr>
          <w:p w14:paraId="3DFAD5C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能的转化实验器</w:t>
            </w:r>
          </w:p>
        </w:tc>
        <w:tc>
          <w:tcPr>
            <w:tcW w:w="1425" w:type="dxa"/>
            <w:tcBorders>
              <w:tl2br w:val="nil"/>
              <w:tr2bl w:val="nil"/>
            </w:tcBorders>
            <w:noWrap w:val="0"/>
            <w:vAlign w:val="center"/>
          </w:tcPr>
          <w:p w14:paraId="0476D56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E62E46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内容同“能的转化演示器”，模块不附磁钢</w:t>
            </w:r>
          </w:p>
        </w:tc>
        <w:tc>
          <w:tcPr>
            <w:tcW w:w="771" w:type="dxa"/>
            <w:tcBorders>
              <w:tl2br w:val="nil"/>
              <w:tr2bl w:val="nil"/>
            </w:tcBorders>
            <w:noWrap w:val="0"/>
            <w:vAlign w:val="center"/>
          </w:tcPr>
          <w:p w14:paraId="39F391D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41079F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477464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94655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174</w:t>
            </w:r>
          </w:p>
        </w:tc>
        <w:tc>
          <w:tcPr>
            <w:tcW w:w="1470" w:type="dxa"/>
            <w:tcBorders>
              <w:tl2br w:val="nil"/>
              <w:tr2bl w:val="nil"/>
            </w:tcBorders>
            <w:noWrap w:val="0"/>
            <w:vAlign w:val="center"/>
          </w:tcPr>
          <w:p w14:paraId="3A58906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磁悬浮演示器</w:t>
            </w:r>
          </w:p>
        </w:tc>
        <w:tc>
          <w:tcPr>
            <w:tcW w:w="1425" w:type="dxa"/>
            <w:tcBorders>
              <w:tl2br w:val="nil"/>
              <w:tr2bl w:val="nil"/>
            </w:tcBorders>
            <w:noWrap w:val="0"/>
            <w:vAlign w:val="center"/>
          </w:tcPr>
          <w:p w14:paraId="5D7CB0C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D8B98B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产品由演示座、电磁铁、地球仪模型、电源线等组成。演示座采用ABS工程塑料制作，总高度约180mm；电源线长度不小于1500mm，抗电强度3000V。</w:t>
            </w:r>
          </w:p>
        </w:tc>
        <w:tc>
          <w:tcPr>
            <w:tcW w:w="771" w:type="dxa"/>
            <w:tcBorders>
              <w:tl2br w:val="nil"/>
              <w:tr2bl w:val="nil"/>
            </w:tcBorders>
            <w:noWrap w:val="0"/>
            <w:vAlign w:val="center"/>
          </w:tcPr>
          <w:p w14:paraId="6410CF5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D375E4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C44E1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1968C5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175</w:t>
            </w:r>
          </w:p>
        </w:tc>
        <w:tc>
          <w:tcPr>
            <w:tcW w:w="1470" w:type="dxa"/>
            <w:tcBorders>
              <w:tl2br w:val="nil"/>
              <w:tr2bl w:val="nil"/>
            </w:tcBorders>
            <w:noWrap w:val="0"/>
            <w:vAlign w:val="center"/>
          </w:tcPr>
          <w:p w14:paraId="6E2D3E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条形磁铁</w:t>
            </w:r>
          </w:p>
        </w:tc>
        <w:tc>
          <w:tcPr>
            <w:tcW w:w="1425" w:type="dxa"/>
            <w:tcBorders>
              <w:tl2br w:val="nil"/>
              <w:tr2bl w:val="nil"/>
            </w:tcBorders>
            <w:noWrap w:val="0"/>
            <w:vAlign w:val="center"/>
          </w:tcPr>
          <w:p w14:paraId="258AFF8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7907C2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长180mm铝铁碳条形磁钢一对，截面积405mm2，配磁力线闭合铁片，表观磁感应强度≥0.070T</w:t>
            </w:r>
          </w:p>
        </w:tc>
        <w:tc>
          <w:tcPr>
            <w:tcW w:w="771" w:type="dxa"/>
            <w:tcBorders>
              <w:tl2br w:val="nil"/>
              <w:tr2bl w:val="nil"/>
            </w:tcBorders>
            <w:noWrap w:val="0"/>
            <w:vAlign w:val="center"/>
          </w:tcPr>
          <w:p w14:paraId="6C4023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EE6F5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对</w:t>
            </w:r>
          </w:p>
        </w:tc>
      </w:tr>
      <w:tr w14:paraId="1A53C8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0D62D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176</w:t>
            </w:r>
          </w:p>
        </w:tc>
        <w:tc>
          <w:tcPr>
            <w:tcW w:w="1470" w:type="dxa"/>
            <w:tcBorders>
              <w:tl2br w:val="nil"/>
              <w:tr2bl w:val="nil"/>
            </w:tcBorders>
            <w:noWrap w:val="0"/>
            <w:vAlign w:val="center"/>
          </w:tcPr>
          <w:p w14:paraId="59E9D8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磁针消磁器</w:t>
            </w:r>
          </w:p>
        </w:tc>
        <w:tc>
          <w:tcPr>
            <w:tcW w:w="1425" w:type="dxa"/>
            <w:tcBorders>
              <w:tl2br w:val="nil"/>
              <w:tr2bl w:val="nil"/>
            </w:tcBorders>
            <w:noWrap w:val="0"/>
            <w:vAlign w:val="center"/>
          </w:tcPr>
          <w:p w14:paraId="2164E18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4F37A0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交流消磁，开放磁感线铁芯，常开式按钮开关控制</w:t>
            </w:r>
          </w:p>
        </w:tc>
        <w:tc>
          <w:tcPr>
            <w:tcW w:w="771" w:type="dxa"/>
            <w:tcBorders>
              <w:tl2br w:val="nil"/>
              <w:tr2bl w:val="nil"/>
            </w:tcBorders>
            <w:noWrap w:val="0"/>
            <w:vAlign w:val="center"/>
          </w:tcPr>
          <w:p w14:paraId="7A355EC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C4D18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340321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3F9CB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w:t>
            </w:r>
          </w:p>
        </w:tc>
        <w:tc>
          <w:tcPr>
            <w:tcW w:w="1470" w:type="dxa"/>
            <w:tcBorders>
              <w:tl2br w:val="nil"/>
              <w:tr2bl w:val="nil"/>
            </w:tcBorders>
            <w:noWrap w:val="0"/>
            <w:vAlign w:val="center"/>
          </w:tcPr>
          <w:p w14:paraId="2B5188D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条形磁铁</w:t>
            </w:r>
          </w:p>
        </w:tc>
        <w:tc>
          <w:tcPr>
            <w:tcW w:w="1425" w:type="dxa"/>
            <w:tcBorders>
              <w:tl2br w:val="nil"/>
              <w:tr2bl w:val="nil"/>
            </w:tcBorders>
            <w:noWrap w:val="0"/>
            <w:vAlign w:val="center"/>
          </w:tcPr>
          <w:p w14:paraId="2FE15D2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4110D9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长180mm铝铁碳条形磁钢一对，截面积405mm2，配磁力线闭合铁片，表观磁感应强度≥0.070T</w:t>
            </w:r>
          </w:p>
        </w:tc>
        <w:tc>
          <w:tcPr>
            <w:tcW w:w="771" w:type="dxa"/>
            <w:tcBorders>
              <w:tl2br w:val="nil"/>
              <w:tr2bl w:val="nil"/>
            </w:tcBorders>
            <w:noWrap w:val="0"/>
            <w:vAlign w:val="center"/>
          </w:tcPr>
          <w:p w14:paraId="6636FE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7737835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对</w:t>
            </w:r>
          </w:p>
        </w:tc>
      </w:tr>
      <w:tr w14:paraId="046FFD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91F54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178</w:t>
            </w:r>
          </w:p>
        </w:tc>
        <w:tc>
          <w:tcPr>
            <w:tcW w:w="1470" w:type="dxa"/>
            <w:tcBorders>
              <w:tl2br w:val="nil"/>
              <w:tr2bl w:val="nil"/>
            </w:tcBorders>
            <w:noWrap w:val="0"/>
            <w:vAlign w:val="center"/>
          </w:tcPr>
          <w:p w14:paraId="7E7B8B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蹄形磁铁</w:t>
            </w:r>
          </w:p>
        </w:tc>
        <w:tc>
          <w:tcPr>
            <w:tcW w:w="1425" w:type="dxa"/>
            <w:tcBorders>
              <w:tl2br w:val="nil"/>
              <w:tr2bl w:val="nil"/>
            </w:tcBorders>
            <w:noWrap w:val="0"/>
            <w:vAlign w:val="center"/>
          </w:tcPr>
          <w:p w14:paraId="2F986F5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60E091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长80mm铝铁碳U形磁钢一个，截面积200mm2，配磁力线闭合衔铁，表观磁感应强度≥0.055T。</w:t>
            </w:r>
          </w:p>
        </w:tc>
        <w:tc>
          <w:tcPr>
            <w:tcW w:w="771" w:type="dxa"/>
            <w:tcBorders>
              <w:tl2br w:val="nil"/>
              <w:tr2bl w:val="nil"/>
            </w:tcBorders>
            <w:noWrap w:val="0"/>
            <w:vAlign w:val="center"/>
          </w:tcPr>
          <w:p w14:paraId="19105E9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A1301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CD69F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65D26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179</w:t>
            </w:r>
          </w:p>
        </w:tc>
        <w:tc>
          <w:tcPr>
            <w:tcW w:w="1470" w:type="dxa"/>
            <w:tcBorders>
              <w:tl2br w:val="nil"/>
              <w:tr2bl w:val="nil"/>
            </w:tcBorders>
            <w:noWrap w:val="0"/>
            <w:vAlign w:val="center"/>
          </w:tcPr>
          <w:p w14:paraId="6602F6C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环形磁铁</w:t>
            </w:r>
          </w:p>
        </w:tc>
        <w:tc>
          <w:tcPr>
            <w:tcW w:w="1425" w:type="dxa"/>
            <w:tcBorders>
              <w:tl2br w:val="nil"/>
              <w:tr2bl w:val="nil"/>
            </w:tcBorders>
            <w:noWrap w:val="0"/>
            <w:vAlign w:val="center"/>
          </w:tcPr>
          <w:p w14:paraId="1BD929F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A5B513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外径36mm铁氧体环形磁铁一对，截面积54mm2，表观磁感应强度≥0.05mT</w:t>
            </w:r>
          </w:p>
        </w:tc>
        <w:tc>
          <w:tcPr>
            <w:tcW w:w="771" w:type="dxa"/>
            <w:tcBorders>
              <w:tl2br w:val="nil"/>
              <w:tr2bl w:val="nil"/>
            </w:tcBorders>
            <w:noWrap w:val="0"/>
            <w:vAlign w:val="center"/>
          </w:tcPr>
          <w:p w14:paraId="032749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4A5C0C7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3F860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457DC9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c>
          <w:tcPr>
            <w:tcW w:w="1470" w:type="dxa"/>
            <w:tcBorders>
              <w:tl2br w:val="nil"/>
              <w:tr2bl w:val="nil"/>
            </w:tcBorders>
            <w:noWrap w:val="0"/>
            <w:vAlign w:val="center"/>
          </w:tcPr>
          <w:p w14:paraId="01B805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电磁感应演示器</w:t>
            </w:r>
          </w:p>
        </w:tc>
        <w:tc>
          <w:tcPr>
            <w:tcW w:w="1425" w:type="dxa"/>
            <w:tcBorders>
              <w:tl2br w:val="nil"/>
              <w:tr2bl w:val="nil"/>
            </w:tcBorders>
            <w:noWrap w:val="0"/>
            <w:vAlign w:val="center"/>
          </w:tcPr>
          <w:p w14:paraId="3EC465F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0FD789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滚动导体式，铁氧体磁极，匀强磁场区域≥100mm×100mm；实心黄铜棒，2A电流滚动；附微电流放大器（单根导线切割磁感线实验，配演示电表，放大倍数连续可调）</w:t>
            </w:r>
          </w:p>
        </w:tc>
        <w:tc>
          <w:tcPr>
            <w:tcW w:w="771" w:type="dxa"/>
            <w:tcBorders>
              <w:tl2br w:val="nil"/>
              <w:tr2bl w:val="nil"/>
            </w:tcBorders>
            <w:noWrap w:val="0"/>
            <w:vAlign w:val="center"/>
          </w:tcPr>
          <w:p w14:paraId="0569B80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ECAAF3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3FD98A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0DBDD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w:t>
            </w:r>
          </w:p>
        </w:tc>
        <w:tc>
          <w:tcPr>
            <w:tcW w:w="1470" w:type="dxa"/>
            <w:tcBorders>
              <w:tl2br w:val="nil"/>
              <w:tr2bl w:val="nil"/>
            </w:tcBorders>
            <w:noWrap w:val="0"/>
            <w:vAlign w:val="center"/>
          </w:tcPr>
          <w:p w14:paraId="6934CB5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光具盘</w:t>
            </w:r>
          </w:p>
        </w:tc>
        <w:tc>
          <w:tcPr>
            <w:tcW w:w="1425" w:type="dxa"/>
            <w:tcBorders>
              <w:tl2br w:val="nil"/>
              <w:tr2bl w:val="nil"/>
            </w:tcBorders>
            <w:noWrap w:val="0"/>
            <w:vAlign w:val="center"/>
          </w:tcPr>
          <w:p w14:paraId="6F7A874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2DE2D6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磁吸附式，矩形光盘650mm×240mm；圆形光盘Ф250mm，盘面四象限分别刻0º～90°，分度值1°。光学零件：梯形玻砖1，等腰直角棱镜1，半圆柱透镜1，小双凹柱透镜1，小双凸柱透镜1，大双凸柱透镜1，平面镜1，凹凸柱面镜1，正三棱镜2，双凸透镜1。半导体激光光源，可显示5条平行光，R6或R20电池电源</w:t>
            </w:r>
          </w:p>
        </w:tc>
        <w:tc>
          <w:tcPr>
            <w:tcW w:w="771" w:type="dxa"/>
            <w:tcBorders>
              <w:tl2br w:val="nil"/>
              <w:tr2bl w:val="nil"/>
            </w:tcBorders>
            <w:noWrap w:val="0"/>
            <w:vAlign w:val="center"/>
          </w:tcPr>
          <w:p w14:paraId="3548FDF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3AE0F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77CF3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20DE8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182</w:t>
            </w:r>
          </w:p>
        </w:tc>
        <w:tc>
          <w:tcPr>
            <w:tcW w:w="1470" w:type="dxa"/>
            <w:tcBorders>
              <w:tl2br w:val="nil"/>
              <w:tr2bl w:val="nil"/>
            </w:tcBorders>
            <w:noWrap w:val="0"/>
            <w:vAlign w:val="center"/>
          </w:tcPr>
          <w:p w14:paraId="5CA706A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凹面镜</w:t>
            </w:r>
          </w:p>
        </w:tc>
        <w:tc>
          <w:tcPr>
            <w:tcW w:w="1425" w:type="dxa"/>
            <w:tcBorders>
              <w:tl2br w:val="nil"/>
              <w:tr2bl w:val="nil"/>
            </w:tcBorders>
            <w:noWrap w:val="0"/>
            <w:vAlign w:val="center"/>
          </w:tcPr>
          <w:p w14:paraId="4978329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2F7D8F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玻璃基质镀反射膜镜，带镜框。凹面镜Ф100mm,f＝65mm；配支架和镜座</w:t>
            </w:r>
          </w:p>
        </w:tc>
        <w:tc>
          <w:tcPr>
            <w:tcW w:w="771" w:type="dxa"/>
            <w:tcBorders>
              <w:tl2br w:val="nil"/>
              <w:tr2bl w:val="nil"/>
            </w:tcBorders>
            <w:noWrap w:val="0"/>
            <w:vAlign w:val="center"/>
          </w:tcPr>
          <w:p w14:paraId="426726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82DDB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3358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19823A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183</w:t>
            </w:r>
          </w:p>
        </w:tc>
        <w:tc>
          <w:tcPr>
            <w:tcW w:w="1470" w:type="dxa"/>
            <w:tcBorders>
              <w:tl2br w:val="nil"/>
              <w:tr2bl w:val="nil"/>
            </w:tcBorders>
            <w:noWrap w:val="0"/>
            <w:vAlign w:val="center"/>
          </w:tcPr>
          <w:p w14:paraId="01D7E32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凸面镜</w:t>
            </w:r>
          </w:p>
        </w:tc>
        <w:tc>
          <w:tcPr>
            <w:tcW w:w="1425" w:type="dxa"/>
            <w:tcBorders>
              <w:tl2br w:val="nil"/>
              <w:tr2bl w:val="nil"/>
            </w:tcBorders>
            <w:noWrap w:val="0"/>
            <w:vAlign w:val="center"/>
          </w:tcPr>
          <w:p w14:paraId="1A75704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33D3CB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玻璃基质镀反射膜镜，带镜框。凹面镜Ф100mm,f＝－65mm；配支架和镜座</w:t>
            </w:r>
          </w:p>
        </w:tc>
        <w:tc>
          <w:tcPr>
            <w:tcW w:w="771" w:type="dxa"/>
            <w:tcBorders>
              <w:tl2br w:val="nil"/>
              <w:tr2bl w:val="nil"/>
            </w:tcBorders>
            <w:noWrap w:val="0"/>
            <w:vAlign w:val="center"/>
          </w:tcPr>
          <w:p w14:paraId="0EBBDE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882D0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E089C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53637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184</w:t>
            </w:r>
          </w:p>
        </w:tc>
        <w:tc>
          <w:tcPr>
            <w:tcW w:w="1470" w:type="dxa"/>
            <w:tcBorders>
              <w:tl2br w:val="nil"/>
              <w:tr2bl w:val="nil"/>
            </w:tcBorders>
            <w:noWrap w:val="0"/>
            <w:vAlign w:val="center"/>
          </w:tcPr>
          <w:p w14:paraId="2E3D2B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玻璃砖</w:t>
            </w:r>
          </w:p>
        </w:tc>
        <w:tc>
          <w:tcPr>
            <w:tcW w:w="1425" w:type="dxa"/>
            <w:tcBorders>
              <w:tl2br w:val="nil"/>
              <w:tr2bl w:val="nil"/>
            </w:tcBorders>
            <w:noWrap w:val="0"/>
            <w:vAlign w:val="center"/>
          </w:tcPr>
          <w:p w14:paraId="45B0028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0173E9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无色光学玻璃，梯形上底35mm，高35mm，两底角60°、45°，厚15mm。一梯形面为粗加工面，其余为精加工面</w:t>
            </w:r>
          </w:p>
        </w:tc>
        <w:tc>
          <w:tcPr>
            <w:tcW w:w="771" w:type="dxa"/>
            <w:tcBorders>
              <w:tl2br w:val="nil"/>
              <w:tr2bl w:val="nil"/>
            </w:tcBorders>
            <w:noWrap w:val="0"/>
            <w:vAlign w:val="center"/>
          </w:tcPr>
          <w:p w14:paraId="45117C8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2A19EE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块</w:t>
            </w:r>
          </w:p>
        </w:tc>
      </w:tr>
      <w:tr w14:paraId="6DA735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A320F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185</w:t>
            </w:r>
          </w:p>
        </w:tc>
        <w:tc>
          <w:tcPr>
            <w:tcW w:w="1470" w:type="dxa"/>
            <w:tcBorders>
              <w:tl2br w:val="nil"/>
              <w:tr2bl w:val="nil"/>
            </w:tcBorders>
            <w:noWrap w:val="0"/>
            <w:vAlign w:val="center"/>
          </w:tcPr>
          <w:p w14:paraId="43F76D0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光具座</w:t>
            </w:r>
          </w:p>
        </w:tc>
        <w:tc>
          <w:tcPr>
            <w:tcW w:w="1425" w:type="dxa"/>
            <w:tcBorders>
              <w:tl2br w:val="nil"/>
              <w:tr2bl w:val="nil"/>
            </w:tcBorders>
            <w:noWrap w:val="0"/>
            <w:vAlign w:val="center"/>
          </w:tcPr>
          <w:p w14:paraId="155ACCD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30DC2C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光学元件同“光具组”。导轨长1000mm。金属滑块，金属标尺，刻度900mm，分度为lmm，全长误差≤±1mm，等分度误差＜0.2mm；用交、直流6V～8V，功率≤5W光源，出口处照度≥5001x，500mm处照度≥3001x</w:t>
            </w:r>
          </w:p>
        </w:tc>
        <w:tc>
          <w:tcPr>
            <w:tcW w:w="771" w:type="dxa"/>
            <w:tcBorders>
              <w:tl2br w:val="nil"/>
              <w:tr2bl w:val="nil"/>
            </w:tcBorders>
            <w:noWrap w:val="0"/>
            <w:vAlign w:val="center"/>
          </w:tcPr>
          <w:p w14:paraId="0957CD7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24E0F7E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F8876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DCC20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186</w:t>
            </w:r>
          </w:p>
        </w:tc>
        <w:tc>
          <w:tcPr>
            <w:tcW w:w="1470" w:type="dxa"/>
            <w:tcBorders>
              <w:tl2br w:val="nil"/>
              <w:tr2bl w:val="nil"/>
            </w:tcBorders>
            <w:noWrap w:val="0"/>
            <w:vAlign w:val="center"/>
          </w:tcPr>
          <w:p w14:paraId="138217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光具组</w:t>
            </w:r>
          </w:p>
        </w:tc>
        <w:tc>
          <w:tcPr>
            <w:tcW w:w="1425" w:type="dxa"/>
            <w:tcBorders>
              <w:tl2br w:val="nil"/>
              <w:tr2bl w:val="nil"/>
            </w:tcBorders>
            <w:noWrap w:val="0"/>
            <w:vAlign w:val="center"/>
          </w:tcPr>
          <w:p w14:paraId="56664A3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E51546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双凸透镜2，平凸透镜1；双凹透镜1；黑色“l”字屏1，白光屏1，毛玻璃光屏1；光源出口照度≥500lx，0.5m处照度≥出口照度的3／5；支承机构应能使光路上元件的光心等高，有标记。蜡烛台1，能调节焰心高度</w:t>
            </w:r>
          </w:p>
        </w:tc>
        <w:tc>
          <w:tcPr>
            <w:tcW w:w="771" w:type="dxa"/>
            <w:tcBorders>
              <w:tl2br w:val="nil"/>
              <w:tr2bl w:val="nil"/>
            </w:tcBorders>
            <w:noWrap w:val="0"/>
            <w:vAlign w:val="center"/>
          </w:tcPr>
          <w:p w14:paraId="3D29BC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3854A4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995C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940036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187</w:t>
            </w:r>
          </w:p>
        </w:tc>
        <w:tc>
          <w:tcPr>
            <w:tcW w:w="1470" w:type="dxa"/>
            <w:tcBorders>
              <w:tl2br w:val="nil"/>
              <w:tr2bl w:val="nil"/>
            </w:tcBorders>
            <w:noWrap w:val="0"/>
            <w:vAlign w:val="center"/>
          </w:tcPr>
          <w:p w14:paraId="406B8D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三棱镜</w:t>
            </w:r>
          </w:p>
        </w:tc>
        <w:tc>
          <w:tcPr>
            <w:tcW w:w="1425" w:type="dxa"/>
            <w:tcBorders>
              <w:tl2br w:val="nil"/>
              <w:tr2bl w:val="nil"/>
            </w:tcBorders>
            <w:noWrap w:val="0"/>
            <w:vAlign w:val="center"/>
          </w:tcPr>
          <w:p w14:paraId="2079AB7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FA492B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三棱镜体边长25mm，相邻两角60°，棱长80mm。支架能作任意方向的转动，并能停止在任意位置，底座</w:t>
            </w:r>
          </w:p>
        </w:tc>
        <w:tc>
          <w:tcPr>
            <w:tcW w:w="771" w:type="dxa"/>
            <w:tcBorders>
              <w:tl2br w:val="nil"/>
              <w:tr2bl w:val="nil"/>
            </w:tcBorders>
            <w:noWrap w:val="0"/>
            <w:vAlign w:val="center"/>
          </w:tcPr>
          <w:p w14:paraId="7D895D9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69EBD3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F15AA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D8BC0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188</w:t>
            </w:r>
          </w:p>
        </w:tc>
        <w:tc>
          <w:tcPr>
            <w:tcW w:w="1470" w:type="dxa"/>
            <w:tcBorders>
              <w:tl2br w:val="nil"/>
              <w:tr2bl w:val="nil"/>
            </w:tcBorders>
            <w:noWrap w:val="0"/>
            <w:vAlign w:val="center"/>
          </w:tcPr>
          <w:p w14:paraId="2C0304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白光的色散与合成演示器</w:t>
            </w:r>
          </w:p>
        </w:tc>
        <w:tc>
          <w:tcPr>
            <w:tcW w:w="1425" w:type="dxa"/>
            <w:tcBorders>
              <w:tl2br w:val="nil"/>
              <w:tr2bl w:val="nil"/>
            </w:tcBorders>
            <w:noWrap w:val="0"/>
            <w:vAlign w:val="center"/>
          </w:tcPr>
          <w:p w14:paraId="545218E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D05B4F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由光源、ZF3玻璃三棱镜，两块棱镜应配对，顶角为60°，有效边长不小于25mm，高度不小于25mm，非工作面唐砂和三棱镜台、光屏、支承系统组成；不小于8W白炽灯光源。</w:t>
            </w:r>
          </w:p>
        </w:tc>
        <w:tc>
          <w:tcPr>
            <w:tcW w:w="771" w:type="dxa"/>
            <w:tcBorders>
              <w:tl2br w:val="nil"/>
              <w:tr2bl w:val="nil"/>
            </w:tcBorders>
            <w:noWrap w:val="0"/>
            <w:vAlign w:val="center"/>
          </w:tcPr>
          <w:p w14:paraId="06A152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55883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8E0B8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1D110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189</w:t>
            </w:r>
          </w:p>
        </w:tc>
        <w:tc>
          <w:tcPr>
            <w:tcW w:w="1470" w:type="dxa"/>
            <w:tcBorders>
              <w:tl2br w:val="nil"/>
              <w:tr2bl w:val="nil"/>
            </w:tcBorders>
            <w:noWrap w:val="0"/>
            <w:vAlign w:val="center"/>
          </w:tcPr>
          <w:p w14:paraId="6FF8383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平面镜成像实验器</w:t>
            </w:r>
          </w:p>
        </w:tc>
        <w:tc>
          <w:tcPr>
            <w:tcW w:w="1425" w:type="dxa"/>
            <w:tcBorders>
              <w:tl2br w:val="nil"/>
              <w:tr2bl w:val="nil"/>
            </w:tcBorders>
            <w:noWrap w:val="0"/>
            <w:vAlign w:val="center"/>
          </w:tcPr>
          <w:p w14:paraId="7C8DC15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70869F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半透膜平面镜尺寸：150mm×100mm，厚5mm，镜片边缘倒边倒角，镀膜面有标志，支架2个，物体2个，像物字符分别为左右对称的英文字F</w:t>
            </w:r>
          </w:p>
        </w:tc>
        <w:tc>
          <w:tcPr>
            <w:tcW w:w="771" w:type="dxa"/>
            <w:tcBorders>
              <w:tl2br w:val="nil"/>
              <w:tr2bl w:val="nil"/>
            </w:tcBorders>
            <w:noWrap w:val="0"/>
            <w:vAlign w:val="center"/>
          </w:tcPr>
          <w:p w14:paraId="549F526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0DA554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0636C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0BA42B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190</w:t>
            </w:r>
          </w:p>
        </w:tc>
        <w:tc>
          <w:tcPr>
            <w:tcW w:w="1470" w:type="dxa"/>
            <w:tcBorders>
              <w:tl2br w:val="nil"/>
              <w:tr2bl w:val="nil"/>
            </w:tcBorders>
            <w:noWrap w:val="0"/>
            <w:vAlign w:val="center"/>
          </w:tcPr>
          <w:p w14:paraId="5E7D09F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光的传播、反射、折射实验器</w:t>
            </w:r>
          </w:p>
        </w:tc>
        <w:tc>
          <w:tcPr>
            <w:tcW w:w="1425" w:type="dxa"/>
            <w:tcBorders>
              <w:tl2br w:val="nil"/>
              <w:tr2bl w:val="nil"/>
            </w:tcBorders>
            <w:noWrap w:val="0"/>
            <w:vAlign w:val="center"/>
          </w:tcPr>
          <w:p w14:paraId="6EB21D6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5B9AF1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可显示光路的透明材料半圆玻砖，半导体激光光源。附平面反射镜。蓝色底盘，印角度盘（法线两侧0º～90º）</w:t>
            </w:r>
          </w:p>
        </w:tc>
        <w:tc>
          <w:tcPr>
            <w:tcW w:w="771" w:type="dxa"/>
            <w:tcBorders>
              <w:tl2br w:val="nil"/>
              <w:tr2bl w:val="nil"/>
            </w:tcBorders>
            <w:noWrap w:val="0"/>
            <w:vAlign w:val="center"/>
          </w:tcPr>
          <w:p w14:paraId="684F3A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6597A5C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E9C31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D714FD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191</w:t>
            </w:r>
          </w:p>
        </w:tc>
        <w:tc>
          <w:tcPr>
            <w:tcW w:w="1470" w:type="dxa"/>
            <w:tcBorders>
              <w:tl2br w:val="nil"/>
              <w:tr2bl w:val="nil"/>
            </w:tcBorders>
            <w:noWrap w:val="0"/>
            <w:vAlign w:val="center"/>
          </w:tcPr>
          <w:p w14:paraId="55A449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光的三原色合成演示器</w:t>
            </w:r>
          </w:p>
        </w:tc>
        <w:tc>
          <w:tcPr>
            <w:tcW w:w="1425" w:type="dxa"/>
            <w:tcBorders>
              <w:tl2br w:val="nil"/>
              <w:tr2bl w:val="nil"/>
            </w:tcBorders>
            <w:noWrap w:val="0"/>
            <w:vAlign w:val="center"/>
          </w:tcPr>
          <w:p w14:paraId="351AF7B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E571B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红、绿、蓝三原色投影到白屏观察，单色光成像尺寸直径≥80mm</w:t>
            </w:r>
          </w:p>
        </w:tc>
        <w:tc>
          <w:tcPr>
            <w:tcW w:w="771" w:type="dxa"/>
            <w:tcBorders>
              <w:tl2br w:val="nil"/>
              <w:tr2bl w:val="nil"/>
            </w:tcBorders>
            <w:noWrap w:val="0"/>
            <w:vAlign w:val="center"/>
          </w:tcPr>
          <w:p w14:paraId="0280AB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30B50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6CED7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334B2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192</w:t>
            </w:r>
          </w:p>
        </w:tc>
        <w:tc>
          <w:tcPr>
            <w:tcW w:w="1470" w:type="dxa"/>
            <w:tcBorders>
              <w:tl2br w:val="nil"/>
              <w:tr2bl w:val="nil"/>
            </w:tcBorders>
            <w:noWrap w:val="0"/>
            <w:vAlign w:val="center"/>
          </w:tcPr>
          <w:p w14:paraId="165201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紫外线作用演示器</w:t>
            </w:r>
          </w:p>
        </w:tc>
        <w:tc>
          <w:tcPr>
            <w:tcW w:w="1425" w:type="dxa"/>
            <w:tcBorders>
              <w:tl2br w:val="nil"/>
              <w:tr2bl w:val="nil"/>
            </w:tcBorders>
            <w:noWrap w:val="0"/>
            <w:vAlign w:val="center"/>
          </w:tcPr>
          <w:p w14:paraId="4444D41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AA5750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日光灯1支，254nm和365nm紫外线灯各1支，紫外线防护罩；红、黄、绿、蓝四色滤光片4片，荧光片1片</w:t>
            </w:r>
          </w:p>
        </w:tc>
        <w:tc>
          <w:tcPr>
            <w:tcW w:w="771" w:type="dxa"/>
            <w:tcBorders>
              <w:tl2br w:val="nil"/>
              <w:tr2bl w:val="nil"/>
            </w:tcBorders>
            <w:noWrap w:val="0"/>
            <w:vAlign w:val="center"/>
          </w:tcPr>
          <w:p w14:paraId="5F0F4F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62332D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453568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25E71C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193</w:t>
            </w:r>
          </w:p>
        </w:tc>
        <w:tc>
          <w:tcPr>
            <w:tcW w:w="1470" w:type="dxa"/>
            <w:tcBorders>
              <w:tl2br w:val="nil"/>
              <w:tr2bl w:val="nil"/>
            </w:tcBorders>
            <w:noWrap w:val="0"/>
            <w:vAlign w:val="center"/>
          </w:tcPr>
          <w:p w14:paraId="56FF331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红、绿、蓝滤光片</w:t>
            </w:r>
          </w:p>
        </w:tc>
        <w:tc>
          <w:tcPr>
            <w:tcW w:w="1425" w:type="dxa"/>
            <w:tcBorders>
              <w:tl2br w:val="nil"/>
              <w:tr2bl w:val="nil"/>
            </w:tcBorders>
            <w:noWrap w:val="0"/>
            <w:vAlign w:val="center"/>
          </w:tcPr>
          <w:p w14:paraId="6A44D7E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D2586E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带通滤光片，红（700nm）、绿（540nm）、蓝（460nm），配照射灯。</w:t>
            </w:r>
          </w:p>
        </w:tc>
        <w:tc>
          <w:tcPr>
            <w:tcW w:w="771" w:type="dxa"/>
            <w:tcBorders>
              <w:tl2br w:val="nil"/>
              <w:tr2bl w:val="nil"/>
            </w:tcBorders>
            <w:noWrap w:val="0"/>
            <w:vAlign w:val="center"/>
          </w:tcPr>
          <w:p w14:paraId="2D6EAF4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7443D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460C5B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3FE6F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194</w:t>
            </w:r>
          </w:p>
        </w:tc>
        <w:tc>
          <w:tcPr>
            <w:tcW w:w="1470" w:type="dxa"/>
            <w:tcBorders>
              <w:tl2br w:val="nil"/>
              <w:tr2bl w:val="nil"/>
            </w:tcBorders>
            <w:noWrap w:val="0"/>
            <w:vAlign w:val="center"/>
          </w:tcPr>
          <w:p w14:paraId="073EEB7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光的反射、折射演示器</w:t>
            </w:r>
          </w:p>
        </w:tc>
        <w:tc>
          <w:tcPr>
            <w:tcW w:w="1425" w:type="dxa"/>
            <w:tcBorders>
              <w:tl2br w:val="nil"/>
              <w:tr2bl w:val="nil"/>
            </w:tcBorders>
            <w:noWrap w:val="0"/>
            <w:vAlign w:val="center"/>
          </w:tcPr>
          <w:p w14:paraId="281B831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A0BCDC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可显示光路透明材料半圆玻砖，Ф150mm、厚8mm；半导体激光光源，光源配固定架，能绕盘360°旋转，附反射镜、漫反射镜、两个矩形玻砖。Ф300mm蓝色底盘，印角度盘（法线两侧0º～90º）</w:t>
            </w:r>
          </w:p>
        </w:tc>
        <w:tc>
          <w:tcPr>
            <w:tcW w:w="771" w:type="dxa"/>
            <w:tcBorders>
              <w:tl2br w:val="nil"/>
              <w:tr2bl w:val="nil"/>
            </w:tcBorders>
            <w:noWrap w:val="0"/>
            <w:vAlign w:val="center"/>
          </w:tcPr>
          <w:p w14:paraId="07D8DB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228BF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63670F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7DC0F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195</w:t>
            </w:r>
          </w:p>
        </w:tc>
        <w:tc>
          <w:tcPr>
            <w:tcW w:w="1470" w:type="dxa"/>
            <w:tcBorders>
              <w:tl2br w:val="nil"/>
              <w:tr2bl w:val="nil"/>
            </w:tcBorders>
            <w:noWrap w:val="0"/>
            <w:vAlign w:val="center"/>
          </w:tcPr>
          <w:p w14:paraId="2E1AC43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家庭电路器材</w:t>
            </w:r>
          </w:p>
        </w:tc>
        <w:tc>
          <w:tcPr>
            <w:tcW w:w="1425" w:type="dxa"/>
            <w:tcBorders>
              <w:tl2br w:val="nil"/>
              <w:tr2bl w:val="nil"/>
            </w:tcBorders>
            <w:noWrap w:val="0"/>
            <w:vAlign w:val="center"/>
          </w:tcPr>
          <w:p w14:paraId="1FE1230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69B8A5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过电流保护器、剩余电流保护器、插入式保险盒；开关各1个：开启式闸刀、拉线、倒板、声控、光控；交流有功电度表：机电式、静止式；灯座各1个：螺口式、卡口式；插座插头各1付：三极、二极；双联开关各2个：拉线、倒板；导线：二芯护套5m，三芯护套2m，单芯10m，软线5m，灯泡：螺口4个、卡口4个</w:t>
            </w:r>
          </w:p>
        </w:tc>
        <w:tc>
          <w:tcPr>
            <w:tcW w:w="771" w:type="dxa"/>
            <w:tcBorders>
              <w:tl2br w:val="nil"/>
              <w:tr2bl w:val="nil"/>
            </w:tcBorders>
            <w:noWrap w:val="0"/>
            <w:vAlign w:val="center"/>
          </w:tcPr>
          <w:p w14:paraId="74E964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26</w:t>
            </w:r>
          </w:p>
        </w:tc>
        <w:tc>
          <w:tcPr>
            <w:tcW w:w="772" w:type="dxa"/>
            <w:tcBorders>
              <w:tl2br w:val="nil"/>
              <w:tr2bl w:val="nil"/>
            </w:tcBorders>
            <w:noWrap w:val="0"/>
            <w:vAlign w:val="center"/>
          </w:tcPr>
          <w:p w14:paraId="0D477C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盒</w:t>
            </w:r>
          </w:p>
        </w:tc>
      </w:tr>
      <w:tr w14:paraId="4F98D9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334615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196</w:t>
            </w:r>
          </w:p>
        </w:tc>
        <w:tc>
          <w:tcPr>
            <w:tcW w:w="1470" w:type="dxa"/>
            <w:tcBorders>
              <w:tl2br w:val="nil"/>
              <w:tr2bl w:val="nil"/>
            </w:tcBorders>
            <w:noWrap w:val="0"/>
            <w:vAlign w:val="center"/>
          </w:tcPr>
          <w:p w14:paraId="16DDE54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甲电池</w:t>
            </w:r>
          </w:p>
        </w:tc>
        <w:tc>
          <w:tcPr>
            <w:tcW w:w="1425" w:type="dxa"/>
            <w:tcBorders>
              <w:tl2br w:val="nil"/>
              <w:tr2bl w:val="nil"/>
            </w:tcBorders>
            <w:noWrap w:val="0"/>
            <w:vAlign w:val="center"/>
          </w:tcPr>
          <w:p w14:paraId="5A77BED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0C09D9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R40</w:t>
            </w:r>
          </w:p>
        </w:tc>
        <w:tc>
          <w:tcPr>
            <w:tcW w:w="771" w:type="dxa"/>
            <w:tcBorders>
              <w:tl2br w:val="nil"/>
              <w:tr2bl w:val="nil"/>
            </w:tcBorders>
            <w:noWrap w:val="0"/>
            <w:vAlign w:val="center"/>
          </w:tcPr>
          <w:p w14:paraId="5B4E01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6B8358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8763D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45D891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197</w:t>
            </w:r>
          </w:p>
        </w:tc>
        <w:tc>
          <w:tcPr>
            <w:tcW w:w="1470" w:type="dxa"/>
            <w:tcBorders>
              <w:tl2br w:val="nil"/>
              <w:tr2bl w:val="nil"/>
            </w:tcBorders>
            <w:noWrap w:val="0"/>
            <w:vAlign w:val="center"/>
          </w:tcPr>
          <w:p w14:paraId="3B0AAA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1号电池</w:t>
            </w:r>
          </w:p>
        </w:tc>
        <w:tc>
          <w:tcPr>
            <w:tcW w:w="1425" w:type="dxa"/>
            <w:tcBorders>
              <w:tl2br w:val="nil"/>
              <w:tr2bl w:val="nil"/>
            </w:tcBorders>
            <w:noWrap w:val="0"/>
            <w:vAlign w:val="center"/>
          </w:tcPr>
          <w:p w14:paraId="3A00A88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757FB4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R20,无汞</w:t>
            </w:r>
          </w:p>
        </w:tc>
        <w:tc>
          <w:tcPr>
            <w:tcW w:w="771" w:type="dxa"/>
            <w:tcBorders>
              <w:tl2br w:val="nil"/>
              <w:tr2bl w:val="nil"/>
            </w:tcBorders>
            <w:noWrap w:val="0"/>
            <w:vAlign w:val="center"/>
          </w:tcPr>
          <w:p w14:paraId="7BA9E7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12FFA3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474DB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7A3AB2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198</w:t>
            </w:r>
          </w:p>
        </w:tc>
        <w:tc>
          <w:tcPr>
            <w:tcW w:w="1470" w:type="dxa"/>
            <w:tcBorders>
              <w:tl2br w:val="nil"/>
              <w:tr2bl w:val="nil"/>
            </w:tcBorders>
            <w:noWrap w:val="0"/>
            <w:vAlign w:val="center"/>
          </w:tcPr>
          <w:p w14:paraId="6F00A2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电珠(小灯泡)</w:t>
            </w:r>
          </w:p>
        </w:tc>
        <w:tc>
          <w:tcPr>
            <w:tcW w:w="1425" w:type="dxa"/>
            <w:tcBorders>
              <w:tl2br w:val="nil"/>
              <w:tr2bl w:val="nil"/>
            </w:tcBorders>
            <w:noWrap w:val="0"/>
            <w:vAlign w:val="center"/>
          </w:tcPr>
          <w:p w14:paraId="31A4D33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28FA33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每套2.5V50个、3.8V25个、6V25个</w:t>
            </w:r>
          </w:p>
        </w:tc>
        <w:tc>
          <w:tcPr>
            <w:tcW w:w="771" w:type="dxa"/>
            <w:tcBorders>
              <w:tl2br w:val="nil"/>
              <w:tr2bl w:val="nil"/>
            </w:tcBorders>
            <w:noWrap w:val="0"/>
            <w:vAlign w:val="center"/>
          </w:tcPr>
          <w:p w14:paraId="0CA989E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662C66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85DAE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663B62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199</w:t>
            </w:r>
          </w:p>
        </w:tc>
        <w:tc>
          <w:tcPr>
            <w:tcW w:w="1470" w:type="dxa"/>
            <w:tcBorders>
              <w:tl2br w:val="nil"/>
              <w:tr2bl w:val="nil"/>
            </w:tcBorders>
            <w:noWrap w:val="0"/>
            <w:vAlign w:val="center"/>
          </w:tcPr>
          <w:p w14:paraId="75DCD0F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软铁棒</w:t>
            </w:r>
          </w:p>
        </w:tc>
        <w:tc>
          <w:tcPr>
            <w:tcW w:w="1425" w:type="dxa"/>
            <w:tcBorders>
              <w:tl2br w:val="nil"/>
              <w:tr2bl w:val="nil"/>
            </w:tcBorders>
            <w:noWrap w:val="0"/>
            <w:vAlign w:val="center"/>
          </w:tcPr>
          <w:p w14:paraId="407D6D9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E32F80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Ф20mm×50mm</w:t>
            </w:r>
          </w:p>
        </w:tc>
        <w:tc>
          <w:tcPr>
            <w:tcW w:w="771" w:type="dxa"/>
            <w:tcBorders>
              <w:tl2br w:val="nil"/>
              <w:tr2bl w:val="nil"/>
            </w:tcBorders>
            <w:noWrap w:val="0"/>
            <w:vAlign w:val="center"/>
          </w:tcPr>
          <w:p w14:paraId="1DE86D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7EBE5E7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根</w:t>
            </w:r>
          </w:p>
        </w:tc>
      </w:tr>
      <w:tr w14:paraId="23B9A3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E90C4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200</w:t>
            </w:r>
          </w:p>
        </w:tc>
        <w:tc>
          <w:tcPr>
            <w:tcW w:w="1470" w:type="dxa"/>
            <w:tcBorders>
              <w:tl2br w:val="nil"/>
              <w:tr2bl w:val="nil"/>
            </w:tcBorders>
            <w:noWrap w:val="0"/>
            <w:vAlign w:val="center"/>
          </w:tcPr>
          <w:p w14:paraId="725B023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圆球</w:t>
            </w:r>
          </w:p>
        </w:tc>
        <w:tc>
          <w:tcPr>
            <w:tcW w:w="1425" w:type="dxa"/>
            <w:tcBorders>
              <w:tl2br w:val="nil"/>
              <w:tr2bl w:val="nil"/>
            </w:tcBorders>
            <w:noWrap w:val="0"/>
            <w:vAlign w:val="center"/>
          </w:tcPr>
          <w:p w14:paraId="3BE56AE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953A88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直径50mm，体积相同，质量不同各1</w:t>
            </w:r>
          </w:p>
        </w:tc>
        <w:tc>
          <w:tcPr>
            <w:tcW w:w="771" w:type="dxa"/>
            <w:tcBorders>
              <w:tl2br w:val="nil"/>
              <w:tr2bl w:val="nil"/>
            </w:tcBorders>
            <w:noWrap w:val="0"/>
            <w:vAlign w:val="center"/>
          </w:tcPr>
          <w:p w14:paraId="519DAF2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4533050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4648FF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65A2C6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201</w:t>
            </w:r>
          </w:p>
        </w:tc>
        <w:tc>
          <w:tcPr>
            <w:tcW w:w="1470" w:type="dxa"/>
            <w:tcBorders>
              <w:tl2br w:val="nil"/>
              <w:tr2bl w:val="nil"/>
            </w:tcBorders>
            <w:noWrap w:val="0"/>
            <w:vAlign w:val="center"/>
          </w:tcPr>
          <w:p w14:paraId="6262B26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玻璃片</w:t>
            </w:r>
          </w:p>
        </w:tc>
        <w:tc>
          <w:tcPr>
            <w:tcW w:w="1425" w:type="dxa"/>
            <w:tcBorders>
              <w:tl2br w:val="nil"/>
              <w:tr2bl w:val="nil"/>
            </w:tcBorders>
            <w:noWrap w:val="0"/>
            <w:vAlign w:val="center"/>
          </w:tcPr>
          <w:p w14:paraId="2CCD120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9ABAD5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600mm×600mm×3mm，磨边，一面毛玻璃</w:t>
            </w:r>
          </w:p>
        </w:tc>
        <w:tc>
          <w:tcPr>
            <w:tcW w:w="771" w:type="dxa"/>
            <w:tcBorders>
              <w:tl2br w:val="nil"/>
              <w:tr2bl w:val="nil"/>
            </w:tcBorders>
            <w:noWrap w:val="0"/>
            <w:vAlign w:val="center"/>
          </w:tcPr>
          <w:p w14:paraId="22599C1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282436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F5018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078CD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w:t>
            </w:r>
          </w:p>
        </w:tc>
        <w:tc>
          <w:tcPr>
            <w:tcW w:w="1470" w:type="dxa"/>
            <w:tcBorders>
              <w:tl2br w:val="nil"/>
              <w:tr2bl w:val="nil"/>
            </w:tcBorders>
            <w:noWrap w:val="0"/>
            <w:vAlign w:val="center"/>
          </w:tcPr>
          <w:p w14:paraId="6FDA38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橡皮泥</w:t>
            </w:r>
          </w:p>
        </w:tc>
        <w:tc>
          <w:tcPr>
            <w:tcW w:w="1425" w:type="dxa"/>
            <w:tcBorders>
              <w:tl2br w:val="nil"/>
              <w:tr2bl w:val="nil"/>
            </w:tcBorders>
            <w:noWrap w:val="0"/>
            <w:vAlign w:val="center"/>
          </w:tcPr>
          <w:p w14:paraId="6420D39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723F2B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（1）各种颜色橡皮泥（溶于水），（2）不溶于水，单色</w:t>
            </w:r>
          </w:p>
        </w:tc>
        <w:tc>
          <w:tcPr>
            <w:tcW w:w="771" w:type="dxa"/>
            <w:tcBorders>
              <w:tl2br w:val="nil"/>
              <w:tr2bl w:val="nil"/>
            </w:tcBorders>
            <w:noWrap w:val="0"/>
            <w:vAlign w:val="center"/>
          </w:tcPr>
          <w:p w14:paraId="514710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72" w:type="dxa"/>
            <w:tcBorders>
              <w:tl2br w:val="nil"/>
              <w:tr2bl w:val="nil"/>
            </w:tcBorders>
            <w:noWrap w:val="0"/>
            <w:vAlign w:val="center"/>
          </w:tcPr>
          <w:p w14:paraId="13E46B6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kg</w:t>
            </w:r>
          </w:p>
        </w:tc>
      </w:tr>
      <w:tr w14:paraId="23FA74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5FE6D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203</w:t>
            </w:r>
          </w:p>
        </w:tc>
        <w:tc>
          <w:tcPr>
            <w:tcW w:w="1470" w:type="dxa"/>
            <w:tcBorders>
              <w:tl2br w:val="nil"/>
              <w:tr2bl w:val="nil"/>
            </w:tcBorders>
            <w:noWrap w:val="0"/>
            <w:vAlign w:val="center"/>
          </w:tcPr>
          <w:p w14:paraId="20E605E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铁块</w:t>
            </w:r>
          </w:p>
        </w:tc>
        <w:tc>
          <w:tcPr>
            <w:tcW w:w="1425" w:type="dxa"/>
            <w:tcBorders>
              <w:tl2br w:val="nil"/>
              <w:tr2bl w:val="nil"/>
            </w:tcBorders>
            <w:noWrap w:val="0"/>
            <w:vAlign w:val="center"/>
          </w:tcPr>
          <w:p w14:paraId="34F3872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5BAC07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50mm×50mm×50mm</w:t>
            </w:r>
          </w:p>
        </w:tc>
        <w:tc>
          <w:tcPr>
            <w:tcW w:w="771" w:type="dxa"/>
            <w:tcBorders>
              <w:tl2br w:val="nil"/>
              <w:tr2bl w:val="nil"/>
            </w:tcBorders>
            <w:noWrap w:val="0"/>
            <w:vAlign w:val="center"/>
          </w:tcPr>
          <w:p w14:paraId="59997D2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B0CCF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块</w:t>
            </w:r>
          </w:p>
        </w:tc>
      </w:tr>
      <w:tr w14:paraId="3FC134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CD852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204</w:t>
            </w:r>
          </w:p>
        </w:tc>
        <w:tc>
          <w:tcPr>
            <w:tcW w:w="1470" w:type="dxa"/>
            <w:tcBorders>
              <w:tl2br w:val="nil"/>
              <w:tr2bl w:val="nil"/>
            </w:tcBorders>
            <w:noWrap w:val="0"/>
            <w:vAlign w:val="center"/>
          </w:tcPr>
          <w:p w14:paraId="49DC07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小灯泡</w:t>
            </w:r>
          </w:p>
        </w:tc>
        <w:tc>
          <w:tcPr>
            <w:tcW w:w="1425" w:type="dxa"/>
            <w:tcBorders>
              <w:tl2br w:val="nil"/>
              <w:tr2bl w:val="nil"/>
            </w:tcBorders>
            <w:noWrap w:val="0"/>
            <w:vAlign w:val="center"/>
          </w:tcPr>
          <w:p w14:paraId="65933A2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58050F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每套2.5V50个、3.8V25个、6V25个</w:t>
            </w:r>
          </w:p>
        </w:tc>
        <w:tc>
          <w:tcPr>
            <w:tcW w:w="771" w:type="dxa"/>
            <w:tcBorders>
              <w:tl2br w:val="nil"/>
              <w:tr2bl w:val="nil"/>
            </w:tcBorders>
            <w:noWrap w:val="0"/>
            <w:vAlign w:val="center"/>
          </w:tcPr>
          <w:p w14:paraId="7F88B1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0B5DD95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7AC7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F0A611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205</w:t>
            </w:r>
          </w:p>
        </w:tc>
        <w:tc>
          <w:tcPr>
            <w:tcW w:w="1470" w:type="dxa"/>
            <w:tcBorders>
              <w:tl2br w:val="nil"/>
              <w:tr2bl w:val="nil"/>
            </w:tcBorders>
            <w:noWrap w:val="0"/>
            <w:vAlign w:val="center"/>
          </w:tcPr>
          <w:p w14:paraId="2EB78D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黑纸板和黑纸</w:t>
            </w:r>
          </w:p>
        </w:tc>
        <w:tc>
          <w:tcPr>
            <w:tcW w:w="1425" w:type="dxa"/>
            <w:tcBorders>
              <w:tl2br w:val="nil"/>
              <w:tr2bl w:val="nil"/>
            </w:tcBorders>
            <w:noWrap w:val="0"/>
            <w:vAlign w:val="center"/>
          </w:tcPr>
          <w:p w14:paraId="242AC98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EFF791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A4，黑纸板厚1mm</w:t>
            </w:r>
          </w:p>
        </w:tc>
        <w:tc>
          <w:tcPr>
            <w:tcW w:w="771" w:type="dxa"/>
            <w:tcBorders>
              <w:tl2br w:val="nil"/>
              <w:tr2bl w:val="nil"/>
            </w:tcBorders>
            <w:noWrap w:val="0"/>
            <w:vAlign w:val="center"/>
          </w:tcPr>
          <w:p w14:paraId="3D7AEC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772" w:type="dxa"/>
            <w:tcBorders>
              <w:tl2br w:val="nil"/>
              <w:tr2bl w:val="nil"/>
            </w:tcBorders>
            <w:noWrap w:val="0"/>
            <w:vAlign w:val="center"/>
          </w:tcPr>
          <w:p w14:paraId="3952C8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C0FA3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C65D3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206</w:t>
            </w:r>
          </w:p>
        </w:tc>
        <w:tc>
          <w:tcPr>
            <w:tcW w:w="1470" w:type="dxa"/>
            <w:tcBorders>
              <w:tl2br w:val="nil"/>
              <w:tr2bl w:val="nil"/>
            </w:tcBorders>
            <w:noWrap w:val="0"/>
            <w:vAlign w:val="center"/>
          </w:tcPr>
          <w:p w14:paraId="692F0C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厚纸板</w:t>
            </w:r>
          </w:p>
        </w:tc>
        <w:tc>
          <w:tcPr>
            <w:tcW w:w="1425" w:type="dxa"/>
            <w:tcBorders>
              <w:tl2br w:val="nil"/>
              <w:tr2bl w:val="nil"/>
            </w:tcBorders>
            <w:noWrap w:val="0"/>
            <w:vAlign w:val="center"/>
          </w:tcPr>
          <w:p w14:paraId="0EDD667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47FC25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1mm，A4</w:t>
            </w:r>
          </w:p>
        </w:tc>
        <w:tc>
          <w:tcPr>
            <w:tcW w:w="771" w:type="dxa"/>
            <w:tcBorders>
              <w:tl2br w:val="nil"/>
              <w:tr2bl w:val="nil"/>
            </w:tcBorders>
            <w:noWrap w:val="0"/>
            <w:vAlign w:val="center"/>
          </w:tcPr>
          <w:p w14:paraId="64E484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772" w:type="dxa"/>
            <w:tcBorders>
              <w:tl2br w:val="nil"/>
              <w:tr2bl w:val="nil"/>
            </w:tcBorders>
            <w:noWrap w:val="0"/>
            <w:vAlign w:val="center"/>
          </w:tcPr>
          <w:p w14:paraId="0A2B32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张</w:t>
            </w:r>
          </w:p>
        </w:tc>
      </w:tr>
      <w:tr w14:paraId="7C96A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04DBE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207</w:t>
            </w:r>
          </w:p>
        </w:tc>
        <w:tc>
          <w:tcPr>
            <w:tcW w:w="1470" w:type="dxa"/>
            <w:tcBorders>
              <w:tl2br w:val="nil"/>
              <w:tr2bl w:val="nil"/>
            </w:tcBorders>
            <w:noWrap w:val="0"/>
            <w:vAlign w:val="center"/>
          </w:tcPr>
          <w:p w14:paraId="599B07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方格计算纸</w:t>
            </w:r>
          </w:p>
        </w:tc>
        <w:tc>
          <w:tcPr>
            <w:tcW w:w="1425" w:type="dxa"/>
            <w:tcBorders>
              <w:tl2br w:val="nil"/>
              <w:tr2bl w:val="nil"/>
            </w:tcBorders>
            <w:noWrap w:val="0"/>
            <w:vAlign w:val="center"/>
          </w:tcPr>
          <w:p w14:paraId="1D6DFE7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628319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1mm方格，1mm细线，10mm粗线，幅面：A4</w:t>
            </w:r>
          </w:p>
        </w:tc>
        <w:tc>
          <w:tcPr>
            <w:tcW w:w="771" w:type="dxa"/>
            <w:tcBorders>
              <w:tl2br w:val="nil"/>
              <w:tr2bl w:val="nil"/>
            </w:tcBorders>
            <w:noWrap w:val="0"/>
            <w:vAlign w:val="center"/>
          </w:tcPr>
          <w:p w14:paraId="20898A6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772" w:type="dxa"/>
            <w:tcBorders>
              <w:tl2br w:val="nil"/>
              <w:tr2bl w:val="nil"/>
            </w:tcBorders>
            <w:noWrap w:val="0"/>
            <w:vAlign w:val="center"/>
          </w:tcPr>
          <w:p w14:paraId="0AEC527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张</w:t>
            </w:r>
          </w:p>
        </w:tc>
      </w:tr>
      <w:tr w14:paraId="2757E7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D04DE8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208</w:t>
            </w:r>
          </w:p>
        </w:tc>
        <w:tc>
          <w:tcPr>
            <w:tcW w:w="1470" w:type="dxa"/>
            <w:tcBorders>
              <w:tl2br w:val="nil"/>
              <w:tr2bl w:val="nil"/>
            </w:tcBorders>
            <w:noWrap w:val="0"/>
            <w:vAlign w:val="center"/>
          </w:tcPr>
          <w:p w14:paraId="59A355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发光二极管</w:t>
            </w:r>
          </w:p>
        </w:tc>
        <w:tc>
          <w:tcPr>
            <w:tcW w:w="1425" w:type="dxa"/>
            <w:tcBorders>
              <w:tl2br w:val="nil"/>
              <w:tr2bl w:val="nil"/>
            </w:tcBorders>
            <w:noWrap w:val="0"/>
            <w:vAlign w:val="center"/>
          </w:tcPr>
          <w:p w14:paraId="71B4D5A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38AE23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红、绿，Ф5mm，发光强度3mcd</w:t>
            </w:r>
          </w:p>
        </w:tc>
        <w:tc>
          <w:tcPr>
            <w:tcW w:w="771" w:type="dxa"/>
            <w:tcBorders>
              <w:tl2br w:val="nil"/>
              <w:tr2bl w:val="nil"/>
            </w:tcBorders>
            <w:noWrap w:val="0"/>
            <w:vAlign w:val="center"/>
          </w:tcPr>
          <w:p w14:paraId="2DA80A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772" w:type="dxa"/>
            <w:tcBorders>
              <w:tl2br w:val="nil"/>
              <w:tr2bl w:val="nil"/>
            </w:tcBorders>
            <w:noWrap w:val="0"/>
            <w:vAlign w:val="center"/>
          </w:tcPr>
          <w:p w14:paraId="34DE6AB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1EEC5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19A0B8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209</w:t>
            </w:r>
          </w:p>
        </w:tc>
        <w:tc>
          <w:tcPr>
            <w:tcW w:w="1470" w:type="dxa"/>
            <w:tcBorders>
              <w:tl2br w:val="nil"/>
              <w:tr2bl w:val="nil"/>
            </w:tcBorders>
            <w:noWrap w:val="0"/>
            <w:vAlign w:val="center"/>
          </w:tcPr>
          <w:p w14:paraId="480EEB6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松香</w:t>
            </w:r>
          </w:p>
        </w:tc>
        <w:tc>
          <w:tcPr>
            <w:tcW w:w="1425" w:type="dxa"/>
            <w:tcBorders>
              <w:tl2br w:val="nil"/>
              <w:tr2bl w:val="nil"/>
            </w:tcBorders>
            <w:noWrap w:val="0"/>
            <w:vAlign w:val="center"/>
          </w:tcPr>
          <w:p w14:paraId="0852C43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77C795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工业用</w:t>
            </w:r>
          </w:p>
        </w:tc>
        <w:tc>
          <w:tcPr>
            <w:tcW w:w="771" w:type="dxa"/>
            <w:tcBorders>
              <w:tl2br w:val="nil"/>
              <w:tr2bl w:val="nil"/>
            </w:tcBorders>
            <w:noWrap w:val="0"/>
            <w:vAlign w:val="center"/>
          </w:tcPr>
          <w:p w14:paraId="733DFE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500</w:t>
            </w:r>
          </w:p>
        </w:tc>
        <w:tc>
          <w:tcPr>
            <w:tcW w:w="772" w:type="dxa"/>
            <w:tcBorders>
              <w:tl2br w:val="nil"/>
              <w:tr2bl w:val="nil"/>
            </w:tcBorders>
            <w:noWrap w:val="0"/>
            <w:vAlign w:val="center"/>
          </w:tcPr>
          <w:p w14:paraId="6B873D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克</w:t>
            </w:r>
          </w:p>
        </w:tc>
      </w:tr>
      <w:tr w14:paraId="6B16E0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DCCE0E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210</w:t>
            </w:r>
          </w:p>
        </w:tc>
        <w:tc>
          <w:tcPr>
            <w:tcW w:w="1470" w:type="dxa"/>
            <w:tcBorders>
              <w:tl2br w:val="nil"/>
              <w:tr2bl w:val="nil"/>
            </w:tcBorders>
            <w:noWrap w:val="0"/>
            <w:vAlign w:val="center"/>
          </w:tcPr>
          <w:p w14:paraId="1E8B9B8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凡士林</w:t>
            </w:r>
          </w:p>
        </w:tc>
        <w:tc>
          <w:tcPr>
            <w:tcW w:w="1425" w:type="dxa"/>
            <w:tcBorders>
              <w:tl2br w:val="nil"/>
              <w:tr2bl w:val="nil"/>
            </w:tcBorders>
            <w:noWrap w:val="0"/>
            <w:vAlign w:val="center"/>
          </w:tcPr>
          <w:p w14:paraId="4A041E8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877459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工业用</w:t>
            </w:r>
          </w:p>
        </w:tc>
        <w:tc>
          <w:tcPr>
            <w:tcW w:w="771" w:type="dxa"/>
            <w:tcBorders>
              <w:tl2br w:val="nil"/>
              <w:tr2bl w:val="nil"/>
            </w:tcBorders>
            <w:noWrap w:val="0"/>
            <w:vAlign w:val="center"/>
          </w:tcPr>
          <w:p w14:paraId="68A4E3E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772" w:type="dxa"/>
            <w:tcBorders>
              <w:tl2br w:val="nil"/>
              <w:tr2bl w:val="nil"/>
            </w:tcBorders>
            <w:noWrap w:val="0"/>
            <w:vAlign w:val="center"/>
          </w:tcPr>
          <w:p w14:paraId="3B21F9F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克</w:t>
            </w:r>
          </w:p>
        </w:tc>
      </w:tr>
      <w:tr w14:paraId="3664F7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26344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211</w:t>
            </w:r>
          </w:p>
        </w:tc>
        <w:tc>
          <w:tcPr>
            <w:tcW w:w="1470" w:type="dxa"/>
            <w:tcBorders>
              <w:tl2br w:val="nil"/>
              <w:tr2bl w:val="nil"/>
            </w:tcBorders>
            <w:noWrap w:val="0"/>
            <w:vAlign w:val="center"/>
          </w:tcPr>
          <w:p w14:paraId="243ADF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铁丝网</w:t>
            </w:r>
          </w:p>
        </w:tc>
        <w:tc>
          <w:tcPr>
            <w:tcW w:w="1425" w:type="dxa"/>
            <w:tcBorders>
              <w:tl2br w:val="nil"/>
              <w:tr2bl w:val="nil"/>
            </w:tcBorders>
            <w:noWrap w:val="0"/>
            <w:vAlign w:val="center"/>
          </w:tcPr>
          <w:p w14:paraId="3E1C1B0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032F75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1mm孔</w:t>
            </w:r>
          </w:p>
        </w:tc>
        <w:tc>
          <w:tcPr>
            <w:tcW w:w="771" w:type="dxa"/>
            <w:tcBorders>
              <w:tl2br w:val="nil"/>
              <w:tr2bl w:val="nil"/>
            </w:tcBorders>
            <w:noWrap w:val="0"/>
            <w:vAlign w:val="center"/>
          </w:tcPr>
          <w:p w14:paraId="2EB6258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2F9E43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m2</w:t>
            </w:r>
          </w:p>
        </w:tc>
      </w:tr>
      <w:tr w14:paraId="5DCD31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58D5C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212</w:t>
            </w:r>
          </w:p>
        </w:tc>
        <w:tc>
          <w:tcPr>
            <w:tcW w:w="1470" w:type="dxa"/>
            <w:tcBorders>
              <w:tl2br w:val="nil"/>
              <w:tr2bl w:val="nil"/>
            </w:tcBorders>
            <w:noWrap w:val="0"/>
            <w:vAlign w:val="center"/>
          </w:tcPr>
          <w:p w14:paraId="612A3E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载玻片</w:t>
            </w:r>
          </w:p>
        </w:tc>
        <w:tc>
          <w:tcPr>
            <w:tcW w:w="1425" w:type="dxa"/>
            <w:tcBorders>
              <w:tl2br w:val="nil"/>
              <w:tr2bl w:val="nil"/>
            </w:tcBorders>
            <w:noWrap w:val="0"/>
            <w:vAlign w:val="center"/>
          </w:tcPr>
          <w:p w14:paraId="0086B0D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0FACC8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每盒50片，配盒</w:t>
            </w:r>
          </w:p>
        </w:tc>
        <w:tc>
          <w:tcPr>
            <w:tcW w:w="771" w:type="dxa"/>
            <w:tcBorders>
              <w:tl2br w:val="nil"/>
              <w:tr2bl w:val="nil"/>
            </w:tcBorders>
            <w:noWrap w:val="0"/>
            <w:vAlign w:val="center"/>
          </w:tcPr>
          <w:p w14:paraId="5EB58A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522EB0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盒</w:t>
            </w:r>
          </w:p>
        </w:tc>
      </w:tr>
      <w:tr w14:paraId="0EB00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A207DB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213</w:t>
            </w:r>
          </w:p>
        </w:tc>
        <w:tc>
          <w:tcPr>
            <w:tcW w:w="1470" w:type="dxa"/>
            <w:tcBorders>
              <w:tl2br w:val="nil"/>
              <w:tr2bl w:val="nil"/>
            </w:tcBorders>
            <w:noWrap w:val="0"/>
            <w:vAlign w:val="center"/>
          </w:tcPr>
          <w:p w14:paraId="134B24E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盖玻片</w:t>
            </w:r>
          </w:p>
        </w:tc>
        <w:tc>
          <w:tcPr>
            <w:tcW w:w="1425" w:type="dxa"/>
            <w:tcBorders>
              <w:tl2br w:val="nil"/>
              <w:tr2bl w:val="nil"/>
            </w:tcBorders>
            <w:noWrap w:val="0"/>
            <w:vAlign w:val="center"/>
          </w:tcPr>
          <w:p w14:paraId="43B35DD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A0A1DC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每包10盒，每盒50片</w:t>
            </w:r>
          </w:p>
        </w:tc>
        <w:tc>
          <w:tcPr>
            <w:tcW w:w="771" w:type="dxa"/>
            <w:tcBorders>
              <w:tl2br w:val="nil"/>
              <w:tr2bl w:val="nil"/>
            </w:tcBorders>
            <w:noWrap w:val="0"/>
            <w:vAlign w:val="center"/>
          </w:tcPr>
          <w:p w14:paraId="5D290F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500ADD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包</w:t>
            </w:r>
          </w:p>
        </w:tc>
      </w:tr>
      <w:tr w14:paraId="54C7FC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23D657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214</w:t>
            </w:r>
          </w:p>
        </w:tc>
        <w:tc>
          <w:tcPr>
            <w:tcW w:w="1470" w:type="dxa"/>
            <w:tcBorders>
              <w:tl2br w:val="nil"/>
              <w:tr2bl w:val="nil"/>
            </w:tcBorders>
            <w:noWrap w:val="0"/>
            <w:vAlign w:val="center"/>
          </w:tcPr>
          <w:p w14:paraId="63BB6D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标签纸</w:t>
            </w:r>
          </w:p>
        </w:tc>
        <w:tc>
          <w:tcPr>
            <w:tcW w:w="1425" w:type="dxa"/>
            <w:tcBorders>
              <w:tl2br w:val="nil"/>
              <w:tr2bl w:val="nil"/>
            </w:tcBorders>
            <w:noWrap w:val="0"/>
            <w:vAlign w:val="center"/>
          </w:tcPr>
          <w:p w14:paraId="507DB62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4EDF5E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不干胶票贴</w:t>
            </w:r>
          </w:p>
        </w:tc>
        <w:tc>
          <w:tcPr>
            <w:tcW w:w="771" w:type="dxa"/>
            <w:tcBorders>
              <w:tl2br w:val="nil"/>
              <w:tr2bl w:val="nil"/>
            </w:tcBorders>
            <w:noWrap w:val="0"/>
            <w:vAlign w:val="center"/>
          </w:tcPr>
          <w:p w14:paraId="312A30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59E386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本</w:t>
            </w:r>
          </w:p>
        </w:tc>
      </w:tr>
      <w:tr w14:paraId="3DB3BE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DCD38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215</w:t>
            </w:r>
          </w:p>
        </w:tc>
        <w:tc>
          <w:tcPr>
            <w:tcW w:w="1470" w:type="dxa"/>
            <w:tcBorders>
              <w:tl2br w:val="nil"/>
              <w:tr2bl w:val="nil"/>
            </w:tcBorders>
            <w:noWrap w:val="0"/>
            <w:vAlign w:val="center"/>
          </w:tcPr>
          <w:p w14:paraId="16AA2B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平面镜</w:t>
            </w:r>
          </w:p>
        </w:tc>
        <w:tc>
          <w:tcPr>
            <w:tcW w:w="1425" w:type="dxa"/>
            <w:tcBorders>
              <w:tl2br w:val="nil"/>
              <w:tr2bl w:val="nil"/>
            </w:tcBorders>
            <w:noWrap w:val="0"/>
            <w:vAlign w:val="center"/>
          </w:tcPr>
          <w:p w14:paraId="2D95B3C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449F27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100mm×70mm，有保护框</w:t>
            </w:r>
          </w:p>
        </w:tc>
        <w:tc>
          <w:tcPr>
            <w:tcW w:w="771" w:type="dxa"/>
            <w:tcBorders>
              <w:tl2br w:val="nil"/>
              <w:tr2bl w:val="nil"/>
            </w:tcBorders>
            <w:noWrap w:val="0"/>
            <w:vAlign w:val="center"/>
          </w:tcPr>
          <w:p w14:paraId="4909DB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D0B6C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块</w:t>
            </w:r>
          </w:p>
        </w:tc>
      </w:tr>
      <w:tr w14:paraId="6BD76B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F43FD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216</w:t>
            </w:r>
          </w:p>
        </w:tc>
        <w:tc>
          <w:tcPr>
            <w:tcW w:w="1470" w:type="dxa"/>
            <w:tcBorders>
              <w:tl2br w:val="nil"/>
              <w:tr2bl w:val="nil"/>
            </w:tcBorders>
            <w:noWrap w:val="0"/>
            <w:vAlign w:val="center"/>
          </w:tcPr>
          <w:p w14:paraId="51FD742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小鼓</w:t>
            </w:r>
          </w:p>
        </w:tc>
        <w:tc>
          <w:tcPr>
            <w:tcW w:w="1425" w:type="dxa"/>
            <w:tcBorders>
              <w:tl2br w:val="nil"/>
              <w:tr2bl w:val="nil"/>
            </w:tcBorders>
            <w:noWrap w:val="0"/>
            <w:vAlign w:val="center"/>
          </w:tcPr>
          <w:p w14:paraId="29EA254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9FC3C2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Ф150mm</w:t>
            </w:r>
          </w:p>
        </w:tc>
        <w:tc>
          <w:tcPr>
            <w:tcW w:w="771" w:type="dxa"/>
            <w:tcBorders>
              <w:tl2br w:val="nil"/>
              <w:tr2bl w:val="nil"/>
            </w:tcBorders>
            <w:noWrap w:val="0"/>
            <w:vAlign w:val="center"/>
          </w:tcPr>
          <w:p w14:paraId="21B8DC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1CDDEE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1DF3B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3AB8B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217</w:t>
            </w:r>
          </w:p>
        </w:tc>
        <w:tc>
          <w:tcPr>
            <w:tcW w:w="1470" w:type="dxa"/>
            <w:tcBorders>
              <w:tl2br w:val="nil"/>
              <w:tr2bl w:val="nil"/>
            </w:tcBorders>
            <w:noWrap w:val="0"/>
            <w:vAlign w:val="center"/>
          </w:tcPr>
          <w:p w14:paraId="02AAFF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测电笔</w:t>
            </w:r>
          </w:p>
        </w:tc>
        <w:tc>
          <w:tcPr>
            <w:tcW w:w="1425" w:type="dxa"/>
            <w:tcBorders>
              <w:tl2br w:val="nil"/>
              <w:tr2bl w:val="nil"/>
            </w:tcBorders>
            <w:noWrap w:val="0"/>
            <w:vAlign w:val="center"/>
          </w:tcPr>
          <w:p w14:paraId="336C7FA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EA3089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笔式或兼用螺钉旋具式，测量范围:100V～500V，起辉电压50V～90V，氖灯发光部位在透明壳体或透明视窗中部</w:t>
            </w:r>
          </w:p>
        </w:tc>
        <w:tc>
          <w:tcPr>
            <w:tcW w:w="771" w:type="dxa"/>
            <w:tcBorders>
              <w:tl2br w:val="nil"/>
              <w:tr2bl w:val="nil"/>
            </w:tcBorders>
            <w:noWrap w:val="0"/>
            <w:vAlign w:val="center"/>
          </w:tcPr>
          <w:p w14:paraId="342DC0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772" w:type="dxa"/>
            <w:tcBorders>
              <w:tl2br w:val="nil"/>
              <w:tr2bl w:val="nil"/>
            </w:tcBorders>
            <w:noWrap w:val="0"/>
            <w:vAlign w:val="center"/>
          </w:tcPr>
          <w:p w14:paraId="648DD9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7F48F0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04032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218</w:t>
            </w:r>
          </w:p>
        </w:tc>
        <w:tc>
          <w:tcPr>
            <w:tcW w:w="1470" w:type="dxa"/>
            <w:tcBorders>
              <w:tl2br w:val="nil"/>
              <w:tr2bl w:val="nil"/>
            </w:tcBorders>
            <w:noWrap w:val="0"/>
            <w:vAlign w:val="center"/>
          </w:tcPr>
          <w:p w14:paraId="43F2617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一字螺丝刀</w:t>
            </w:r>
          </w:p>
        </w:tc>
        <w:tc>
          <w:tcPr>
            <w:tcW w:w="1425" w:type="dxa"/>
            <w:tcBorders>
              <w:tl2br w:val="nil"/>
              <w:tr2bl w:val="nil"/>
            </w:tcBorders>
            <w:noWrap w:val="0"/>
            <w:vAlign w:val="center"/>
          </w:tcPr>
          <w:p w14:paraId="4266C52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AD3DF7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Ф6mm，长150mm；Ф3mm，长75mm，带磁性，硬度HRC48。旋杆采用鉻钒钢，旋杆长度≥100mm，旋杆应经镀鉻防锈处理。手柄采用高强度PP±高强性TPR注塑成型</w:t>
            </w:r>
          </w:p>
        </w:tc>
        <w:tc>
          <w:tcPr>
            <w:tcW w:w="771" w:type="dxa"/>
            <w:tcBorders>
              <w:tl2br w:val="nil"/>
              <w:tr2bl w:val="nil"/>
            </w:tcBorders>
            <w:noWrap w:val="0"/>
            <w:vAlign w:val="center"/>
          </w:tcPr>
          <w:p w14:paraId="065293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772" w:type="dxa"/>
            <w:tcBorders>
              <w:tl2br w:val="nil"/>
              <w:tr2bl w:val="nil"/>
            </w:tcBorders>
            <w:noWrap w:val="0"/>
            <w:vAlign w:val="center"/>
          </w:tcPr>
          <w:p w14:paraId="3BF8C99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58509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EE76C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219</w:t>
            </w:r>
          </w:p>
        </w:tc>
        <w:tc>
          <w:tcPr>
            <w:tcW w:w="1470" w:type="dxa"/>
            <w:tcBorders>
              <w:tl2br w:val="nil"/>
              <w:tr2bl w:val="nil"/>
            </w:tcBorders>
            <w:noWrap w:val="0"/>
            <w:vAlign w:val="center"/>
          </w:tcPr>
          <w:p w14:paraId="32AFE45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十字螺丝刀</w:t>
            </w:r>
          </w:p>
        </w:tc>
        <w:tc>
          <w:tcPr>
            <w:tcW w:w="1425" w:type="dxa"/>
            <w:tcBorders>
              <w:tl2br w:val="nil"/>
              <w:tr2bl w:val="nil"/>
            </w:tcBorders>
            <w:noWrap w:val="0"/>
            <w:vAlign w:val="center"/>
          </w:tcPr>
          <w:p w14:paraId="0E91C40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21575D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Ф6mm，长150mm；Ф3mm，长75mm，带磁性，硬度HRC48。旋杆采用鉻钒钢，旋杆长度≥100mm，旋杆应经镀鉻防锈处理。手柄采用高强度PP±高强性TPR注塑成型</w:t>
            </w:r>
          </w:p>
        </w:tc>
        <w:tc>
          <w:tcPr>
            <w:tcW w:w="771" w:type="dxa"/>
            <w:tcBorders>
              <w:tl2br w:val="nil"/>
              <w:tr2bl w:val="nil"/>
            </w:tcBorders>
            <w:noWrap w:val="0"/>
            <w:vAlign w:val="center"/>
          </w:tcPr>
          <w:p w14:paraId="491189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772" w:type="dxa"/>
            <w:tcBorders>
              <w:tl2br w:val="nil"/>
              <w:tr2bl w:val="nil"/>
            </w:tcBorders>
            <w:noWrap w:val="0"/>
            <w:vAlign w:val="center"/>
          </w:tcPr>
          <w:p w14:paraId="44F4B97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3250E6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30D979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220</w:t>
            </w:r>
          </w:p>
        </w:tc>
        <w:tc>
          <w:tcPr>
            <w:tcW w:w="1470" w:type="dxa"/>
            <w:tcBorders>
              <w:tl2br w:val="nil"/>
              <w:tr2bl w:val="nil"/>
            </w:tcBorders>
            <w:noWrap w:val="0"/>
            <w:vAlign w:val="center"/>
          </w:tcPr>
          <w:p w14:paraId="6C7A411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尖嘴钳</w:t>
            </w:r>
          </w:p>
        </w:tc>
        <w:tc>
          <w:tcPr>
            <w:tcW w:w="1425" w:type="dxa"/>
            <w:tcBorders>
              <w:tl2br w:val="nil"/>
              <w:tr2bl w:val="nil"/>
            </w:tcBorders>
            <w:noWrap w:val="0"/>
            <w:vAlign w:val="center"/>
          </w:tcPr>
          <w:p w14:paraId="6790603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1D1E96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160mm，PVC手柄，剪切性能：Φ1.6mm钢丝，嘴顶3mm内缝隙≤0.08mm。在≤18N的力作用下撑开角度≥22°</w:t>
            </w:r>
          </w:p>
        </w:tc>
        <w:tc>
          <w:tcPr>
            <w:tcW w:w="771" w:type="dxa"/>
            <w:tcBorders>
              <w:tl2br w:val="nil"/>
              <w:tr2bl w:val="nil"/>
            </w:tcBorders>
            <w:noWrap w:val="0"/>
            <w:vAlign w:val="center"/>
          </w:tcPr>
          <w:p w14:paraId="4BAF188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772" w:type="dxa"/>
            <w:tcBorders>
              <w:tl2br w:val="nil"/>
              <w:tr2bl w:val="nil"/>
            </w:tcBorders>
            <w:noWrap w:val="0"/>
            <w:vAlign w:val="center"/>
          </w:tcPr>
          <w:p w14:paraId="2F5543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440C6A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0D58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221</w:t>
            </w:r>
          </w:p>
        </w:tc>
        <w:tc>
          <w:tcPr>
            <w:tcW w:w="1470" w:type="dxa"/>
            <w:tcBorders>
              <w:tl2br w:val="nil"/>
              <w:tr2bl w:val="nil"/>
            </w:tcBorders>
            <w:noWrap w:val="0"/>
            <w:vAlign w:val="center"/>
          </w:tcPr>
          <w:p w14:paraId="3FBC47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电工刀</w:t>
            </w:r>
          </w:p>
        </w:tc>
        <w:tc>
          <w:tcPr>
            <w:tcW w:w="1425" w:type="dxa"/>
            <w:tcBorders>
              <w:tl2br w:val="nil"/>
              <w:tr2bl w:val="nil"/>
            </w:tcBorders>
            <w:noWrap w:val="0"/>
            <w:vAlign w:val="center"/>
          </w:tcPr>
          <w:p w14:paraId="2059946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547358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单用途型，刀身长度90mm，刃口线无波浪形，刃面宽度均匀，刃口锋利，能轻快地削除导线的绝缘层，刀片开启力≤30N</w:t>
            </w:r>
          </w:p>
        </w:tc>
        <w:tc>
          <w:tcPr>
            <w:tcW w:w="771" w:type="dxa"/>
            <w:tcBorders>
              <w:tl2br w:val="nil"/>
              <w:tr2bl w:val="nil"/>
            </w:tcBorders>
            <w:noWrap w:val="0"/>
            <w:vAlign w:val="center"/>
          </w:tcPr>
          <w:p w14:paraId="41D029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w:t>
            </w:r>
          </w:p>
        </w:tc>
        <w:tc>
          <w:tcPr>
            <w:tcW w:w="772" w:type="dxa"/>
            <w:tcBorders>
              <w:tl2br w:val="nil"/>
              <w:tr2bl w:val="nil"/>
            </w:tcBorders>
            <w:noWrap w:val="0"/>
            <w:vAlign w:val="center"/>
          </w:tcPr>
          <w:p w14:paraId="283586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3AED2C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73C85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222</w:t>
            </w:r>
          </w:p>
        </w:tc>
        <w:tc>
          <w:tcPr>
            <w:tcW w:w="1470" w:type="dxa"/>
            <w:tcBorders>
              <w:tl2br w:val="nil"/>
              <w:tr2bl w:val="nil"/>
            </w:tcBorders>
            <w:noWrap w:val="0"/>
            <w:vAlign w:val="center"/>
          </w:tcPr>
          <w:p w14:paraId="6C1C20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手摇钻</w:t>
            </w:r>
          </w:p>
        </w:tc>
        <w:tc>
          <w:tcPr>
            <w:tcW w:w="1425" w:type="dxa"/>
            <w:tcBorders>
              <w:tl2br w:val="nil"/>
              <w:tr2bl w:val="nil"/>
            </w:tcBorders>
            <w:noWrap w:val="0"/>
            <w:vAlign w:val="center"/>
          </w:tcPr>
          <w:p w14:paraId="2498222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AD4D7C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手持式，夹持直径（最大）9mm。长度（手柄除外）不低于250mm,金属部分采用球墨铸造方式制成、手摇钻的夹头应伸缩灵活，收紧时夹爪间不能用明显的缝隙，夹爪的热处理硬度不得低于44HRC</w:t>
            </w:r>
          </w:p>
        </w:tc>
        <w:tc>
          <w:tcPr>
            <w:tcW w:w="771" w:type="dxa"/>
            <w:tcBorders>
              <w:tl2br w:val="nil"/>
              <w:tr2bl w:val="nil"/>
            </w:tcBorders>
            <w:noWrap w:val="0"/>
            <w:vAlign w:val="center"/>
          </w:tcPr>
          <w:p w14:paraId="20F96E2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BF093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30CB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CB8A9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223</w:t>
            </w:r>
          </w:p>
        </w:tc>
        <w:tc>
          <w:tcPr>
            <w:tcW w:w="1470" w:type="dxa"/>
            <w:tcBorders>
              <w:tl2br w:val="nil"/>
              <w:tr2bl w:val="nil"/>
            </w:tcBorders>
            <w:noWrap w:val="0"/>
            <w:vAlign w:val="center"/>
          </w:tcPr>
          <w:p w14:paraId="15C8DD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木锉</w:t>
            </w:r>
          </w:p>
        </w:tc>
        <w:tc>
          <w:tcPr>
            <w:tcW w:w="1425" w:type="dxa"/>
            <w:tcBorders>
              <w:tl2br w:val="nil"/>
              <w:tr2bl w:val="nil"/>
            </w:tcBorders>
            <w:noWrap w:val="0"/>
            <w:vAlign w:val="center"/>
          </w:tcPr>
          <w:p w14:paraId="763EC74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826E7A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平锉，中齿 200mm，</w:t>
            </w:r>
          </w:p>
        </w:tc>
        <w:tc>
          <w:tcPr>
            <w:tcW w:w="771" w:type="dxa"/>
            <w:tcBorders>
              <w:tl2br w:val="nil"/>
              <w:tr2bl w:val="nil"/>
            </w:tcBorders>
            <w:noWrap w:val="0"/>
            <w:vAlign w:val="center"/>
          </w:tcPr>
          <w:p w14:paraId="5E8A22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28F63A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1825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2F62D8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224</w:t>
            </w:r>
          </w:p>
        </w:tc>
        <w:tc>
          <w:tcPr>
            <w:tcW w:w="1470" w:type="dxa"/>
            <w:tcBorders>
              <w:tl2br w:val="nil"/>
              <w:tr2bl w:val="nil"/>
            </w:tcBorders>
            <w:noWrap w:val="0"/>
            <w:vAlign w:val="center"/>
          </w:tcPr>
          <w:p w14:paraId="206E4A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木工锯</w:t>
            </w:r>
          </w:p>
        </w:tc>
        <w:tc>
          <w:tcPr>
            <w:tcW w:w="1425" w:type="dxa"/>
            <w:tcBorders>
              <w:tl2br w:val="nil"/>
              <w:tr2bl w:val="nil"/>
            </w:tcBorders>
            <w:noWrap w:val="0"/>
            <w:vAlign w:val="center"/>
          </w:tcPr>
          <w:p w14:paraId="0C608F8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5136D0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框架式，两头用硬木，中间横档用杉木，表面涂清漆。锯条端力握手一边木框的距离30mm，该端锯条倒角。一头45°固定需加固，一年内螺钉处不开裂，两端也可用锯鼻。绞绳不少于16根，绞片有细绳拴住。开好锯路，锯口有安全包扎。锯条长400mm，厚度0.5mm，采用65Mn冷轧钢带，锯条硬度HV399以上，齿距2.5mm</w:t>
            </w:r>
          </w:p>
        </w:tc>
        <w:tc>
          <w:tcPr>
            <w:tcW w:w="771" w:type="dxa"/>
            <w:tcBorders>
              <w:tl2br w:val="nil"/>
              <w:tr2bl w:val="nil"/>
            </w:tcBorders>
            <w:noWrap w:val="0"/>
            <w:vAlign w:val="center"/>
          </w:tcPr>
          <w:p w14:paraId="59C0EBF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9CC44E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397233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E5E64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225</w:t>
            </w:r>
          </w:p>
        </w:tc>
        <w:tc>
          <w:tcPr>
            <w:tcW w:w="1470" w:type="dxa"/>
            <w:tcBorders>
              <w:tl2br w:val="nil"/>
              <w:tr2bl w:val="nil"/>
            </w:tcBorders>
            <w:noWrap w:val="0"/>
            <w:vAlign w:val="center"/>
          </w:tcPr>
          <w:p w14:paraId="43E05B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木工锤</w:t>
            </w:r>
          </w:p>
        </w:tc>
        <w:tc>
          <w:tcPr>
            <w:tcW w:w="1425" w:type="dxa"/>
            <w:tcBorders>
              <w:tl2br w:val="nil"/>
              <w:tr2bl w:val="nil"/>
            </w:tcBorders>
            <w:noWrap w:val="0"/>
            <w:vAlign w:val="center"/>
          </w:tcPr>
          <w:p w14:paraId="4673FD0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EEC0FD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木工用，0.25kg，羊角锤</w:t>
            </w:r>
          </w:p>
        </w:tc>
        <w:tc>
          <w:tcPr>
            <w:tcW w:w="771" w:type="dxa"/>
            <w:tcBorders>
              <w:tl2br w:val="nil"/>
              <w:tr2bl w:val="nil"/>
            </w:tcBorders>
            <w:noWrap w:val="0"/>
            <w:vAlign w:val="center"/>
          </w:tcPr>
          <w:p w14:paraId="09B899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70ED4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3D80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818270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226</w:t>
            </w:r>
          </w:p>
        </w:tc>
        <w:tc>
          <w:tcPr>
            <w:tcW w:w="1470" w:type="dxa"/>
            <w:tcBorders>
              <w:tl2br w:val="nil"/>
              <w:tr2bl w:val="nil"/>
            </w:tcBorders>
            <w:noWrap w:val="0"/>
            <w:vAlign w:val="center"/>
          </w:tcPr>
          <w:p w14:paraId="63452D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铇</w:t>
            </w:r>
          </w:p>
        </w:tc>
        <w:tc>
          <w:tcPr>
            <w:tcW w:w="1425" w:type="dxa"/>
            <w:tcBorders>
              <w:tl2br w:val="nil"/>
              <w:tr2bl w:val="nil"/>
            </w:tcBorders>
            <w:noWrap w:val="0"/>
            <w:vAlign w:val="center"/>
          </w:tcPr>
          <w:p w14:paraId="747437A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0C1AC8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250mm，长刨，手柄在顶面</w:t>
            </w:r>
          </w:p>
        </w:tc>
        <w:tc>
          <w:tcPr>
            <w:tcW w:w="771" w:type="dxa"/>
            <w:tcBorders>
              <w:tl2br w:val="nil"/>
              <w:tr2bl w:val="nil"/>
            </w:tcBorders>
            <w:noWrap w:val="0"/>
            <w:vAlign w:val="center"/>
          </w:tcPr>
          <w:p w14:paraId="361C2CB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B9D2E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9E1DE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0424C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227</w:t>
            </w:r>
          </w:p>
        </w:tc>
        <w:tc>
          <w:tcPr>
            <w:tcW w:w="1470" w:type="dxa"/>
            <w:tcBorders>
              <w:tl2br w:val="nil"/>
              <w:tr2bl w:val="nil"/>
            </w:tcBorders>
            <w:noWrap w:val="0"/>
            <w:vAlign w:val="center"/>
          </w:tcPr>
          <w:p w14:paraId="747EA4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斧</w:t>
            </w:r>
          </w:p>
        </w:tc>
        <w:tc>
          <w:tcPr>
            <w:tcW w:w="1425" w:type="dxa"/>
            <w:tcBorders>
              <w:tl2br w:val="nil"/>
              <w:tr2bl w:val="nil"/>
            </w:tcBorders>
            <w:noWrap w:val="0"/>
            <w:vAlign w:val="center"/>
          </w:tcPr>
          <w:p w14:paraId="0C1F420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DAC902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1.25kg</w:t>
            </w:r>
          </w:p>
        </w:tc>
        <w:tc>
          <w:tcPr>
            <w:tcW w:w="771" w:type="dxa"/>
            <w:tcBorders>
              <w:tl2br w:val="nil"/>
              <w:tr2bl w:val="nil"/>
            </w:tcBorders>
            <w:noWrap w:val="0"/>
            <w:vAlign w:val="center"/>
          </w:tcPr>
          <w:p w14:paraId="62238C1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D3D0C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4E63E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65FBF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228</w:t>
            </w:r>
          </w:p>
        </w:tc>
        <w:tc>
          <w:tcPr>
            <w:tcW w:w="1470" w:type="dxa"/>
            <w:tcBorders>
              <w:tl2br w:val="nil"/>
              <w:tr2bl w:val="nil"/>
            </w:tcBorders>
            <w:noWrap w:val="0"/>
            <w:vAlign w:val="center"/>
          </w:tcPr>
          <w:p w14:paraId="74B3F9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钢手锯</w:t>
            </w:r>
          </w:p>
        </w:tc>
        <w:tc>
          <w:tcPr>
            <w:tcW w:w="1425" w:type="dxa"/>
            <w:tcBorders>
              <w:tl2br w:val="nil"/>
              <w:tr2bl w:val="nil"/>
            </w:tcBorders>
            <w:noWrap w:val="0"/>
            <w:vAlign w:val="center"/>
          </w:tcPr>
          <w:p w14:paraId="3DB3FE6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8407A9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手柄可采用刚才、塑料、木料及合金等。</w:t>
            </w:r>
          </w:p>
        </w:tc>
        <w:tc>
          <w:tcPr>
            <w:tcW w:w="771" w:type="dxa"/>
            <w:tcBorders>
              <w:tl2br w:val="nil"/>
              <w:tr2bl w:val="nil"/>
            </w:tcBorders>
            <w:noWrap w:val="0"/>
            <w:vAlign w:val="center"/>
          </w:tcPr>
          <w:p w14:paraId="68EC59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2358B9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38C28B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46CBA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229</w:t>
            </w:r>
          </w:p>
        </w:tc>
        <w:tc>
          <w:tcPr>
            <w:tcW w:w="1470" w:type="dxa"/>
            <w:tcBorders>
              <w:tl2br w:val="nil"/>
              <w:tr2bl w:val="nil"/>
            </w:tcBorders>
            <w:noWrap w:val="0"/>
            <w:vAlign w:val="center"/>
          </w:tcPr>
          <w:p w14:paraId="381290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剥线钳</w:t>
            </w:r>
          </w:p>
        </w:tc>
        <w:tc>
          <w:tcPr>
            <w:tcW w:w="1425" w:type="dxa"/>
            <w:tcBorders>
              <w:tl2br w:val="nil"/>
              <w:tr2bl w:val="nil"/>
            </w:tcBorders>
            <w:noWrap w:val="0"/>
            <w:vAlign w:val="center"/>
          </w:tcPr>
          <w:p w14:paraId="4E6C0609">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F4D061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自动剥线钳，规格：直径为0.5mm～2.5mm。闭合状态刃口间隙应不大于0.3mm。刃口错位应不大于0.2mm</w:t>
            </w:r>
          </w:p>
        </w:tc>
        <w:tc>
          <w:tcPr>
            <w:tcW w:w="771" w:type="dxa"/>
            <w:tcBorders>
              <w:tl2br w:val="nil"/>
              <w:tr2bl w:val="nil"/>
            </w:tcBorders>
            <w:noWrap w:val="0"/>
            <w:vAlign w:val="center"/>
          </w:tcPr>
          <w:p w14:paraId="6BED4C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0112A02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6B9BD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04B3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230</w:t>
            </w:r>
          </w:p>
        </w:tc>
        <w:tc>
          <w:tcPr>
            <w:tcW w:w="1470" w:type="dxa"/>
            <w:tcBorders>
              <w:tl2br w:val="nil"/>
              <w:tr2bl w:val="nil"/>
            </w:tcBorders>
            <w:noWrap w:val="0"/>
            <w:vAlign w:val="center"/>
          </w:tcPr>
          <w:p w14:paraId="2EEAD0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钢丝钳</w:t>
            </w:r>
          </w:p>
        </w:tc>
        <w:tc>
          <w:tcPr>
            <w:tcW w:w="1425" w:type="dxa"/>
            <w:tcBorders>
              <w:tl2br w:val="nil"/>
              <w:tr2bl w:val="nil"/>
            </w:tcBorders>
            <w:noWrap w:val="0"/>
            <w:vAlign w:val="center"/>
          </w:tcPr>
          <w:p w14:paraId="559DB89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4D9611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160mm，嘴顶缝隙：0.4mm；剪切性能：直径16mm钢丝，580N；PVC全新料环保手柄，在≤18N的力作用下撑开角度≥22°</w:t>
            </w:r>
          </w:p>
        </w:tc>
        <w:tc>
          <w:tcPr>
            <w:tcW w:w="771" w:type="dxa"/>
            <w:tcBorders>
              <w:tl2br w:val="nil"/>
              <w:tr2bl w:val="nil"/>
            </w:tcBorders>
            <w:noWrap w:val="0"/>
            <w:vAlign w:val="center"/>
          </w:tcPr>
          <w:p w14:paraId="24255F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092F128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3C2AB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399371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231</w:t>
            </w:r>
          </w:p>
        </w:tc>
        <w:tc>
          <w:tcPr>
            <w:tcW w:w="1470" w:type="dxa"/>
            <w:tcBorders>
              <w:tl2br w:val="nil"/>
              <w:tr2bl w:val="nil"/>
            </w:tcBorders>
            <w:noWrap w:val="0"/>
            <w:vAlign w:val="center"/>
          </w:tcPr>
          <w:p w14:paraId="5E7C856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手锤</w:t>
            </w:r>
          </w:p>
        </w:tc>
        <w:tc>
          <w:tcPr>
            <w:tcW w:w="1425" w:type="dxa"/>
            <w:tcBorders>
              <w:tl2br w:val="nil"/>
              <w:tr2bl w:val="nil"/>
            </w:tcBorders>
            <w:noWrap w:val="0"/>
            <w:vAlign w:val="center"/>
          </w:tcPr>
          <w:p w14:paraId="2E03B76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674B03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钳工锤，0.5kg</w:t>
            </w:r>
          </w:p>
        </w:tc>
        <w:tc>
          <w:tcPr>
            <w:tcW w:w="771" w:type="dxa"/>
            <w:tcBorders>
              <w:tl2br w:val="nil"/>
              <w:tr2bl w:val="nil"/>
            </w:tcBorders>
            <w:noWrap w:val="0"/>
            <w:vAlign w:val="center"/>
          </w:tcPr>
          <w:p w14:paraId="247F709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7231CC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5FB8E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99F5D4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232</w:t>
            </w:r>
          </w:p>
        </w:tc>
        <w:tc>
          <w:tcPr>
            <w:tcW w:w="1470" w:type="dxa"/>
            <w:tcBorders>
              <w:tl2br w:val="nil"/>
              <w:tr2bl w:val="nil"/>
            </w:tcBorders>
            <w:noWrap w:val="0"/>
            <w:vAlign w:val="center"/>
          </w:tcPr>
          <w:p w14:paraId="7C59CD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錾子</w:t>
            </w:r>
          </w:p>
        </w:tc>
        <w:tc>
          <w:tcPr>
            <w:tcW w:w="1425" w:type="dxa"/>
            <w:tcBorders>
              <w:tl2br w:val="nil"/>
              <w:tr2bl w:val="nil"/>
            </w:tcBorders>
            <w:noWrap w:val="0"/>
            <w:vAlign w:val="center"/>
          </w:tcPr>
          <w:p w14:paraId="7DC4A0F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729DFA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扁錾，27×200（mm），碳素工具钢T7A或T8A制作</w:t>
            </w:r>
          </w:p>
        </w:tc>
        <w:tc>
          <w:tcPr>
            <w:tcW w:w="771" w:type="dxa"/>
            <w:tcBorders>
              <w:tl2br w:val="nil"/>
              <w:tr2bl w:val="nil"/>
            </w:tcBorders>
            <w:noWrap w:val="0"/>
            <w:vAlign w:val="center"/>
          </w:tcPr>
          <w:p w14:paraId="6E620B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054516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D245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97372C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233</w:t>
            </w:r>
          </w:p>
        </w:tc>
        <w:tc>
          <w:tcPr>
            <w:tcW w:w="1470" w:type="dxa"/>
            <w:tcBorders>
              <w:tl2br w:val="nil"/>
              <w:tr2bl w:val="nil"/>
            </w:tcBorders>
            <w:noWrap w:val="0"/>
            <w:vAlign w:val="center"/>
          </w:tcPr>
          <w:p w14:paraId="7DF050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锉刀</w:t>
            </w:r>
          </w:p>
        </w:tc>
        <w:tc>
          <w:tcPr>
            <w:tcW w:w="1425" w:type="dxa"/>
            <w:tcBorders>
              <w:tl2br w:val="nil"/>
              <w:tr2bl w:val="nil"/>
            </w:tcBorders>
            <w:noWrap w:val="0"/>
            <w:vAlign w:val="center"/>
          </w:tcPr>
          <w:p w14:paraId="7D9A074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4A5126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200mm，齐头扁锉</w:t>
            </w:r>
          </w:p>
        </w:tc>
        <w:tc>
          <w:tcPr>
            <w:tcW w:w="771" w:type="dxa"/>
            <w:tcBorders>
              <w:tl2br w:val="nil"/>
              <w:tr2bl w:val="nil"/>
            </w:tcBorders>
            <w:noWrap w:val="0"/>
            <w:vAlign w:val="center"/>
          </w:tcPr>
          <w:p w14:paraId="171E424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2D4AFB0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DE335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C2AA1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234</w:t>
            </w:r>
          </w:p>
        </w:tc>
        <w:tc>
          <w:tcPr>
            <w:tcW w:w="1470" w:type="dxa"/>
            <w:tcBorders>
              <w:tl2br w:val="nil"/>
              <w:tr2bl w:val="nil"/>
            </w:tcBorders>
            <w:noWrap w:val="0"/>
            <w:vAlign w:val="center"/>
          </w:tcPr>
          <w:p w14:paraId="0BE5C9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什锦锉</w:t>
            </w:r>
          </w:p>
        </w:tc>
        <w:tc>
          <w:tcPr>
            <w:tcW w:w="1425" w:type="dxa"/>
            <w:tcBorders>
              <w:tl2br w:val="nil"/>
              <w:tr2bl w:val="nil"/>
            </w:tcBorders>
            <w:noWrap w:val="0"/>
            <w:vAlign w:val="center"/>
          </w:tcPr>
          <w:p w14:paraId="566AD89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054080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直径4mm，整体长度不低于150mm，一套10支不同形状的锉刀，软胶手柄，整套用PP塑料盒包装</w:t>
            </w:r>
          </w:p>
        </w:tc>
        <w:tc>
          <w:tcPr>
            <w:tcW w:w="771" w:type="dxa"/>
            <w:tcBorders>
              <w:tl2br w:val="nil"/>
              <w:tr2bl w:val="nil"/>
            </w:tcBorders>
            <w:noWrap w:val="0"/>
            <w:vAlign w:val="center"/>
          </w:tcPr>
          <w:p w14:paraId="57CEF5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B147F8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E135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70CC9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235</w:t>
            </w:r>
          </w:p>
        </w:tc>
        <w:tc>
          <w:tcPr>
            <w:tcW w:w="1470" w:type="dxa"/>
            <w:tcBorders>
              <w:tl2br w:val="nil"/>
              <w:tr2bl w:val="nil"/>
            </w:tcBorders>
            <w:noWrap w:val="0"/>
            <w:vAlign w:val="center"/>
          </w:tcPr>
          <w:p w14:paraId="39CFAE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活扳手</w:t>
            </w:r>
          </w:p>
        </w:tc>
        <w:tc>
          <w:tcPr>
            <w:tcW w:w="1425" w:type="dxa"/>
            <w:tcBorders>
              <w:tl2br w:val="nil"/>
              <w:tr2bl w:val="nil"/>
            </w:tcBorders>
            <w:noWrap w:val="0"/>
            <w:vAlign w:val="center"/>
          </w:tcPr>
          <w:p w14:paraId="10686E5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3DA27A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200mm，活动扳口应在扳体导轨的全行程上灵活移动，活动扳口和扳体之间的小肩离缝≤0.28mm，表面电镀处理</w:t>
            </w:r>
          </w:p>
        </w:tc>
        <w:tc>
          <w:tcPr>
            <w:tcW w:w="771" w:type="dxa"/>
            <w:tcBorders>
              <w:tl2br w:val="nil"/>
              <w:tr2bl w:val="nil"/>
            </w:tcBorders>
            <w:noWrap w:val="0"/>
            <w:vAlign w:val="center"/>
          </w:tcPr>
          <w:p w14:paraId="45BBF07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272A5D1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4D73B2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3540D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236</w:t>
            </w:r>
          </w:p>
        </w:tc>
        <w:tc>
          <w:tcPr>
            <w:tcW w:w="1470" w:type="dxa"/>
            <w:tcBorders>
              <w:tl2br w:val="nil"/>
              <w:tr2bl w:val="nil"/>
            </w:tcBorders>
            <w:noWrap w:val="0"/>
            <w:vAlign w:val="center"/>
          </w:tcPr>
          <w:p w14:paraId="6742E4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铁皮剪刀</w:t>
            </w:r>
          </w:p>
        </w:tc>
        <w:tc>
          <w:tcPr>
            <w:tcW w:w="1425" w:type="dxa"/>
            <w:tcBorders>
              <w:tl2br w:val="nil"/>
              <w:tr2bl w:val="nil"/>
            </w:tcBorders>
            <w:noWrap w:val="0"/>
            <w:vAlign w:val="center"/>
          </w:tcPr>
          <w:p w14:paraId="2C814E6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4009BC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力臂200mm，剪100mm</w:t>
            </w:r>
          </w:p>
        </w:tc>
        <w:tc>
          <w:tcPr>
            <w:tcW w:w="771" w:type="dxa"/>
            <w:tcBorders>
              <w:tl2br w:val="nil"/>
              <w:tr2bl w:val="nil"/>
            </w:tcBorders>
            <w:noWrap w:val="0"/>
            <w:vAlign w:val="center"/>
          </w:tcPr>
          <w:p w14:paraId="72DD184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17BDFCE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341B79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A1183E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237</w:t>
            </w:r>
          </w:p>
        </w:tc>
        <w:tc>
          <w:tcPr>
            <w:tcW w:w="1470" w:type="dxa"/>
            <w:tcBorders>
              <w:tl2br w:val="nil"/>
              <w:tr2bl w:val="nil"/>
            </w:tcBorders>
            <w:noWrap w:val="0"/>
            <w:vAlign w:val="center"/>
          </w:tcPr>
          <w:p w14:paraId="318B43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直角尺</w:t>
            </w:r>
          </w:p>
        </w:tc>
        <w:tc>
          <w:tcPr>
            <w:tcW w:w="1425" w:type="dxa"/>
            <w:tcBorders>
              <w:tl2br w:val="nil"/>
              <w:tr2bl w:val="nil"/>
            </w:tcBorders>
            <w:noWrap w:val="0"/>
            <w:vAlign w:val="center"/>
          </w:tcPr>
          <w:p w14:paraId="75C591C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86F01D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宽座角尺，160mm×100mm。不锈钢材料，2级</w:t>
            </w:r>
          </w:p>
        </w:tc>
        <w:tc>
          <w:tcPr>
            <w:tcW w:w="771" w:type="dxa"/>
            <w:tcBorders>
              <w:tl2br w:val="nil"/>
              <w:tr2bl w:val="nil"/>
            </w:tcBorders>
            <w:noWrap w:val="0"/>
            <w:vAlign w:val="center"/>
          </w:tcPr>
          <w:p w14:paraId="67713F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E39510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3D5E8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7A423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238</w:t>
            </w:r>
          </w:p>
        </w:tc>
        <w:tc>
          <w:tcPr>
            <w:tcW w:w="1470" w:type="dxa"/>
            <w:tcBorders>
              <w:tl2br w:val="nil"/>
              <w:tr2bl w:val="nil"/>
            </w:tcBorders>
            <w:noWrap w:val="0"/>
            <w:vAlign w:val="center"/>
          </w:tcPr>
          <w:p w14:paraId="2000D9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高度游标卡尺</w:t>
            </w:r>
          </w:p>
        </w:tc>
        <w:tc>
          <w:tcPr>
            <w:tcW w:w="1425" w:type="dxa"/>
            <w:tcBorders>
              <w:tl2br w:val="nil"/>
              <w:tr2bl w:val="nil"/>
            </w:tcBorders>
            <w:noWrap w:val="0"/>
            <w:vAlign w:val="center"/>
          </w:tcPr>
          <w:p w14:paraId="782F802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BF8DB1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0mm～300mm，0.02mm，最大允许误差±0.04mm</w:t>
            </w:r>
          </w:p>
        </w:tc>
        <w:tc>
          <w:tcPr>
            <w:tcW w:w="771" w:type="dxa"/>
            <w:tcBorders>
              <w:tl2br w:val="nil"/>
              <w:tr2bl w:val="nil"/>
            </w:tcBorders>
            <w:noWrap w:val="0"/>
            <w:vAlign w:val="center"/>
          </w:tcPr>
          <w:p w14:paraId="34DBBA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55CEA6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61A67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F981BF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239</w:t>
            </w:r>
          </w:p>
        </w:tc>
        <w:tc>
          <w:tcPr>
            <w:tcW w:w="1470" w:type="dxa"/>
            <w:tcBorders>
              <w:tl2br w:val="nil"/>
              <w:tr2bl w:val="nil"/>
            </w:tcBorders>
            <w:noWrap w:val="0"/>
            <w:vAlign w:val="center"/>
          </w:tcPr>
          <w:p w14:paraId="4B14D6D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电烙铁</w:t>
            </w:r>
          </w:p>
        </w:tc>
        <w:tc>
          <w:tcPr>
            <w:tcW w:w="1425" w:type="dxa"/>
            <w:tcBorders>
              <w:tl2br w:val="nil"/>
              <w:tr2bl w:val="nil"/>
            </w:tcBorders>
            <w:noWrap w:val="0"/>
            <w:vAlign w:val="center"/>
          </w:tcPr>
          <w:p w14:paraId="19987ED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7F57B5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60W内热式，橡胶线</w:t>
            </w:r>
          </w:p>
        </w:tc>
        <w:tc>
          <w:tcPr>
            <w:tcW w:w="771" w:type="dxa"/>
            <w:tcBorders>
              <w:tl2br w:val="nil"/>
              <w:tr2bl w:val="nil"/>
            </w:tcBorders>
            <w:noWrap w:val="0"/>
            <w:vAlign w:val="center"/>
          </w:tcPr>
          <w:p w14:paraId="751308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2EE1C7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260825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D91F1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240</w:t>
            </w:r>
          </w:p>
        </w:tc>
        <w:tc>
          <w:tcPr>
            <w:tcW w:w="1470" w:type="dxa"/>
            <w:tcBorders>
              <w:tl2br w:val="nil"/>
              <w:tr2bl w:val="nil"/>
            </w:tcBorders>
            <w:noWrap w:val="0"/>
            <w:vAlign w:val="center"/>
          </w:tcPr>
          <w:p w14:paraId="0B04B7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平口钳</w:t>
            </w:r>
          </w:p>
        </w:tc>
        <w:tc>
          <w:tcPr>
            <w:tcW w:w="1425" w:type="dxa"/>
            <w:tcBorders>
              <w:tl2br w:val="nil"/>
              <w:tr2bl w:val="nil"/>
            </w:tcBorders>
            <w:noWrap w:val="0"/>
            <w:vAlign w:val="center"/>
          </w:tcPr>
          <w:p w14:paraId="45499EB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FE19D7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普通机用平口钳，钳口宽度100mm，钳口最大张开度100mm</w:t>
            </w:r>
          </w:p>
        </w:tc>
        <w:tc>
          <w:tcPr>
            <w:tcW w:w="771" w:type="dxa"/>
            <w:tcBorders>
              <w:tl2br w:val="nil"/>
              <w:tr2bl w:val="nil"/>
            </w:tcBorders>
            <w:noWrap w:val="0"/>
            <w:vAlign w:val="center"/>
          </w:tcPr>
          <w:p w14:paraId="50A63C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2FE7A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D157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1E33E2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241</w:t>
            </w:r>
          </w:p>
        </w:tc>
        <w:tc>
          <w:tcPr>
            <w:tcW w:w="1470" w:type="dxa"/>
            <w:tcBorders>
              <w:tl2br w:val="nil"/>
              <w:tr2bl w:val="nil"/>
            </w:tcBorders>
            <w:noWrap w:val="0"/>
            <w:vAlign w:val="center"/>
          </w:tcPr>
          <w:p w14:paraId="74B13B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手电钻</w:t>
            </w:r>
          </w:p>
        </w:tc>
        <w:tc>
          <w:tcPr>
            <w:tcW w:w="1425" w:type="dxa"/>
            <w:tcBorders>
              <w:tl2br w:val="nil"/>
              <w:tr2bl w:val="nil"/>
            </w:tcBorders>
            <w:noWrap w:val="0"/>
            <w:vAlign w:val="center"/>
          </w:tcPr>
          <w:p w14:paraId="3322A37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E5AF0A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Ф1mm～Ф13mm，手持式交流电钻，A型（普通型）。Ⅱ类电钻，抗电强度3750V</w:t>
            </w:r>
          </w:p>
        </w:tc>
        <w:tc>
          <w:tcPr>
            <w:tcW w:w="771" w:type="dxa"/>
            <w:tcBorders>
              <w:tl2br w:val="nil"/>
              <w:tr2bl w:val="nil"/>
            </w:tcBorders>
            <w:noWrap w:val="0"/>
            <w:vAlign w:val="center"/>
          </w:tcPr>
          <w:p w14:paraId="246955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805300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把</w:t>
            </w:r>
          </w:p>
        </w:tc>
      </w:tr>
      <w:tr w14:paraId="5AEA01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A1FEE1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242</w:t>
            </w:r>
          </w:p>
        </w:tc>
        <w:tc>
          <w:tcPr>
            <w:tcW w:w="1470" w:type="dxa"/>
            <w:tcBorders>
              <w:tl2br w:val="nil"/>
              <w:tr2bl w:val="nil"/>
            </w:tcBorders>
            <w:noWrap w:val="0"/>
            <w:vAlign w:val="center"/>
          </w:tcPr>
          <w:p w14:paraId="69A303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钻头</w:t>
            </w:r>
          </w:p>
        </w:tc>
        <w:tc>
          <w:tcPr>
            <w:tcW w:w="1425" w:type="dxa"/>
            <w:tcBorders>
              <w:tl2br w:val="nil"/>
              <w:tr2bl w:val="nil"/>
            </w:tcBorders>
            <w:noWrap w:val="0"/>
            <w:vAlign w:val="center"/>
          </w:tcPr>
          <w:p w14:paraId="3EE1D27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4CB649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直柄短麻花钻头，直径1.00mm、2.00mm、3.00mm、…、13.00mm，2.5mm、3.2mm、4.2mm、6.8mm</w:t>
            </w:r>
          </w:p>
        </w:tc>
        <w:tc>
          <w:tcPr>
            <w:tcW w:w="771" w:type="dxa"/>
            <w:tcBorders>
              <w:tl2br w:val="nil"/>
              <w:tr2bl w:val="nil"/>
            </w:tcBorders>
            <w:noWrap w:val="0"/>
            <w:vAlign w:val="center"/>
          </w:tcPr>
          <w:p w14:paraId="41A91D4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6693C1B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BD9E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32D57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243</w:t>
            </w:r>
          </w:p>
        </w:tc>
        <w:tc>
          <w:tcPr>
            <w:tcW w:w="1470" w:type="dxa"/>
            <w:tcBorders>
              <w:tl2br w:val="nil"/>
              <w:tr2bl w:val="nil"/>
            </w:tcBorders>
            <w:noWrap w:val="0"/>
            <w:vAlign w:val="center"/>
          </w:tcPr>
          <w:p w14:paraId="1125117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台虎钳</w:t>
            </w:r>
          </w:p>
        </w:tc>
        <w:tc>
          <w:tcPr>
            <w:tcW w:w="1425" w:type="dxa"/>
            <w:tcBorders>
              <w:tl2br w:val="nil"/>
              <w:tr2bl w:val="nil"/>
            </w:tcBorders>
            <w:noWrap w:val="0"/>
            <w:vAlign w:val="center"/>
          </w:tcPr>
          <w:p w14:paraId="741526A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CAA34C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回转式，重型。开口度不少于115mm,开闭灵活。钳口闭合间隙0.15mm</w:t>
            </w:r>
          </w:p>
        </w:tc>
        <w:tc>
          <w:tcPr>
            <w:tcW w:w="771" w:type="dxa"/>
            <w:tcBorders>
              <w:tl2br w:val="nil"/>
              <w:tr2bl w:val="nil"/>
            </w:tcBorders>
            <w:noWrap w:val="0"/>
            <w:vAlign w:val="center"/>
          </w:tcPr>
          <w:p w14:paraId="181913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74B54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55FBC1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ACE130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244</w:t>
            </w:r>
          </w:p>
        </w:tc>
        <w:tc>
          <w:tcPr>
            <w:tcW w:w="1470" w:type="dxa"/>
            <w:tcBorders>
              <w:tl2br w:val="nil"/>
              <w:tr2bl w:val="nil"/>
            </w:tcBorders>
            <w:noWrap w:val="0"/>
            <w:vAlign w:val="center"/>
          </w:tcPr>
          <w:p w14:paraId="560FCD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砂轮片</w:t>
            </w:r>
          </w:p>
        </w:tc>
        <w:tc>
          <w:tcPr>
            <w:tcW w:w="1425" w:type="dxa"/>
            <w:tcBorders>
              <w:tl2br w:val="nil"/>
              <w:tr2bl w:val="nil"/>
            </w:tcBorders>
            <w:noWrap w:val="0"/>
            <w:vAlign w:val="center"/>
          </w:tcPr>
          <w:p w14:paraId="0E57E1C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D528E6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断玻璃管用</w:t>
            </w:r>
          </w:p>
        </w:tc>
        <w:tc>
          <w:tcPr>
            <w:tcW w:w="771" w:type="dxa"/>
            <w:tcBorders>
              <w:tl2br w:val="nil"/>
              <w:tr2bl w:val="nil"/>
            </w:tcBorders>
            <w:noWrap w:val="0"/>
            <w:vAlign w:val="center"/>
          </w:tcPr>
          <w:p w14:paraId="1658CA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058ABA4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片</w:t>
            </w:r>
          </w:p>
        </w:tc>
      </w:tr>
      <w:tr w14:paraId="58C95B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FBA08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245</w:t>
            </w:r>
          </w:p>
        </w:tc>
        <w:tc>
          <w:tcPr>
            <w:tcW w:w="1470" w:type="dxa"/>
            <w:tcBorders>
              <w:tl2br w:val="nil"/>
              <w:tr2bl w:val="nil"/>
            </w:tcBorders>
            <w:noWrap w:val="0"/>
            <w:vAlign w:val="center"/>
          </w:tcPr>
          <w:p w14:paraId="63CBE1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砂轮机</w:t>
            </w:r>
          </w:p>
        </w:tc>
        <w:tc>
          <w:tcPr>
            <w:tcW w:w="1425" w:type="dxa"/>
            <w:tcBorders>
              <w:tl2br w:val="nil"/>
              <w:tr2bl w:val="nil"/>
            </w:tcBorders>
            <w:noWrap w:val="0"/>
            <w:vAlign w:val="center"/>
          </w:tcPr>
          <w:p w14:paraId="3A00098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1DCE8F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 xml:space="preserve">台式，单相。应有护罩、火星挡板、工件托架、护目屏、法兰盘。 </w:t>
            </w:r>
          </w:p>
        </w:tc>
        <w:tc>
          <w:tcPr>
            <w:tcW w:w="771" w:type="dxa"/>
            <w:tcBorders>
              <w:tl2br w:val="nil"/>
              <w:tr2bl w:val="nil"/>
            </w:tcBorders>
            <w:noWrap w:val="0"/>
            <w:vAlign w:val="center"/>
          </w:tcPr>
          <w:p w14:paraId="42F1E1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D43366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6E1352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F0642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246</w:t>
            </w:r>
          </w:p>
        </w:tc>
        <w:tc>
          <w:tcPr>
            <w:tcW w:w="1470" w:type="dxa"/>
            <w:tcBorders>
              <w:tl2br w:val="nil"/>
              <w:tr2bl w:val="nil"/>
            </w:tcBorders>
            <w:noWrap w:val="0"/>
            <w:vAlign w:val="center"/>
          </w:tcPr>
          <w:p w14:paraId="1DF7CA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玻璃瓶盖开启器</w:t>
            </w:r>
          </w:p>
        </w:tc>
        <w:tc>
          <w:tcPr>
            <w:tcW w:w="1425" w:type="dxa"/>
            <w:tcBorders>
              <w:tl2br w:val="nil"/>
              <w:tr2bl w:val="nil"/>
            </w:tcBorders>
            <w:noWrap w:val="0"/>
            <w:vAlign w:val="center"/>
          </w:tcPr>
          <w:p w14:paraId="23AD684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519C57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长100mm，宽35mm，铁质</w:t>
            </w:r>
          </w:p>
        </w:tc>
        <w:tc>
          <w:tcPr>
            <w:tcW w:w="771" w:type="dxa"/>
            <w:tcBorders>
              <w:tl2br w:val="nil"/>
              <w:tr2bl w:val="nil"/>
            </w:tcBorders>
            <w:noWrap w:val="0"/>
            <w:vAlign w:val="center"/>
          </w:tcPr>
          <w:p w14:paraId="680A96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93E5A5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990BA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22B64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247</w:t>
            </w:r>
          </w:p>
        </w:tc>
        <w:tc>
          <w:tcPr>
            <w:tcW w:w="1470" w:type="dxa"/>
            <w:tcBorders>
              <w:tl2br w:val="nil"/>
              <w:tr2bl w:val="nil"/>
            </w:tcBorders>
            <w:noWrap w:val="0"/>
            <w:vAlign w:val="center"/>
          </w:tcPr>
          <w:p w14:paraId="74E5C9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玻璃管切割器</w:t>
            </w:r>
          </w:p>
        </w:tc>
        <w:tc>
          <w:tcPr>
            <w:tcW w:w="1425" w:type="dxa"/>
            <w:tcBorders>
              <w:tl2br w:val="nil"/>
              <w:tr2bl w:val="nil"/>
            </w:tcBorders>
            <w:noWrap w:val="0"/>
            <w:vAlign w:val="center"/>
          </w:tcPr>
          <w:p w14:paraId="1BD62C5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595CB3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刀片：硬质合金，最大可切割30mm玻璃管，附刀片10片，附防护手套</w:t>
            </w:r>
          </w:p>
        </w:tc>
        <w:tc>
          <w:tcPr>
            <w:tcW w:w="771" w:type="dxa"/>
            <w:tcBorders>
              <w:tl2br w:val="nil"/>
              <w:tr2bl w:val="nil"/>
            </w:tcBorders>
            <w:noWrap w:val="0"/>
            <w:vAlign w:val="center"/>
          </w:tcPr>
          <w:p w14:paraId="179F03B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037054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2D855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98561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248</w:t>
            </w:r>
          </w:p>
        </w:tc>
        <w:tc>
          <w:tcPr>
            <w:tcW w:w="1470" w:type="dxa"/>
            <w:tcBorders>
              <w:tl2br w:val="nil"/>
              <w:tr2bl w:val="nil"/>
            </w:tcBorders>
            <w:noWrap w:val="0"/>
            <w:vAlign w:val="center"/>
          </w:tcPr>
          <w:p w14:paraId="7EC064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工作服</w:t>
            </w:r>
          </w:p>
        </w:tc>
        <w:tc>
          <w:tcPr>
            <w:tcW w:w="1425" w:type="dxa"/>
            <w:tcBorders>
              <w:tl2br w:val="nil"/>
              <w:tr2bl w:val="nil"/>
            </w:tcBorders>
            <w:noWrap w:val="0"/>
            <w:vAlign w:val="center"/>
          </w:tcPr>
          <w:p w14:paraId="44C3DFF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A9ED34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涤卡制。身长120cm，白色。防酸、碱及其他化学腐蚀</w:t>
            </w:r>
          </w:p>
        </w:tc>
        <w:tc>
          <w:tcPr>
            <w:tcW w:w="771" w:type="dxa"/>
            <w:tcBorders>
              <w:tl2br w:val="nil"/>
              <w:tr2bl w:val="nil"/>
            </w:tcBorders>
            <w:noWrap w:val="0"/>
            <w:vAlign w:val="center"/>
          </w:tcPr>
          <w:p w14:paraId="35D896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7304F9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669882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4B07E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249</w:t>
            </w:r>
          </w:p>
        </w:tc>
        <w:tc>
          <w:tcPr>
            <w:tcW w:w="1470" w:type="dxa"/>
            <w:tcBorders>
              <w:tl2br w:val="nil"/>
              <w:tr2bl w:val="nil"/>
            </w:tcBorders>
            <w:noWrap w:val="0"/>
            <w:vAlign w:val="center"/>
          </w:tcPr>
          <w:p w14:paraId="32EAB8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洗眼器</w:t>
            </w:r>
          </w:p>
        </w:tc>
        <w:tc>
          <w:tcPr>
            <w:tcW w:w="1425" w:type="dxa"/>
            <w:tcBorders>
              <w:tl2br w:val="nil"/>
              <w:tr2bl w:val="nil"/>
            </w:tcBorders>
            <w:noWrap w:val="0"/>
            <w:vAlign w:val="center"/>
          </w:tcPr>
          <w:p w14:paraId="4D811649">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66640D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台式双口洗眼器,铜质阀体,软性像胶喷淋头,水流锁定开关,1.5米供水软管,PVC管外覆不锈钢网</w:t>
            </w:r>
          </w:p>
        </w:tc>
        <w:tc>
          <w:tcPr>
            <w:tcW w:w="771" w:type="dxa"/>
            <w:tcBorders>
              <w:tl2br w:val="nil"/>
              <w:tr2bl w:val="nil"/>
            </w:tcBorders>
            <w:noWrap w:val="0"/>
            <w:vAlign w:val="center"/>
          </w:tcPr>
          <w:p w14:paraId="59CD62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DB849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74503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12B511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250</w:t>
            </w:r>
          </w:p>
        </w:tc>
        <w:tc>
          <w:tcPr>
            <w:tcW w:w="1470" w:type="dxa"/>
            <w:tcBorders>
              <w:tl2br w:val="nil"/>
              <w:tr2bl w:val="nil"/>
            </w:tcBorders>
            <w:noWrap w:val="0"/>
            <w:vAlign w:val="center"/>
          </w:tcPr>
          <w:p w14:paraId="647D07A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简易急救箱</w:t>
            </w:r>
          </w:p>
        </w:tc>
        <w:tc>
          <w:tcPr>
            <w:tcW w:w="1425" w:type="dxa"/>
            <w:tcBorders>
              <w:tl2br w:val="nil"/>
              <w:tr2bl w:val="nil"/>
            </w:tcBorders>
            <w:noWrap w:val="0"/>
            <w:vAlign w:val="center"/>
          </w:tcPr>
          <w:p w14:paraId="74FEEA6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652B7D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中号铝合金制，内配以下药品及器材：烧伤药膏1瓶；苏打粉100g；硼酸100g；医用酒精50ml一瓶；创可贴10条；灭菌结晶磺胺50g；紫药水50ml；碘氟50ml；3％双氧水100ml；胶布1卷；绷带5卷；药棉1包；手术剪1把；镊子1把；一次性注射器10ml一支；止血带1根（长度不小于30cm）；消炎粉；硼酸软膏；灼伤药；甘油等</w:t>
            </w:r>
          </w:p>
        </w:tc>
        <w:tc>
          <w:tcPr>
            <w:tcW w:w="771" w:type="dxa"/>
            <w:tcBorders>
              <w:tl2br w:val="nil"/>
              <w:tr2bl w:val="nil"/>
            </w:tcBorders>
            <w:noWrap w:val="0"/>
            <w:vAlign w:val="center"/>
          </w:tcPr>
          <w:p w14:paraId="2CF7485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CD850E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28F2F4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80665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251</w:t>
            </w:r>
          </w:p>
        </w:tc>
        <w:tc>
          <w:tcPr>
            <w:tcW w:w="1470" w:type="dxa"/>
            <w:tcBorders>
              <w:tl2br w:val="nil"/>
              <w:tr2bl w:val="nil"/>
            </w:tcBorders>
            <w:noWrap w:val="0"/>
            <w:vAlign w:val="center"/>
          </w:tcPr>
          <w:p w14:paraId="01F1A3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实验防护屏</w:t>
            </w:r>
          </w:p>
        </w:tc>
        <w:tc>
          <w:tcPr>
            <w:tcW w:w="1425" w:type="dxa"/>
            <w:tcBorders>
              <w:tl2br w:val="nil"/>
              <w:tr2bl w:val="nil"/>
            </w:tcBorders>
            <w:noWrap w:val="0"/>
            <w:vAlign w:val="center"/>
          </w:tcPr>
          <w:p w14:paraId="333155D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5076DE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三块透明的300mm×300mm×5mm有机玻璃板、屏板夹头螺钉及铰链组成</w:t>
            </w:r>
          </w:p>
        </w:tc>
        <w:tc>
          <w:tcPr>
            <w:tcW w:w="771" w:type="dxa"/>
            <w:tcBorders>
              <w:tl2br w:val="nil"/>
              <w:tr2bl w:val="nil"/>
            </w:tcBorders>
            <w:noWrap w:val="0"/>
            <w:vAlign w:val="center"/>
          </w:tcPr>
          <w:p w14:paraId="64D81F8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7A8C9C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7F6FEC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FCC0E1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252</w:t>
            </w:r>
          </w:p>
        </w:tc>
        <w:tc>
          <w:tcPr>
            <w:tcW w:w="1470" w:type="dxa"/>
            <w:tcBorders>
              <w:tl2br w:val="nil"/>
              <w:tr2bl w:val="nil"/>
            </w:tcBorders>
            <w:noWrap w:val="0"/>
            <w:vAlign w:val="center"/>
          </w:tcPr>
          <w:p w14:paraId="6E7974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护目镜</w:t>
            </w:r>
          </w:p>
        </w:tc>
        <w:tc>
          <w:tcPr>
            <w:tcW w:w="1425" w:type="dxa"/>
            <w:tcBorders>
              <w:tl2br w:val="nil"/>
              <w:tr2bl w:val="nil"/>
            </w:tcBorders>
            <w:noWrap w:val="0"/>
            <w:vAlign w:val="center"/>
          </w:tcPr>
          <w:p w14:paraId="19FC0857">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7A9943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防冲击眼镜，防护圈镜框整体长度：应为150mm～165mm，活动镜腿长：直段80mm～90mm和弯段50mm～60mm，球镜顶焦度偏差：0m-1（D），柱镜顶焦度偏差：0m-1（D），棱镜度：0△，屈光度参数互差应为＋0.05－0.07D，镜面无色透明，可见光透射比应＞0.89</w:t>
            </w:r>
          </w:p>
        </w:tc>
        <w:tc>
          <w:tcPr>
            <w:tcW w:w="771" w:type="dxa"/>
            <w:tcBorders>
              <w:tl2br w:val="nil"/>
              <w:tr2bl w:val="nil"/>
            </w:tcBorders>
            <w:noWrap w:val="0"/>
            <w:vAlign w:val="center"/>
          </w:tcPr>
          <w:p w14:paraId="6830D13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772" w:type="dxa"/>
            <w:tcBorders>
              <w:tl2br w:val="nil"/>
              <w:tr2bl w:val="nil"/>
            </w:tcBorders>
            <w:noWrap w:val="0"/>
            <w:vAlign w:val="center"/>
          </w:tcPr>
          <w:p w14:paraId="34752D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61E5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CAE07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253</w:t>
            </w:r>
          </w:p>
        </w:tc>
        <w:tc>
          <w:tcPr>
            <w:tcW w:w="1470" w:type="dxa"/>
            <w:tcBorders>
              <w:tl2br w:val="nil"/>
              <w:tr2bl w:val="nil"/>
            </w:tcBorders>
            <w:noWrap w:val="0"/>
            <w:vAlign w:val="center"/>
          </w:tcPr>
          <w:p w14:paraId="12A91AD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防护面罩</w:t>
            </w:r>
          </w:p>
        </w:tc>
        <w:tc>
          <w:tcPr>
            <w:tcW w:w="1425" w:type="dxa"/>
            <w:tcBorders>
              <w:tl2br w:val="nil"/>
              <w:tr2bl w:val="nil"/>
            </w:tcBorders>
            <w:noWrap w:val="0"/>
            <w:vAlign w:val="center"/>
          </w:tcPr>
          <w:p w14:paraId="7FCDAE8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36D6AF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防冲击面屏，聚碳酸脂，耐45m/s粒子冲击，通过弹簧箍与安全帽相连，面屏可更换</w:t>
            </w:r>
          </w:p>
        </w:tc>
        <w:tc>
          <w:tcPr>
            <w:tcW w:w="771" w:type="dxa"/>
            <w:tcBorders>
              <w:tl2br w:val="nil"/>
              <w:tr2bl w:val="nil"/>
            </w:tcBorders>
            <w:noWrap w:val="0"/>
            <w:vAlign w:val="center"/>
          </w:tcPr>
          <w:p w14:paraId="5282973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9EF376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88E3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C9C20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254</w:t>
            </w:r>
          </w:p>
        </w:tc>
        <w:tc>
          <w:tcPr>
            <w:tcW w:w="1470" w:type="dxa"/>
            <w:tcBorders>
              <w:tl2br w:val="nil"/>
              <w:tr2bl w:val="nil"/>
            </w:tcBorders>
            <w:noWrap w:val="0"/>
            <w:vAlign w:val="center"/>
          </w:tcPr>
          <w:p w14:paraId="40E332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防毒口罩</w:t>
            </w:r>
          </w:p>
        </w:tc>
        <w:tc>
          <w:tcPr>
            <w:tcW w:w="1425" w:type="dxa"/>
            <w:tcBorders>
              <w:tl2br w:val="nil"/>
              <w:tr2bl w:val="nil"/>
            </w:tcBorders>
            <w:noWrap w:val="0"/>
            <w:vAlign w:val="center"/>
          </w:tcPr>
          <w:p w14:paraId="5708541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E17274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E型（标色：黄）、CO型（标色：白）</w:t>
            </w:r>
          </w:p>
        </w:tc>
        <w:tc>
          <w:tcPr>
            <w:tcW w:w="771" w:type="dxa"/>
            <w:tcBorders>
              <w:tl2br w:val="nil"/>
              <w:tr2bl w:val="nil"/>
            </w:tcBorders>
            <w:noWrap w:val="0"/>
            <w:vAlign w:val="center"/>
          </w:tcPr>
          <w:p w14:paraId="499216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77AF7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38F36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DBCD9B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255</w:t>
            </w:r>
          </w:p>
        </w:tc>
        <w:tc>
          <w:tcPr>
            <w:tcW w:w="1470" w:type="dxa"/>
            <w:tcBorders>
              <w:tl2br w:val="nil"/>
              <w:tr2bl w:val="nil"/>
            </w:tcBorders>
            <w:noWrap w:val="0"/>
            <w:vAlign w:val="center"/>
          </w:tcPr>
          <w:p w14:paraId="3FBA3B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防护手套</w:t>
            </w:r>
          </w:p>
        </w:tc>
        <w:tc>
          <w:tcPr>
            <w:tcW w:w="1425" w:type="dxa"/>
            <w:tcBorders>
              <w:tl2br w:val="nil"/>
              <w:tr2bl w:val="nil"/>
            </w:tcBorders>
            <w:noWrap w:val="0"/>
            <w:vAlign w:val="center"/>
          </w:tcPr>
          <w:p w14:paraId="6085CEE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8B64C2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机械危害防护手套</w:t>
            </w:r>
          </w:p>
        </w:tc>
        <w:tc>
          <w:tcPr>
            <w:tcW w:w="771" w:type="dxa"/>
            <w:tcBorders>
              <w:tl2br w:val="nil"/>
              <w:tr2bl w:val="nil"/>
            </w:tcBorders>
            <w:noWrap w:val="0"/>
            <w:vAlign w:val="center"/>
          </w:tcPr>
          <w:p w14:paraId="5A22813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38393BC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双</w:t>
            </w:r>
          </w:p>
        </w:tc>
      </w:tr>
      <w:tr w14:paraId="4C7C70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CCCE21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256</w:t>
            </w:r>
          </w:p>
        </w:tc>
        <w:tc>
          <w:tcPr>
            <w:tcW w:w="1470" w:type="dxa"/>
            <w:tcBorders>
              <w:tl2br w:val="nil"/>
              <w:tr2bl w:val="nil"/>
            </w:tcBorders>
            <w:noWrap w:val="0"/>
            <w:vAlign w:val="center"/>
          </w:tcPr>
          <w:p w14:paraId="0EDAD5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耐酸手套</w:t>
            </w:r>
          </w:p>
        </w:tc>
        <w:tc>
          <w:tcPr>
            <w:tcW w:w="1425" w:type="dxa"/>
            <w:tcBorders>
              <w:tl2br w:val="nil"/>
              <w:tr2bl w:val="nil"/>
            </w:tcBorders>
            <w:noWrap w:val="0"/>
            <w:vAlign w:val="center"/>
          </w:tcPr>
          <w:p w14:paraId="4B650810">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F5DACC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耐酸（碱）手套，9号，机械性能不低于3级，不泄露性、耐渗透性按AQ 6102-2007标准试验后应无渗透、龟裂、剥离、溶解，无明显膨胀、收缩和硬化等异常现象发生</w:t>
            </w:r>
          </w:p>
        </w:tc>
        <w:tc>
          <w:tcPr>
            <w:tcW w:w="771" w:type="dxa"/>
            <w:tcBorders>
              <w:tl2br w:val="nil"/>
              <w:tr2bl w:val="nil"/>
            </w:tcBorders>
            <w:noWrap w:val="0"/>
            <w:vAlign w:val="center"/>
          </w:tcPr>
          <w:p w14:paraId="4E9E8B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638787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双</w:t>
            </w:r>
          </w:p>
        </w:tc>
      </w:tr>
      <w:tr w14:paraId="7CD50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82FBA0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257</w:t>
            </w:r>
          </w:p>
        </w:tc>
        <w:tc>
          <w:tcPr>
            <w:tcW w:w="1470" w:type="dxa"/>
            <w:tcBorders>
              <w:tl2br w:val="nil"/>
              <w:tr2bl w:val="nil"/>
            </w:tcBorders>
            <w:noWrap w:val="0"/>
            <w:vAlign w:val="center"/>
          </w:tcPr>
          <w:p w14:paraId="3439C7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乳胶手套</w:t>
            </w:r>
          </w:p>
        </w:tc>
        <w:tc>
          <w:tcPr>
            <w:tcW w:w="1425" w:type="dxa"/>
            <w:tcBorders>
              <w:tl2br w:val="nil"/>
              <w:tr2bl w:val="nil"/>
            </w:tcBorders>
            <w:noWrap w:val="0"/>
            <w:vAlign w:val="center"/>
          </w:tcPr>
          <w:p w14:paraId="4966128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3545CD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家用橡胶手套，中号</w:t>
            </w:r>
          </w:p>
        </w:tc>
        <w:tc>
          <w:tcPr>
            <w:tcW w:w="771" w:type="dxa"/>
            <w:tcBorders>
              <w:tl2br w:val="nil"/>
              <w:tr2bl w:val="nil"/>
            </w:tcBorders>
            <w:noWrap w:val="0"/>
            <w:vAlign w:val="center"/>
          </w:tcPr>
          <w:p w14:paraId="484955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616D287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付</w:t>
            </w:r>
          </w:p>
        </w:tc>
      </w:tr>
      <w:tr w14:paraId="7DBC3F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295" w:hRule="atLeast"/>
        </w:trPr>
        <w:tc>
          <w:tcPr>
            <w:tcW w:w="686" w:type="dxa"/>
            <w:tcBorders>
              <w:tl2br w:val="nil"/>
              <w:tr2bl w:val="nil"/>
            </w:tcBorders>
            <w:shd w:val="clear" w:color="auto" w:fill="auto"/>
            <w:noWrap w:val="0"/>
            <w:vAlign w:val="center"/>
          </w:tcPr>
          <w:p w14:paraId="047E252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258</w:t>
            </w:r>
          </w:p>
        </w:tc>
        <w:tc>
          <w:tcPr>
            <w:tcW w:w="1470" w:type="dxa"/>
            <w:tcBorders>
              <w:tl2br w:val="nil"/>
              <w:tr2bl w:val="nil"/>
            </w:tcBorders>
            <w:noWrap w:val="0"/>
            <w:vAlign w:val="center"/>
          </w:tcPr>
          <w:p w14:paraId="623AF68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智能数字实验盘</w:t>
            </w:r>
          </w:p>
        </w:tc>
        <w:tc>
          <w:tcPr>
            <w:tcW w:w="1425" w:type="dxa"/>
            <w:tcBorders>
              <w:tl2br w:val="nil"/>
              <w:tr2bl w:val="nil"/>
            </w:tcBorders>
            <w:noWrap w:val="0"/>
            <w:vAlign w:val="center"/>
          </w:tcPr>
          <w:p w14:paraId="4074923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1578BF8">
            <w:pPr>
              <w:keepNext w:val="0"/>
              <w:keepLines w:val="0"/>
              <w:pageBreakBefore w:val="0"/>
              <w:widowControl/>
              <w:numPr>
                <w:ilvl w:val="0"/>
                <w:numId w:val="4"/>
              </w:numPr>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智能数字实验盘在自身强大的软、硬件支撑下，既可连接外接终端设备，也可脱离终端独立进行数据采集、实验操作，支持有线、无线传输，自成一个功能完整且独立的实验平台</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2、★内置 3.5英寸电容屏，支持手势操作，触控灵敏、交互便捷，为数据显示、实验采集提供良好的图形界面；</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3、★</w:t>
            </w:r>
            <w:r>
              <w:rPr>
                <w:rFonts w:hint="eastAsia" w:ascii="仿宋" w:hAnsi="仿宋" w:eastAsia="仿宋" w:cs="仿宋"/>
                <w:strike w:val="0"/>
                <w:dstrike w:val="0"/>
                <w:color w:val="000000" w:themeColor="text1"/>
                <w:kern w:val="0"/>
                <w:sz w:val="20"/>
                <w:szCs w:val="20"/>
                <w:highlight w:val="none"/>
                <w:vertAlign w:val="baseline"/>
                <w:lang w:val="en-US" w:eastAsia="zh-CN" w:bidi="ar"/>
                <w14:textFill>
                  <w14:solidFill>
                    <w14:schemeClr w14:val="tx1"/>
                  </w14:solidFill>
                </w14:textFill>
              </w:rPr>
              <w:t>飞碟式</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一体化设计，机身设计有7个传感器接口，支持热插拔；支持近60种传感器，遍及力学、热学、光学、电学、化学、生物等多个领域；</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4、★内置传感器：三轴加速度、GPS、气压计、相对高度计；内置传感器与外接传感器模块可并行采集数据。</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·三轴加速度传感器：量程 -8g~+8g,精度2.5%，可测量空间三个垂直方向上的加速度值</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 GPS：最大导航更新率（Maximum Navigation update rate）：5Hz；平面位置精度（Horizontal position accuracy）：2.5m；速度准确度（Velocity accuracy）：0.1m/s</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·气压计：量程 50~110kPa，精度 ±4kPa (相对精度: 0.05kPa)，可用于测量周围环境的大气压强，能够灵敏反映因海拔变化引起的大气压的变化</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·相对高度计：分辨率 0.3m，用于测量相对海拔高度，比如，可以获得从某一高度上升或下降到另一高度的具体高度值</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5、★高度自由的实验操作。独立使用时，支持实验采集功能，提供图像、表格两种模式。图像模式支持对X轴、Y轴自定义，且Y轴支持传感器多选；支持双Y轴设置，优化选择多个传感器且数值相差较大时的图像显示，适应多样需求；支持曲线镜像显示；</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6、支持对采集间隔、采集时间进行设置，支持手动采集、定时采集等不同模式</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7、实验采集支持保存与读取，方便随时对实验进行复盘分析</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8、★支持7种外接传感器和4种内置传感器同时工作，并在内置屏上同步数据显示；支持数字、图线、指针盘3种显示模式；支持从传感器实时显示界面直接跳转进入快速实验；</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9、支持脱离终端</w:t>
            </w:r>
            <w:r>
              <w:rPr>
                <w:rFonts w:hint="eastAsia" w:ascii="仿宋" w:hAnsi="仿宋" w:eastAsia="仿宋" w:cs="仿宋"/>
                <w:color w:val="auto"/>
                <w:kern w:val="0"/>
                <w:sz w:val="20"/>
                <w:szCs w:val="20"/>
                <w:vertAlign w:val="baseline"/>
                <w:lang w:val="en-US" w:eastAsia="zh-CN" w:bidi="ar"/>
              </w:rPr>
              <w:t>设备，利用内置实验操作平台对部分传感器进行校准或标定等；</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10、具有通用接口模块，可外扩其他类型的传感器，通用接口采用Lightning接口,外扩传感器插头采用双面设计，支持正反盲插接入通用接口，无需关心插入的方向，易插易用；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11、充电方式：支持USB充电；</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12、正面设有电源指示灯，背面设有支脚架、固定螺纹孔、复位孔；</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13、固件升级：固件可通过USB接口进行升级；</w:t>
            </w:r>
          </w:p>
          <w:p w14:paraId="2799360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ind w:right="0" w:rightChars="0"/>
              <w:jc w:val="both"/>
              <w:textAlignment w:val="auto"/>
              <w:rPr>
                <w:rFonts w:hint="eastAsia"/>
                <w:lang w:val="en-US" w:eastAsia="zh-CN"/>
              </w:rPr>
            </w:pPr>
            <w:r>
              <w:rPr>
                <w:rFonts w:hint="eastAsia" w:ascii="仿宋" w:hAnsi="仿宋" w:eastAsia="仿宋" w:cs="仿宋"/>
                <w:b w:val="0"/>
                <w:bCs w:val="0"/>
                <w:color w:val="000000" w:themeColor="text1"/>
                <w:kern w:val="0"/>
                <w:sz w:val="20"/>
                <w:szCs w:val="20"/>
                <w:highlight w:val="none"/>
                <w:vertAlign w:val="baseline"/>
                <w:lang w:val="en-US" w:eastAsia="zh-CN" w:bidi="ar"/>
                <w14:textFill>
                  <w14:solidFill>
                    <w14:schemeClr w14:val="tx1"/>
                  </w14:solidFill>
                </w14:textFill>
              </w:rPr>
              <w:t>带</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20"/>
                <w:szCs w:val="20"/>
                <w:highlight w:val="none"/>
                <w:vertAlign w:val="baseline"/>
                <w:lang w:val="en-US" w:eastAsia="zh-CN" w:bidi="ar"/>
                <w14:textFill>
                  <w14:solidFill>
                    <w14:schemeClr w14:val="tx1"/>
                  </w14:solidFill>
                </w14:textFill>
              </w:rPr>
              <w:t>号参数需</w:t>
            </w:r>
            <w:r>
              <w:rPr>
                <w:rFonts w:hint="eastAsia" w:ascii="仿宋" w:hAnsi="仿宋" w:eastAsia="仿宋" w:cs="仿宋"/>
                <w:b w:val="0"/>
                <w:bCs w:val="0"/>
                <w:i w:val="0"/>
                <w:iCs w:val="0"/>
                <w:color w:val="auto"/>
                <w:kern w:val="0"/>
                <w:sz w:val="20"/>
                <w:szCs w:val="20"/>
                <w:highlight w:val="none"/>
                <w:u w:val="none"/>
                <w:lang w:val="en-US" w:eastAsia="zh-CN" w:bidi="ar"/>
              </w:rPr>
              <w:t>提供产品功能截图，并加盖投标单位公章。</w:t>
            </w:r>
          </w:p>
        </w:tc>
        <w:tc>
          <w:tcPr>
            <w:tcW w:w="771" w:type="dxa"/>
            <w:tcBorders>
              <w:tl2br w:val="nil"/>
              <w:tr2bl w:val="nil"/>
            </w:tcBorders>
            <w:noWrap w:val="0"/>
            <w:vAlign w:val="center"/>
          </w:tcPr>
          <w:p w14:paraId="52B024B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395F4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2E9C68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3961A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259</w:t>
            </w:r>
          </w:p>
        </w:tc>
        <w:tc>
          <w:tcPr>
            <w:tcW w:w="1470" w:type="dxa"/>
            <w:tcBorders>
              <w:tl2br w:val="nil"/>
              <w:tr2bl w:val="nil"/>
            </w:tcBorders>
            <w:noWrap w:val="0"/>
            <w:vAlign w:val="center"/>
          </w:tcPr>
          <w:p w14:paraId="6E438E6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电压传感器</w:t>
            </w:r>
          </w:p>
        </w:tc>
        <w:tc>
          <w:tcPr>
            <w:tcW w:w="1425" w:type="dxa"/>
            <w:tcBorders>
              <w:tl2br w:val="nil"/>
              <w:tr2bl w:val="nil"/>
            </w:tcBorders>
            <w:noWrap w:val="0"/>
            <w:vAlign w:val="center"/>
          </w:tcPr>
          <w:p w14:paraId="1A25207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467FCB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压传感器采用模块化设计，通过Lightning接口与采集器连接，具有热插拔功能，连接传输稳定。搭配采集器通过有线、无线方式连接电脑、手机或平板等终端进行数据采集，在终端上实时显示并记录电压的变化，绘制电压-时间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传感器正面为电源指示灯，前端为导线插孔，后端为Lightning接口，附件为红黑导线、鳄鱼夹。</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1.用于测量电路、电器两端的电压。</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6.测量灵敏、精确，反应快速，包括对微小电压变化的快速采样。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7.支持传感器校零。</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1.量程：-30V~30V</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3.分辨率：0.01V</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4.输入阻抗：2MΩ</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探究串联、并联电路中用电器两端的电压与电源两端电压的关系、伏安法测灯泡电阻、观察电容器的充放电、研究伏安特性曲线、伏安法测金属的电阻率、电池、电源电动势和内阻的测量等；</w:t>
            </w:r>
          </w:p>
        </w:tc>
        <w:tc>
          <w:tcPr>
            <w:tcW w:w="771" w:type="dxa"/>
            <w:tcBorders>
              <w:tl2br w:val="nil"/>
              <w:tr2bl w:val="nil"/>
            </w:tcBorders>
            <w:noWrap w:val="0"/>
            <w:vAlign w:val="center"/>
          </w:tcPr>
          <w:p w14:paraId="2CE30F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21569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57D9C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67CFF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260</w:t>
            </w:r>
          </w:p>
        </w:tc>
        <w:tc>
          <w:tcPr>
            <w:tcW w:w="1470" w:type="dxa"/>
            <w:tcBorders>
              <w:tl2br w:val="nil"/>
              <w:tr2bl w:val="nil"/>
            </w:tcBorders>
            <w:noWrap w:val="0"/>
            <w:vAlign w:val="center"/>
          </w:tcPr>
          <w:p w14:paraId="6A609D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电流传感器</w:t>
            </w:r>
          </w:p>
        </w:tc>
        <w:tc>
          <w:tcPr>
            <w:tcW w:w="1425" w:type="dxa"/>
            <w:tcBorders>
              <w:tl2br w:val="nil"/>
              <w:tr2bl w:val="nil"/>
            </w:tcBorders>
            <w:noWrap w:val="0"/>
            <w:vAlign w:val="center"/>
          </w:tcPr>
          <w:p w14:paraId="0C03108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309D61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流传感器采用模块化设计，通过Lightning接口与采集器连接，具有热插拔功能，连接传输稳定。搭配采集器通过有线、无线方式连接电脑、手机或平板等终端进行数据采集，在终端上实时显示并记录电流的变化，绘制电流-时间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传感器正面为电源指示灯，前端为导线插孔，后端为Lightning接口，附件为红黑导线、鳄鱼夹。</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1.用于测量电路中的电流。</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6.测量灵敏、精确，反应快速，包括对微小电流变化的快速采样。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7.支持传感器校零。</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1.量程：-1A~1A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3.分辨率：0.001A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4.内阻：0.22Ω</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电流与电路、电流与电压和电阻的关系、限流法测绘小灯泡的伏安特性曲线、电源输出与负载的关系、串并联电路中电流的规律、测量电阻的阻值、探究影响导体电阻大小的因素、测量小灯泡电功率等</w:t>
            </w:r>
          </w:p>
        </w:tc>
        <w:tc>
          <w:tcPr>
            <w:tcW w:w="771" w:type="dxa"/>
            <w:tcBorders>
              <w:tl2br w:val="nil"/>
              <w:tr2bl w:val="nil"/>
            </w:tcBorders>
            <w:noWrap w:val="0"/>
            <w:vAlign w:val="center"/>
          </w:tcPr>
          <w:p w14:paraId="5DC5554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1F1C66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7C00F6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217" w:hRule="atLeast"/>
        </w:trPr>
        <w:tc>
          <w:tcPr>
            <w:tcW w:w="686" w:type="dxa"/>
            <w:tcBorders>
              <w:tl2br w:val="nil"/>
              <w:tr2bl w:val="nil"/>
            </w:tcBorders>
            <w:shd w:val="clear" w:color="auto" w:fill="auto"/>
            <w:noWrap w:val="0"/>
            <w:vAlign w:val="center"/>
          </w:tcPr>
          <w:p w14:paraId="2EB5B6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261</w:t>
            </w:r>
          </w:p>
        </w:tc>
        <w:tc>
          <w:tcPr>
            <w:tcW w:w="1470" w:type="dxa"/>
            <w:tcBorders>
              <w:tl2br w:val="nil"/>
              <w:tr2bl w:val="nil"/>
            </w:tcBorders>
            <w:noWrap w:val="0"/>
            <w:vAlign w:val="center"/>
          </w:tcPr>
          <w:p w14:paraId="07FF16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磁感应强度传感器</w:t>
            </w:r>
          </w:p>
        </w:tc>
        <w:tc>
          <w:tcPr>
            <w:tcW w:w="1425" w:type="dxa"/>
            <w:tcBorders>
              <w:tl2br w:val="nil"/>
              <w:tr2bl w:val="nil"/>
            </w:tcBorders>
            <w:noWrap w:val="0"/>
            <w:vAlign w:val="center"/>
          </w:tcPr>
          <w:p w14:paraId="2939CD5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2FB454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磁感应强度传感器采用模块化设计，通过Lightning接口与采集器连接，具有热插拔功能，连接传输稳定。搭配采集器通过有线、无线方式连接电脑、手机或平板等终端进行数据采集，在终端上实时显示并记录磁感应强度的变化，并绘制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传感器正面为电源指示灯，前端为探头插孔，前端管壁内为霍尔效应元件，后端为Lightning接口，附件为磁感应强度探头。</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1.用于测量磁场的磁场强度。</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5.磁场传感器探头为为3.5mm耳机插头，耳机插孔式连接，连接稳定，无干扰。</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7.无需校准，即连即用。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1.量程：-64mT~64mT</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2.精度：±3%</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3.分辨率：0.04mT</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匀强磁场研究、验证环形电流的磁场方向、探测磁体周围的磁感应强度、通电导线周围的磁场、磁铁不同部位的磁性大小等</w:t>
            </w:r>
          </w:p>
        </w:tc>
        <w:tc>
          <w:tcPr>
            <w:tcW w:w="771" w:type="dxa"/>
            <w:tcBorders>
              <w:tl2br w:val="nil"/>
              <w:tr2bl w:val="nil"/>
            </w:tcBorders>
            <w:noWrap w:val="0"/>
            <w:vAlign w:val="center"/>
          </w:tcPr>
          <w:p w14:paraId="244FDA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4A142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580A45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ABA14A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262</w:t>
            </w:r>
          </w:p>
        </w:tc>
        <w:tc>
          <w:tcPr>
            <w:tcW w:w="1470" w:type="dxa"/>
            <w:tcBorders>
              <w:tl2br w:val="nil"/>
              <w:tr2bl w:val="nil"/>
            </w:tcBorders>
            <w:noWrap w:val="0"/>
            <w:vAlign w:val="center"/>
          </w:tcPr>
          <w:p w14:paraId="3B60A6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力传感器</w:t>
            </w:r>
          </w:p>
        </w:tc>
        <w:tc>
          <w:tcPr>
            <w:tcW w:w="1425" w:type="dxa"/>
            <w:tcBorders>
              <w:tl2br w:val="nil"/>
              <w:tr2bl w:val="nil"/>
            </w:tcBorders>
            <w:noWrap w:val="0"/>
            <w:vAlign w:val="center"/>
          </w:tcPr>
          <w:p w14:paraId="0AA9B3A9">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147A32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力传感器采用模块化设计，配合通用接口，通过Lightning接口与采集器连接，支持正反盲插，具有热插拔功能，连接传输稳定。搭配采集器通过有线、无线方式连接电脑、手机或平板等终端进行数据采集，在终端上实时显示并记录力的变化，并绘制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传感器造型方正，上端有三个开孔，背面有与实验器材搭建的M6国标接口，可适用于多种固定方式；下端为力传感器接口，可拧上钩子（测量拉力）或托盘（测量推力），侧面为Lightning接口线。</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1.用于测量拉力或压力。</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4.支持传感器校准。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1.量程：-50N~50N</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3.分辨率：0.03N</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估测大气压强、作用力与反作用力的关系、浮力定律、力的作用是相互的、探究弹簧的伸长特性、探究重力的大小跟质量的关系、研究固体分子间的引力、金属热胀冷缩、重力大小与质量的关系、验证胡克定律、 探究弹簧弹力与形变量的关系、研究影响浮力大小的因素等</w:t>
            </w:r>
          </w:p>
        </w:tc>
        <w:tc>
          <w:tcPr>
            <w:tcW w:w="771" w:type="dxa"/>
            <w:tcBorders>
              <w:tl2br w:val="nil"/>
              <w:tr2bl w:val="nil"/>
            </w:tcBorders>
            <w:noWrap w:val="0"/>
            <w:vAlign w:val="center"/>
          </w:tcPr>
          <w:p w14:paraId="1954517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74778F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02D51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B1827B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263</w:t>
            </w:r>
          </w:p>
        </w:tc>
        <w:tc>
          <w:tcPr>
            <w:tcW w:w="1470" w:type="dxa"/>
            <w:tcBorders>
              <w:tl2br w:val="nil"/>
              <w:tr2bl w:val="nil"/>
            </w:tcBorders>
            <w:noWrap w:val="0"/>
            <w:vAlign w:val="center"/>
          </w:tcPr>
          <w:p w14:paraId="353541F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温度传感器</w:t>
            </w:r>
          </w:p>
        </w:tc>
        <w:tc>
          <w:tcPr>
            <w:tcW w:w="1425" w:type="dxa"/>
            <w:tcBorders>
              <w:tl2br w:val="nil"/>
              <w:tr2bl w:val="nil"/>
            </w:tcBorders>
            <w:noWrap w:val="0"/>
            <w:vAlign w:val="center"/>
          </w:tcPr>
          <w:p w14:paraId="094A199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9CE058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温度传感器采用模块化设计，通过Lightning接口与采集器连接，具有热插拔功能，连接传输稳定。搭配采集器通过有线、无线方式连接电脑、手机或平板等终端进行数据采集，在终端上实时显示并记录温度的变化，绘制温度-时间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传感器正面为电源指示灯，前端为探头插孔，后端为Lightning接口，附件为温度探头。</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1.用于测量物体表面、气体、酸碱等液体的温度。</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3.温度探头为3.5mm耳机插头，耳机插孔式连接，连接稳定，无干扰。</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7.无需校准，即连即用。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1.量程：-40℃~135℃</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2.精度：±0.6℃</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不同颜色物体的吸热散热研究实验、探究非生物因素对鼠妇分布的影响实验、不同液体的吸热散热研究、水的降温规律、摩擦做功、水的沸腾实验、沸点与压强关系、焦耳定律、酸碱反应热、铁的吸氧腐蚀等</w:t>
            </w:r>
          </w:p>
        </w:tc>
        <w:tc>
          <w:tcPr>
            <w:tcW w:w="771" w:type="dxa"/>
            <w:tcBorders>
              <w:tl2br w:val="nil"/>
              <w:tr2bl w:val="nil"/>
            </w:tcBorders>
            <w:noWrap w:val="0"/>
            <w:vAlign w:val="center"/>
          </w:tcPr>
          <w:p w14:paraId="1EF35D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0F1923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068308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C4A95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264</w:t>
            </w:r>
          </w:p>
        </w:tc>
        <w:tc>
          <w:tcPr>
            <w:tcW w:w="1470" w:type="dxa"/>
            <w:tcBorders>
              <w:tl2br w:val="nil"/>
              <w:tr2bl w:val="nil"/>
            </w:tcBorders>
            <w:noWrap w:val="0"/>
            <w:vAlign w:val="center"/>
          </w:tcPr>
          <w:p w14:paraId="6A52FF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绝对压强传感器</w:t>
            </w:r>
          </w:p>
        </w:tc>
        <w:tc>
          <w:tcPr>
            <w:tcW w:w="1425" w:type="dxa"/>
            <w:tcBorders>
              <w:tl2br w:val="nil"/>
              <w:tr2bl w:val="nil"/>
            </w:tcBorders>
            <w:noWrap w:val="0"/>
            <w:vAlign w:val="center"/>
          </w:tcPr>
          <w:p w14:paraId="72C9BFB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F23D89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绝对压强传感器配有压强软管、鲁尔头和针筒，使用方便、保证实验的气密性；采用模块化设计，通过Lightning接口与采集器连接，具有热插拔功能，连接传输稳定。搭配采集器通过有线、无线方式连接电脑、手机或平板等终端进行数据采集，在终端上实时显示并记录压强的变化，并绘制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传感器正面为电源指示灯，前端为鲁尔接头母头，后端为Lightning接口，附件为软管、鲁尔公头、针筒。</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1.用于测量大气环境下或密闭空间内的气体的压强。</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6.支持传感器校准。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1.量程：0~400kPa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2.精度：±2%</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3.分辨率：0.1kPa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测定空气里氧气的含量、二氧化锰对过氧化氢分解的影响、金属与酸的反应、酶催化的高效性、沸点与压强的关系、气体压强与受力面积、空气分子间的作用力、测量大气压强、探究压缩空气的力量、玻意耳定律、查理定律实验、查理定律、研究液体内部的压强等；</w:t>
            </w:r>
          </w:p>
        </w:tc>
        <w:tc>
          <w:tcPr>
            <w:tcW w:w="771" w:type="dxa"/>
            <w:tcBorders>
              <w:tl2br w:val="nil"/>
              <w:tr2bl w:val="nil"/>
            </w:tcBorders>
            <w:noWrap w:val="0"/>
            <w:vAlign w:val="center"/>
          </w:tcPr>
          <w:p w14:paraId="6B8E03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B3BB3F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7C674A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97360F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265</w:t>
            </w:r>
          </w:p>
        </w:tc>
        <w:tc>
          <w:tcPr>
            <w:tcW w:w="1470" w:type="dxa"/>
            <w:tcBorders>
              <w:tl2br w:val="nil"/>
              <w:tr2bl w:val="nil"/>
            </w:tcBorders>
            <w:noWrap w:val="0"/>
            <w:vAlign w:val="center"/>
          </w:tcPr>
          <w:p w14:paraId="072E1D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声波传感器</w:t>
            </w:r>
          </w:p>
        </w:tc>
        <w:tc>
          <w:tcPr>
            <w:tcW w:w="1425" w:type="dxa"/>
            <w:tcBorders>
              <w:tl2br w:val="nil"/>
              <w:tr2bl w:val="nil"/>
            </w:tcBorders>
            <w:noWrap w:val="0"/>
            <w:vAlign w:val="center"/>
          </w:tcPr>
          <w:p w14:paraId="73AD978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15F167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声波传感器采用模块化设计，通过Lightning接口与采集器连接，具有热插拔功能，连接传输稳定。搭配采集器通过有线、无线方式连接电脑、手机或平板等终端进行数据采集，在终端上实时显示并记录声音波形的变化，并绘制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传感器正面为电源指示灯，前端内置有声波传感器探头，后端为Lightning接口。</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1.使用驻极体话筒采集声音信号，用于测量声音的波形(mV)。</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6.无需校准，即连即用。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声音频率范围：100Hz~15000Hz</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谐振、声音的反射和吸收等</w:t>
            </w:r>
          </w:p>
        </w:tc>
        <w:tc>
          <w:tcPr>
            <w:tcW w:w="771" w:type="dxa"/>
            <w:tcBorders>
              <w:tl2br w:val="nil"/>
              <w:tr2bl w:val="nil"/>
            </w:tcBorders>
            <w:noWrap w:val="0"/>
            <w:vAlign w:val="center"/>
          </w:tcPr>
          <w:p w14:paraId="7B857B3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E009D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1A08A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42DC0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266</w:t>
            </w:r>
          </w:p>
        </w:tc>
        <w:tc>
          <w:tcPr>
            <w:tcW w:w="1470" w:type="dxa"/>
            <w:tcBorders>
              <w:tl2br w:val="nil"/>
              <w:tr2bl w:val="nil"/>
            </w:tcBorders>
            <w:noWrap w:val="0"/>
            <w:vAlign w:val="center"/>
          </w:tcPr>
          <w:p w14:paraId="3928AE1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声强传感器</w:t>
            </w:r>
          </w:p>
        </w:tc>
        <w:tc>
          <w:tcPr>
            <w:tcW w:w="1425" w:type="dxa"/>
            <w:tcBorders>
              <w:tl2br w:val="nil"/>
              <w:tr2bl w:val="nil"/>
            </w:tcBorders>
            <w:noWrap w:val="0"/>
            <w:vAlign w:val="center"/>
          </w:tcPr>
          <w:p w14:paraId="15E8CB0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FCBD68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声强传感器采用模块化设计，通过Lightning接口与采集器连接，具有热插拔功能，连接传输稳定。搭配采集器通过有线、无线方式连接电脑、手机或平板等终端进行数据采集，在终端上实时显示并记录声强的变化，并绘制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传感器正面为电源指示灯，前端内置有声强探头，后端为Lightning接口。</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1.使用驻极体话筒采集声音信号，用于测量声音的强度(dB)。</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6.无需校准，即连即用。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1.量程：40dB~92dB</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2.精度：±4dB</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3.分辨率：0.1dB</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声音的合成、测量环境中的噪音、测量声强的等级等</w:t>
            </w:r>
          </w:p>
        </w:tc>
        <w:tc>
          <w:tcPr>
            <w:tcW w:w="771" w:type="dxa"/>
            <w:tcBorders>
              <w:tl2br w:val="nil"/>
              <w:tr2bl w:val="nil"/>
            </w:tcBorders>
            <w:noWrap w:val="0"/>
            <w:vAlign w:val="center"/>
          </w:tcPr>
          <w:p w14:paraId="6B3FE62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409DA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0F1610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9F5992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267</w:t>
            </w:r>
          </w:p>
        </w:tc>
        <w:tc>
          <w:tcPr>
            <w:tcW w:w="1470" w:type="dxa"/>
            <w:tcBorders>
              <w:tl2br w:val="nil"/>
              <w:tr2bl w:val="nil"/>
            </w:tcBorders>
            <w:noWrap w:val="0"/>
            <w:vAlign w:val="center"/>
          </w:tcPr>
          <w:p w14:paraId="15CF57D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相对压强传感器</w:t>
            </w:r>
          </w:p>
        </w:tc>
        <w:tc>
          <w:tcPr>
            <w:tcW w:w="1425" w:type="dxa"/>
            <w:tcBorders>
              <w:tl2br w:val="nil"/>
              <w:tr2bl w:val="nil"/>
            </w:tcBorders>
            <w:noWrap w:val="0"/>
            <w:vAlign w:val="center"/>
          </w:tcPr>
          <w:p w14:paraId="48390DA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711139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相对压强传感器配有鲁尔头，保证实验的气密性且使用方便。采用模块化设计，配合通用接口，通过Lightning接口与采集器连接，支持正反盲插，具有热插拔功能，连接传输稳定。搭配采集器通过有线、无线方式连接电脑、手机或平板等终端进行数据采集，在终端上实时显示并记录压强差的变化，并绘制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传感器正面为电源指示灯，前端为压强软管（配有鲁尔头），后端为Lightning接口。</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1.用于测量大气环境下与被测量空间内的气体的压强差。</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4.支持传感器校准。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1.量程：-20kPa~20kPa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2.精度：±5%</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3.分辨率：0.01kPa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流体压强与流速的关系</w:t>
            </w:r>
          </w:p>
        </w:tc>
        <w:tc>
          <w:tcPr>
            <w:tcW w:w="771" w:type="dxa"/>
            <w:tcBorders>
              <w:tl2br w:val="nil"/>
              <w:tr2bl w:val="nil"/>
            </w:tcBorders>
            <w:noWrap w:val="0"/>
            <w:vAlign w:val="center"/>
          </w:tcPr>
          <w:p w14:paraId="021A379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6C3590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3402C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ECA8B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268</w:t>
            </w:r>
          </w:p>
        </w:tc>
        <w:tc>
          <w:tcPr>
            <w:tcW w:w="1470" w:type="dxa"/>
            <w:tcBorders>
              <w:tl2br w:val="nil"/>
              <w:tr2bl w:val="nil"/>
            </w:tcBorders>
            <w:noWrap w:val="0"/>
            <w:vAlign w:val="center"/>
          </w:tcPr>
          <w:p w14:paraId="0868EE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光电门传感器</w:t>
            </w:r>
          </w:p>
        </w:tc>
        <w:tc>
          <w:tcPr>
            <w:tcW w:w="1425" w:type="dxa"/>
            <w:tcBorders>
              <w:tl2br w:val="nil"/>
              <w:tr2bl w:val="nil"/>
            </w:tcBorders>
            <w:noWrap w:val="0"/>
            <w:vAlign w:val="center"/>
          </w:tcPr>
          <w:p w14:paraId="60ADD48D">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65045D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电门传感器采用模块化设计，配合通用接口，通过Lightning接口与采集器连接，支持正反盲插，具有热插拔功能，连接传输稳定。搭配采集器通过有线、无线方式连接电脑、手机或平板等终端进行数据采集，在终端上实时显示并记录物体的运动时间，可计算出物体的运动速度、加速度等，并绘制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整体为门式结构，正面有指示灯，两侧有固定用的螺丝孔，上部有光路遮挡指示灯，背面为固定螺孔、侧面为Lightning接口线。</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1.用于测量物体通过光电门的挡光时间以及速度、加速度、动量、动能等物理量。</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3.与采集器连接具有通电指示灯，可以快速判断是否正确连接。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5.无需校准，即连即用。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1.量程：0~∞s</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3.分辨率：0.01ms</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验证动量守恒定律、用光电门探究加速度与力、质量的关系、受迫振动、影响小车运动快慢的因素等</w:t>
            </w:r>
          </w:p>
        </w:tc>
        <w:tc>
          <w:tcPr>
            <w:tcW w:w="771" w:type="dxa"/>
            <w:tcBorders>
              <w:tl2br w:val="nil"/>
              <w:tr2bl w:val="nil"/>
            </w:tcBorders>
            <w:noWrap w:val="0"/>
            <w:vAlign w:val="center"/>
          </w:tcPr>
          <w:p w14:paraId="5CD94E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572C54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024D9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CB8DE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269</w:t>
            </w:r>
          </w:p>
        </w:tc>
        <w:tc>
          <w:tcPr>
            <w:tcW w:w="1470" w:type="dxa"/>
            <w:tcBorders>
              <w:tl2br w:val="nil"/>
              <w:tr2bl w:val="nil"/>
            </w:tcBorders>
            <w:noWrap w:val="0"/>
            <w:vAlign w:val="center"/>
          </w:tcPr>
          <w:p w14:paraId="681BEF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分体式位移传感器</w:t>
            </w:r>
          </w:p>
        </w:tc>
        <w:tc>
          <w:tcPr>
            <w:tcW w:w="1425" w:type="dxa"/>
            <w:tcBorders>
              <w:tl2br w:val="nil"/>
              <w:tr2bl w:val="nil"/>
            </w:tcBorders>
            <w:noWrap w:val="0"/>
            <w:vAlign w:val="center"/>
          </w:tcPr>
          <w:p w14:paraId="0BD7571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3BDE27F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分体式位移传感器采用模块化设计，配合通用接口，通过Lightning接口与采集器连接，支持正反盲插，具有热插拔功能，连接传输稳定。搭配采集器通过有线、无线方式连接电脑、手机或平板等终端进行数据采集，在终端上实时显示并记录位移的变化，并绘制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分体式位移传感器分发射器和接收器两个部分，接收器一端带有Lightning接口线与采集器通用接口进行连接使用。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1.用于测量物体间的位移。</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4.支持传感器校准。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1.量程：0~2m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2.精度：±2%F.S</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3.分辨率：1mm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探究弹簧的伸长特性、匀变速直线运动的位移与时间的关系、匀速直线运动的位移、验证胡克定律、探究弹簧弹力与形变量的关系等</w:t>
            </w:r>
          </w:p>
        </w:tc>
        <w:tc>
          <w:tcPr>
            <w:tcW w:w="771" w:type="dxa"/>
            <w:tcBorders>
              <w:tl2br w:val="nil"/>
              <w:tr2bl w:val="nil"/>
            </w:tcBorders>
            <w:noWrap w:val="0"/>
            <w:vAlign w:val="center"/>
          </w:tcPr>
          <w:p w14:paraId="2B85A16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21D5B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508B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07F8D7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270</w:t>
            </w:r>
          </w:p>
        </w:tc>
        <w:tc>
          <w:tcPr>
            <w:tcW w:w="1470" w:type="dxa"/>
            <w:tcBorders>
              <w:tl2br w:val="nil"/>
              <w:tr2bl w:val="nil"/>
            </w:tcBorders>
            <w:noWrap w:val="0"/>
            <w:vAlign w:val="center"/>
          </w:tcPr>
          <w:p w14:paraId="5215636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快速温度传感器</w:t>
            </w:r>
          </w:p>
        </w:tc>
        <w:tc>
          <w:tcPr>
            <w:tcW w:w="1425" w:type="dxa"/>
            <w:tcBorders>
              <w:tl2br w:val="nil"/>
              <w:tr2bl w:val="nil"/>
            </w:tcBorders>
            <w:noWrap w:val="0"/>
            <w:vAlign w:val="center"/>
          </w:tcPr>
          <w:p w14:paraId="1908F315">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30EC73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快速温度传感器采用模块化设计，通过Lightning接口与采集器连接，具有热插拔功能，连接传输稳定。搭配采集器通过有线、无线方式连接电脑、手机或平板等终端进行数据采集，在终端上实时显示并记录温度的变化，绘制温度-时间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传感器正面为电源指示灯，前端为探头插孔，后端为Lightning接口，附件为快速温度探头。</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1.用于测量物体表面、气体、无腐蚀性酸碱等液体的温度。</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3.快速温度探头为为3.5mm耳机插头，耳机插孔式连接，连接稳定，无干扰。</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7.无需校准，即连即用。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1.量程：-25℃~100℃</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2.精度：±0.8℃</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功能转化、不同物质热传导性能的比较、红光外侧热效应等</w:t>
            </w:r>
          </w:p>
        </w:tc>
        <w:tc>
          <w:tcPr>
            <w:tcW w:w="771" w:type="dxa"/>
            <w:tcBorders>
              <w:tl2br w:val="nil"/>
              <w:tr2bl w:val="nil"/>
            </w:tcBorders>
            <w:noWrap w:val="0"/>
            <w:vAlign w:val="center"/>
          </w:tcPr>
          <w:p w14:paraId="011DDF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F377A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5C4C74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509DE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271</w:t>
            </w:r>
          </w:p>
        </w:tc>
        <w:tc>
          <w:tcPr>
            <w:tcW w:w="1470" w:type="dxa"/>
            <w:tcBorders>
              <w:tl2br w:val="nil"/>
              <w:tr2bl w:val="nil"/>
            </w:tcBorders>
            <w:noWrap w:val="0"/>
            <w:vAlign w:val="center"/>
          </w:tcPr>
          <w:p w14:paraId="0DC711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微电流传感器</w:t>
            </w:r>
          </w:p>
        </w:tc>
        <w:tc>
          <w:tcPr>
            <w:tcW w:w="1425" w:type="dxa"/>
            <w:tcBorders>
              <w:tl2br w:val="nil"/>
              <w:tr2bl w:val="nil"/>
            </w:tcBorders>
            <w:noWrap w:val="0"/>
            <w:vAlign w:val="center"/>
          </w:tcPr>
          <w:p w14:paraId="6113A8FB">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2C79920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微电流传感器采用模块化设计，通过Lightning接口与采集器连接，具有热插拔功能，连接传输稳定。搭配采集器通过有线、无线方式连接电脑、手机或平板等终端进行数据采集，在终端上实时显示并记录电流的变化，绘制电流-时间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传感器正面为电源指示灯，前端为导线插孔，后端为Lightning接口，附件为红黑导线、鳄鱼夹。</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1.用于测量电路中的微电流。</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6.测量灵敏、精确，反应快速，包括对微小电流变化的快速采样。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7.支持传感器校零。</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1.量程：-10μA~10μA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3.分辨率：0.01μA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4.内阻：0.22Ω</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探究感应电流的产生、地磁场发电机、电磁感应现象、用单匝线圈探究电磁感应现象、玻璃导电、温差电流、光电效应实验、人体发电等</w:t>
            </w:r>
          </w:p>
        </w:tc>
        <w:tc>
          <w:tcPr>
            <w:tcW w:w="771" w:type="dxa"/>
            <w:tcBorders>
              <w:tl2br w:val="nil"/>
              <w:tr2bl w:val="nil"/>
            </w:tcBorders>
            <w:noWrap w:val="0"/>
            <w:vAlign w:val="center"/>
          </w:tcPr>
          <w:p w14:paraId="2B68C27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17308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0721E9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C92C4B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272</w:t>
            </w:r>
          </w:p>
        </w:tc>
        <w:tc>
          <w:tcPr>
            <w:tcW w:w="1470" w:type="dxa"/>
            <w:tcBorders>
              <w:tl2br w:val="nil"/>
              <w:tr2bl w:val="nil"/>
            </w:tcBorders>
            <w:noWrap w:val="0"/>
            <w:vAlign w:val="center"/>
          </w:tcPr>
          <w:p w14:paraId="2DB401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毫电流传感器</w:t>
            </w:r>
          </w:p>
        </w:tc>
        <w:tc>
          <w:tcPr>
            <w:tcW w:w="1425" w:type="dxa"/>
            <w:tcBorders>
              <w:tl2br w:val="nil"/>
              <w:tr2bl w:val="nil"/>
            </w:tcBorders>
            <w:noWrap w:val="0"/>
            <w:vAlign w:val="center"/>
          </w:tcPr>
          <w:p w14:paraId="27AAC25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48D21F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毫电流传感器采用模块化设计，通过Lightning接口与采集器连接，具有热插拔功能，连接传输稳定。搭配采集器通过有线、无线方式连接电脑、手机或平板等终端进行数据采集，在终端上实时显示并记录电流的变化，绘制电流-时间图像，可脱离终端独立采集记录所探测到的实验数据并加以保存，以供下载和分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传感器正面为电源指示灯，前端为导线插孔，后端为Lightning接口，附件为红黑导线、鳄鱼夹。</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1.用于测量电路中毫安数量级的电流。</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4.传感器上具有通电指示灯，可以快速判断是否正确连接。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5.搭配采集器可以在Windows、安卓、iOS系统上进行数据采集。</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6.测量灵敏、精确，反应快速，包括对微小电流变化的快速采样。</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7.支持传感器校零。</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三、规格</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1.量程：-20mA~20mA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2.精度：±1%F.S</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3.分辨率：0.01mA</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四、实验</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水果电池、电阻的串并联电路、热辐射研究、太阳能电池、自感现象等</w:t>
            </w:r>
          </w:p>
        </w:tc>
        <w:tc>
          <w:tcPr>
            <w:tcW w:w="771" w:type="dxa"/>
            <w:tcBorders>
              <w:tl2br w:val="nil"/>
              <w:tr2bl w:val="nil"/>
            </w:tcBorders>
            <w:noWrap w:val="0"/>
            <w:vAlign w:val="center"/>
          </w:tcPr>
          <w:p w14:paraId="66F071B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24D25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27D9B8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EE96A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273</w:t>
            </w:r>
          </w:p>
        </w:tc>
        <w:tc>
          <w:tcPr>
            <w:tcW w:w="1470" w:type="dxa"/>
            <w:tcBorders>
              <w:tl2br w:val="nil"/>
              <w:tr2bl w:val="nil"/>
            </w:tcBorders>
            <w:noWrap w:val="0"/>
            <w:vAlign w:val="center"/>
          </w:tcPr>
          <w:p w14:paraId="73B625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通用接口</w:t>
            </w:r>
          </w:p>
        </w:tc>
        <w:tc>
          <w:tcPr>
            <w:tcW w:w="1425" w:type="dxa"/>
            <w:tcBorders>
              <w:tl2br w:val="nil"/>
              <w:tr2bl w:val="nil"/>
            </w:tcBorders>
            <w:noWrap w:val="0"/>
            <w:vAlign w:val="center"/>
          </w:tcPr>
          <w:p w14:paraId="7CE0F60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28443A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通用接口正面为电源指示灯，前端、后端为Lightning接口，用于跟传感器的连接。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二、功能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1.用于传感器与采集器的连接。</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2.外壳采用ABS工程塑料，具有耐火、耐高温、阻燃等特性。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3.具有通电指示灯，可以快速判断是否正确连接。</w:t>
            </w:r>
          </w:p>
        </w:tc>
        <w:tc>
          <w:tcPr>
            <w:tcW w:w="771" w:type="dxa"/>
            <w:tcBorders>
              <w:tl2br w:val="nil"/>
              <w:tr2bl w:val="nil"/>
            </w:tcBorders>
            <w:noWrap w:val="0"/>
            <w:vAlign w:val="center"/>
          </w:tcPr>
          <w:p w14:paraId="3BAC08A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59E38F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26961F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943BD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274</w:t>
            </w:r>
          </w:p>
        </w:tc>
        <w:tc>
          <w:tcPr>
            <w:tcW w:w="1470" w:type="dxa"/>
            <w:tcBorders>
              <w:tl2br w:val="nil"/>
              <w:tr2bl w:val="nil"/>
            </w:tcBorders>
            <w:noWrap w:val="0"/>
            <w:vAlign w:val="center"/>
          </w:tcPr>
          <w:p w14:paraId="6CA78F6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手提式实验箱</w:t>
            </w:r>
          </w:p>
        </w:tc>
        <w:tc>
          <w:tcPr>
            <w:tcW w:w="1425" w:type="dxa"/>
            <w:tcBorders>
              <w:tl2br w:val="nil"/>
              <w:tr2bl w:val="nil"/>
            </w:tcBorders>
            <w:noWrap w:val="0"/>
            <w:vAlign w:val="center"/>
          </w:tcPr>
          <w:p w14:paraId="498D69CC">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8154B6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提式箱式设计，可翻盖，采用ABS材质，外形尺寸（长宽高）：435mm*325mm*170mm（两箱叠加高度H=330mm），最大承重：30-35公斤；箱体底部设有底部凸起，与上部设计凹槽相互咬合，通过独特的纽扣式锁止机构，实现箱子与箱子之前的锁合，可多个垒叠放置，便于携带和搬运，最多可垒5箱；内部含有内衬，保证每个器材都有对应的存放位置，便于快速、高效的整理和收纳；</w:t>
            </w:r>
          </w:p>
        </w:tc>
        <w:tc>
          <w:tcPr>
            <w:tcW w:w="771" w:type="dxa"/>
            <w:tcBorders>
              <w:tl2br w:val="nil"/>
              <w:tr2bl w:val="nil"/>
            </w:tcBorders>
            <w:noWrap w:val="0"/>
            <w:vAlign w:val="center"/>
          </w:tcPr>
          <w:p w14:paraId="1354F6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47228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bl>
    <w:p w14:paraId="0DE7BCA3">
      <w:pPr>
        <w:keepNext w:val="0"/>
        <w:keepLines w:val="0"/>
        <w:pageBreakBefore w:val="0"/>
        <w:widowControl w:val="0"/>
        <w:kinsoku/>
        <w:wordWrap/>
        <w:overflowPunct/>
        <w:topLinePunct w:val="0"/>
        <w:autoSpaceDE w:val="0"/>
        <w:autoSpaceDN w:val="0"/>
        <w:bidi w:val="0"/>
        <w:adjustRightInd/>
        <w:snapToGrid/>
        <w:spacing w:before="0" w:beforeLines="50"/>
        <w:textAlignment w:val="auto"/>
        <w:rPr>
          <w:rFonts w:hint="default"/>
          <w:color w:val="auto"/>
          <w:lang w:val="en-US" w:eastAsia="zh-CN"/>
        </w:rPr>
      </w:pPr>
      <w:r>
        <w:rPr>
          <w:rFonts w:hint="eastAsia" w:ascii="仿宋" w:hAnsi="仿宋" w:eastAsia="仿宋" w:cs="仿宋"/>
          <w:b/>
          <w:bCs/>
          <w:color w:val="auto"/>
          <w:sz w:val="24"/>
          <w:szCs w:val="24"/>
          <w:lang w:val="en-US" w:eastAsia="zh-CN"/>
        </w:rPr>
        <w:t>（二）化学学科</w:t>
      </w:r>
    </w:p>
    <w:tbl>
      <w:tblPr>
        <w:tblStyle w:val="27"/>
        <w:tblW w:w="98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686"/>
        <w:gridCol w:w="1470"/>
        <w:gridCol w:w="1425"/>
        <w:gridCol w:w="4740"/>
        <w:gridCol w:w="771"/>
        <w:gridCol w:w="772"/>
      </w:tblGrid>
      <w:tr w14:paraId="57011F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9864" w:type="dxa"/>
            <w:gridSpan w:val="6"/>
            <w:tcBorders>
              <w:tl2br w:val="nil"/>
              <w:tr2bl w:val="nil"/>
            </w:tcBorders>
            <w:shd w:val="clear" w:color="auto" w:fill="B6DDE8" w:themeFill="accent5" w:themeFillTint="66"/>
            <w:noWrap w:val="0"/>
            <w:vAlign w:val="center"/>
          </w:tcPr>
          <w:p w14:paraId="0456485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化学实验室</w:t>
            </w:r>
          </w:p>
        </w:tc>
      </w:tr>
      <w:tr w14:paraId="66737D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B6DDE8" w:themeFill="accent5" w:themeFillTint="66"/>
            <w:noWrap w:val="0"/>
            <w:vAlign w:val="center"/>
          </w:tcPr>
          <w:p w14:paraId="2C0BF00F">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序号</w:t>
            </w:r>
          </w:p>
        </w:tc>
        <w:tc>
          <w:tcPr>
            <w:tcW w:w="1470" w:type="dxa"/>
            <w:tcBorders>
              <w:tl2br w:val="nil"/>
              <w:tr2bl w:val="nil"/>
            </w:tcBorders>
            <w:shd w:val="clear" w:color="auto" w:fill="B6DDE8" w:themeFill="accent5" w:themeFillTint="66"/>
            <w:noWrap w:val="0"/>
            <w:vAlign w:val="center"/>
          </w:tcPr>
          <w:p w14:paraId="2DABF645">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b/>
                <w:bCs/>
                <w:color w:val="auto"/>
                <w:position w:val="-6"/>
                <w:sz w:val="24"/>
                <w:szCs w:val="24"/>
                <w:lang w:val="en-US" w:eastAsia="zh-CN"/>
              </w:rPr>
              <w:t>名称</w:t>
            </w:r>
          </w:p>
        </w:tc>
        <w:tc>
          <w:tcPr>
            <w:tcW w:w="1425" w:type="dxa"/>
            <w:tcBorders>
              <w:tl2br w:val="nil"/>
              <w:tr2bl w:val="nil"/>
            </w:tcBorders>
            <w:shd w:val="clear" w:color="auto" w:fill="B6DDE8" w:themeFill="accent5" w:themeFillTint="66"/>
            <w:noWrap w:val="0"/>
            <w:vAlign w:val="center"/>
          </w:tcPr>
          <w:p w14:paraId="13F6DDB3">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规格</w:t>
            </w:r>
          </w:p>
        </w:tc>
        <w:tc>
          <w:tcPr>
            <w:tcW w:w="4740" w:type="dxa"/>
            <w:tcBorders>
              <w:tl2br w:val="nil"/>
              <w:tr2bl w:val="nil"/>
            </w:tcBorders>
            <w:shd w:val="clear" w:color="auto" w:fill="B6DDE8" w:themeFill="accent5" w:themeFillTint="66"/>
            <w:noWrap w:val="0"/>
            <w:vAlign w:val="center"/>
          </w:tcPr>
          <w:p w14:paraId="14200E1F">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技术参数</w:t>
            </w:r>
          </w:p>
        </w:tc>
        <w:tc>
          <w:tcPr>
            <w:tcW w:w="771" w:type="dxa"/>
            <w:tcBorders>
              <w:tl2br w:val="nil"/>
              <w:tr2bl w:val="nil"/>
            </w:tcBorders>
            <w:shd w:val="clear" w:color="auto" w:fill="B6DDE8" w:themeFill="accent5" w:themeFillTint="66"/>
            <w:noWrap w:val="0"/>
            <w:vAlign w:val="center"/>
          </w:tcPr>
          <w:p w14:paraId="70EB7560">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数量</w:t>
            </w:r>
          </w:p>
        </w:tc>
        <w:tc>
          <w:tcPr>
            <w:tcW w:w="772" w:type="dxa"/>
            <w:tcBorders>
              <w:tl2br w:val="nil"/>
              <w:tr2bl w:val="nil"/>
            </w:tcBorders>
            <w:shd w:val="clear" w:color="auto" w:fill="B6DDE8" w:themeFill="accent5" w:themeFillTint="66"/>
            <w:noWrap w:val="0"/>
            <w:vAlign w:val="center"/>
          </w:tcPr>
          <w:p w14:paraId="724E3D6A">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单位</w:t>
            </w:r>
          </w:p>
        </w:tc>
      </w:tr>
      <w:tr w14:paraId="4A2C6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702DF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470" w:type="dxa"/>
            <w:tcBorders>
              <w:tl2br w:val="nil"/>
              <w:tr2bl w:val="nil"/>
            </w:tcBorders>
            <w:shd w:val="clear" w:color="auto" w:fill="auto"/>
            <w:noWrap w:val="0"/>
            <w:vAlign w:val="center"/>
          </w:tcPr>
          <w:p w14:paraId="3EEBC1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教师演示讲台</w:t>
            </w:r>
          </w:p>
        </w:tc>
        <w:tc>
          <w:tcPr>
            <w:tcW w:w="1425" w:type="dxa"/>
            <w:tcBorders>
              <w:tl2br w:val="nil"/>
              <w:tr2bl w:val="nil"/>
            </w:tcBorders>
            <w:shd w:val="clear" w:color="auto" w:fill="auto"/>
            <w:noWrap w:val="0"/>
            <w:vAlign w:val="center"/>
          </w:tcPr>
          <w:p w14:paraId="16442C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i w:val="0"/>
                <w:iCs w:val="0"/>
                <w:color w:val="auto"/>
                <w:kern w:val="0"/>
                <w:sz w:val="20"/>
                <w:szCs w:val="20"/>
                <w:u w:val="none"/>
                <w:lang w:val="en-US" w:eastAsia="zh-CN" w:bidi="ar"/>
              </w:rPr>
              <w:t>3000*700*900mm</w:t>
            </w:r>
          </w:p>
        </w:tc>
        <w:tc>
          <w:tcPr>
            <w:tcW w:w="4740" w:type="dxa"/>
            <w:tcBorders>
              <w:tl2br w:val="nil"/>
              <w:tr2bl w:val="nil"/>
            </w:tcBorders>
            <w:shd w:val="clear" w:color="auto" w:fill="auto"/>
            <w:noWrap w:val="0"/>
            <w:vAlign w:val="center"/>
          </w:tcPr>
          <w:p w14:paraId="479D3FA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b/>
                <w:bCs/>
                <w:color w:val="auto"/>
                <w:kern w:val="0"/>
                <w:sz w:val="20"/>
                <w:szCs w:val="20"/>
                <w:vertAlign w:val="baseline"/>
                <w:lang w:val="zh-CN" w:eastAsia="zh-CN" w:bidi="ar"/>
              </w:rPr>
              <w:t>1.结构：</w:t>
            </w:r>
            <w:r>
              <w:rPr>
                <w:rFonts w:hint="eastAsia" w:ascii="仿宋" w:hAnsi="仿宋" w:eastAsia="仿宋" w:cs="仿宋"/>
                <w:color w:val="auto"/>
                <w:kern w:val="0"/>
                <w:sz w:val="20"/>
                <w:szCs w:val="20"/>
                <w:vertAlign w:val="baseline"/>
                <w:lang w:val="zh-CN" w:eastAsia="zh-CN" w:bidi="ar"/>
              </w:rPr>
              <w:t>全钢结构</w:t>
            </w:r>
          </w:p>
          <w:p w14:paraId="60134AA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b/>
                <w:bCs/>
                <w:color w:val="auto"/>
                <w:kern w:val="0"/>
                <w:sz w:val="20"/>
                <w:szCs w:val="20"/>
                <w:vertAlign w:val="baseline"/>
                <w:lang w:val="zh-CN" w:eastAsia="zh-CN" w:bidi="ar"/>
              </w:rPr>
              <w:t>2.台面：</w:t>
            </w:r>
            <w:r>
              <w:rPr>
                <w:rFonts w:hint="eastAsia" w:ascii="仿宋" w:hAnsi="仿宋" w:eastAsia="仿宋" w:cs="仿宋"/>
                <w:color w:val="auto"/>
                <w:kern w:val="0"/>
                <w:sz w:val="20"/>
                <w:szCs w:val="20"/>
                <w:vertAlign w:val="baseline"/>
                <w:lang w:val="zh-CN" w:eastAsia="zh-CN" w:bidi="ar"/>
              </w:rPr>
              <w:t>采用12.7mm厚双面理化膜实芯理化板。台面需倒圆边，经机械打磨，表面光滑平整，需具有耐强酸碱、防腐蚀、防静电、耐辐射、耐磨、抗污染、易清洁、耐冲击、耐高温、防水、防火等特点。理化板台面需满足以下性能指标</w:t>
            </w:r>
            <w:r>
              <w:rPr>
                <w:rFonts w:hint="eastAsia" w:ascii="仿宋" w:hAnsi="仿宋" w:eastAsia="仿宋" w:cs="仿宋"/>
                <w:color w:val="auto"/>
                <w:kern w:val="0"/>
                <w:sz w:val="20"/>
                <w:szCs w:val="20"/>
                <w:highlight w:val="none"/>
                <w:vertAlign w:val="baseline"/>
                <w:lang w:val="zh-CN" w:eastAsia="zh-CN" w:bidi="ar"/>
              </w:rPr>
              <w:t>（需提供</w:t>
            </w:r>
            <w:r>
              <w:rPr>
                <w:rFonts w:hint="eastAsia" w:ascii="仿宋" w:hAnsi="仿宋" w:eastAsia="仿宋" w:cs="仿宋"/>
                <w:i w:val="0"/>
                <w:iCs w:val="0"/>
                <w:color w:val="auto"/>
                <w:kern w:val="0"/>
                <w:sz w:val="21"/>
                <w:szCs w:val="21"/>
                <w:highlight w:val="none"/>
                <w:u w:val="none"/>
                <w:lang w:val="en-US" w:eastAsia="zh-CN" w:bidi="ar"/>
              </w:rPr>
              <w:t>由国家认可的第三方检测机构出具</w:t>
            </w:r>
            <w:r>
              <w:rPr>
                <w:rFonts w:hint="eastAsia" w:ascii="仿宋" w:hAnsi="仿宋" w:eastAsia="仿宋" w:cs="仿宋"/>
                <w:i w:val="0"/>
                <w:iCs w:val="0"/>
                <w:color w:val="auto"/>
                <w:kern w:val="0"/>
                <w:sz w:val="20"/>
                <w:szCs w:val="20"/>
                <w:highlight w:val="none"/>
                <w:u w:val="none"/>
                <w:lang w:val="en-US" w:eastAsia="zh-CN" w:bidi="ar"/>
              </w:rPr>
              <w:t>的</w:t>
            </w:r>
            <w:r>
              <w:rPr>
                <w:rFonts w:hint="eastAsia" w:ascii="仿宋" w:hAnsi="仿宋" w:eastAsia="仿宋" w:cs="仿宋"/>
                <w:color w:val="auto"/>
                <w:kern w:val="0"/>
                <w:sz w:val="20"/>
                <w:szCs w:val="20"/>
                <w:highlight w:val="none"/>
                <w:vertAlign w:val="baseline"/>
                <w:lang w:val="zh-CN" w:eastAsia="zh-CN" w:bidi="ar"/>
              </w:rPr>
              <w:t>满足下述台面性能指标</w:t>
            </w:r>
            <w:r>
              <w:rPr>
                <w:rFonts w:hint="eastAsia" w:ascii="仿宋" w:hAnsi="仿宋" w:eastAsia="仿宋" w:cs="仿宋"/>
                <w:i w:val="0"/>
                <w:iCs w:val="0"/>
                <w:color w:val="auto"/>
                <w:kern w:val="0"/>
                <w:sz w:val="20"/>
                <w:szCs w:val="20"/>
                <w:highlight w:val="none"/>
                <w:u w:val="none"/>
                <w:lang w:val="en-US" w:eastAsia="zh-CN" w:bidi="ar"/>
              </w:rPr>
              <w:t>带有CMA标志的检测报告加盖投标单位公章</w:t>
            </w:r>
            <w:r>
              <w:rPr>
                <w:rFonts w:hint="eastAsia" w:ascii="仿宋" w:hAnsi="仿宋" w:eastAsia="仿宋" w:cs="仿宋"/>
                <w:color w:val="auto"/>
                <w:kern w:val="0"/>
                <w:sz w:val="20"/>
                <w:szCs w:val="20"/>
                <w:highlight w:val="none"/>
                <w:vertAlign w:val="baseline"/>
                <w:lang w:val="zh-CN" w:eastAsia="zh-CN" w:bidi="ar"/>
              </w:rPr>
              <w:t>）：</w:t>
            </w:r>
          </w:p>
          <w:p w14:paraId="6BFB766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★A.</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按照GB/T 17657-2022标准对台面板正反两面进行检验，其中77%硫酸、硝酸（65%）、乙酸(99%)、氢氟酸（48%）、双氧水(3%)、无水乙醇、水杨酸、碘伏、亚甲基蓝(5%)、乙腈、无水甲醇、正己烷、三氯乙酸等不少于140种溶液或试剂检验结果达到5级并无明显变化。</w:t>
            </w:r>
          </w:p>
          <w:p w14:paraId="7D743D2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★B.</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依据JC/T 2039-2010标准检测板材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等不少于15种的菌种抗菌率＞99.99%。</w:t>
            </w:r>
          </w:p>
          <w:p w14:paraId="06E843E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★C.环保检测：甲醛释放量按照GB/T 39600-2021《人造板及其制品甲醛释放量分级》标准检测，满足技术E0级，检验结果为≤0.005mg/m³。</w:t>
            </w:r>
          </w:p>
          <w:p w14:paraId="3BE25DD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★D.依据JC/T 2039-2010标准检测板材抗霉菌性能：黑曲霉、土曲霉、宛氏拟青霉、绳状青霉、出芽短梗霉、球毛壳、长枝木霉等7种的霉菌检测长霉等级≤0级。</w:t>
            </w:r>
          </w:p>
          <w:p w14:paraId="2AF6B00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b/>
                <w:bCs/>
                <w:color w:val="000000" w:themeColor="text1"/>
                <w:kern w:val="0"/>
                <w:sz w:val="20"/>
                <w:szCs w:val="20"/>
                <w:highlight w:val="none"/>
                <w:vertAlign w:val="baseline"/>
                <w:lang w:val="zh-CN" w:eastAsia="zh-CN" w:bidi="ar"/>
                <w14:textFill>
                  <w14:solidFill>
                    <w14:schemeClr w14:val="tx1"/>
                  </w14:solidFill>
                </w14:textFill>
              </w:rPr>
              <w:t>3.柜身：</w:t>
            </w: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 xml:space="preserve">柜体为落地式结构，采用优质镀锌钢板，采用CO2保护焊焊接，打磨处理，表面经耐酸碱环氧树脂粉末烤漆处理，表面硬度附着力、耐腐蚀性符合国家标准，所有钣金的表面接缝均应满焊，焊接处均应打磨平整以保持为连续的平滑表面。 </w:t>
            </w:r>
          </w:p>
          <w:p w14:paraId="07F64FA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b/>
                <w:bCs/>
                <w:color w:val="000000" w:themeColor="text1"/>
                <w:kern w:val="0"/>
                <w:sz w:val="20"/>
                <w:szCs w:val="20"/>
                <w:highlight w:val="none"/>
                <w:vertAlign w:val="baseline"/>
                <w:lang w:val="zh-CN" w:eastAsia="zh-CN" w:bidi="ar"/>
                <w14:textFill>
                  <w14:solidFill>
                    <w14:schemeClr w14:val="tx1"/>
                  </w14:solidFill>
                </w14:textFill>
              </w:rPr>
              <w:t>4.门板及抽面：</w:t>
            </w: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 xml:space="preserve">采用优质镀锌钢板，内设隔音材料，保证关门减少噪音； </w:t>
            </w:r>
          </w:p>
          <w:p w14:paraId="4D1DCAC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b/>
                <w:bCs/>
                <w:color w:val="000000" w:themeColor="text1"/>
                <w:kern w:val="0"/>
                <w:sz w:val="20"/>
                <w:szCs w:val="20"/>
                <w:highlight w:val="none"/>
                <w:vertAlign w:val="baseline"/>
                <w:lang w:val="zh-CN" w:eastAsia="zh-CN" w:bidi="ar"/>
                <w14:textFill>
                  <w14:solidFill>
                    <w14:schemeClr w14:val="tx1"/>
                  </w14:solidFill>
                </w14:textFill>
              </w:rPr>
              <w:t>5.滑轨：</w:t>
            </w: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采用三节重型滚珠滑轨，承重性强，滑动性能良好，无噪音；</w:t>
            </w:r>
          </w:p>
          <w:p w14:paraId="3368ED7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b/>
                <w:bCs/>
                <w:color w:val="000000" w:themeColor="text1"/>
                <w:kern w:val="0"/>
                <w:sz w:val="20"/>
                <w:szCs w:val="20"/>
                <w:highlight w:val="none"/>
                <w:vertAlign w:val="baseline"/>
                <w:lang w:val="zh-CN" w:eastAsia="zh-CN" w:bidi="ar"/>
                <w14:textFill>
                  <w14:solidFill>
                    <w14:schemeClr w14:val="tx1"/>
                  </w14:solidFill>
                </w14:textFill>
              </w:rPr>
              <w:t>6.合页：</w:t>
            </w: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采用优质大弯合页，可开门弧度大于90度，开合次数万次以上；</w:t>
            </w:r>
          </w:p>
          <w:p w14:paraId="0234D9A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b/>
                <w:bCs/>
                <w:color w:val="000000" w:themeColor="text1"/>
                <w:kern w:val="0"/>
                <w:sz w:val="20"/>
                <w:szCs w:val="20"/>
                <w:highlight w:val="none"/>
                <w:vertAlign w:val="baseline"/>
                <w:lang w:val="zh-CN" w:eastAsia="zh-CN" w:bidi="ar"/>
                <w14:textFill>
                  <w14:solidFill>
                    <w14:schemeClr w14:val="tx1"/>
                  </w14:solidFill>
                </w14:textFill>
              </w:rPr>
              <w:t>7.桌脚：</w:t>
            </w: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采用ABS注塑专用桌垫固定；</w:t>
            </w:r>
          </w:p>
          <w:p w14:paraId="27B851F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color w:val="000000" w:themeColor="text1"/>
                <w:highlight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仿宋" w:hAnsi="仿宋" w:eastAsia="仿宋" w:cs="仿宋"/>
                <w:i w:val="0"/>
                <w:iCs w:val="0"/>
                <w:strike w:val="0"/>
                <w:dstrike w:val="0"/>
                <w:color w:val="000000" w:themeColor="text1"/>
                <w:kern w:val="0"/>
                <w:sz w:val="20"/>
                <w:szCs w:val="20"/>
                <w:highlight w:val="none"/>
                <w:u w:val="none"/>
                <w:lang w:val="en-US" w:eastAsia="zh-CN" w:bidi="ar"/>
                <w14:textFill>
                  <w14:solidFill>
                    <w14:schemeClr w14:val="tx1"/>
                  </w14:solidFill>
                </w14:textFill>
              </w:rPr>
              <w:t>教师演示台技术性能要求需满足依据GB/T 9286-2021 《色漆和清漆 划格试验》及GB/T 10125-2021 《人造气氛腐蚀试验 盐雾试验》，中性盐雾试验不小于10级，附着力不小于2级。</w:t>
            </w:r>
          </w:p>
          <w:p w14:paraId="3F9A337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highlight w:val="none"/>
                <w:vertAlign w:val="baseline"/>
                <w:lang w:val="zh-CN" w:eastAsia="zh-CN" w:bidi="ar"/>
              </w:rPr>
              <w:t>提供</w:t>
            </w:r>
            <w:r>
              <w:rPr>
                <w:rFonts w:hint="eastAsia" w:ascii="仿宋" w:hAnsi="仿宋" w:eastAsia="仿宋" w:cs="仿宋"/>
                <w:i w:val="0"/>
                <w:iCs w:val="0"/>
                <w:color w:val="auto"/>
                <w:kern w:val="0"/>
                <w:sz w:val="20"/>
                <w:szCs w:val="20"/>
                <w:highlight w:val="none"/>
                <w:u w:val="none"/>
                <w:lang w:val="en-US" w:eastAsia="zh-CN" w:bidi="ar"/>
              </w:rPr>
              <w:t>由国家认可的第三方检测机构出具的</w:t>
            </w:r>
            <w:r>
              <w:rPr>
                <w:rFonts w:hint="eastAsia" w:ascii="仿宋" w:hAnsi="仿宋" w:eastAsia="仿宋" w:cs="仿宋"/>
                <w:color w:val="auto"/>
                <w:kern w:val="0"/>
                <w:sz w:val="20"/>
                <w:szCs w:val="20"/>
                <w:highlight w:val="none"/>
                <w:vertAlign w:val="baseline"/>
                <w:lang w:val="zh-CN" w:eastAsia="zh-CN" w:bidi="ar"/>
              </w:rPr>
              <w:t>满足以上技术要求</w:t>
            </w:r>
            <w:r>
              <w:rPr>
                <w:rFonts w:hint="eastAsia" w:ascii="仿宋" w:hAnsi="仿宋" w:eastAsia="仿宋" w:cs="仿宋"/>
                <w:i w:val="0"/>
                <w:iCs w:val="0"/>
                <w:color w:val="auto"/>
                <w:kern w:val="0"/>
                <w:sz w:val="20"/>
                <w:szCs w:val="20"/>
                <w:highlight w:val="none"/>
                <w:u w:val="none"/>
                <w:lang w:val="en-US" w:eastAsia="zh-CN" w:bidi="ar"/>
              </w:rPr>
              <w:t>带有CMA标志的检测报告加盖投标单位公章</w:t>
            </w:r>
            <w:r>
              <w:rPr>
                <w:rFonts w:hint="eastAsia" w:ascii="仿宋" w:hAnsi="仿宋" w:eastAsia="仿宋" w:cs="仿宋"/>
                <w:color w:val="auto"/>
                <w:kern w:val="0"/>
                <w:sz w:val="20"/>
                <w:szCs w:val="20"/>
                <w:highlight w:val="none"/>
                <w:vertAlign w:val="baseline"/>
                <w:lang w:val="zh-CN" w:eastAsia="zh-CN" w:bidi="ar"/>
              </w:rPr>
              <w:t>。</w:t>
            </w:r>
          </w:p>
        </w:tc>
        <w:tc>
          <w:tcPr>
            <w:tcW w:w="771" w:type="dxa"/>
            <w:tcBorders>
              <w:tl2br w:val="nil"/>
              <w:tr2bl w:val="nil"/>
            </w:tcBorders>
            <w:shd w:val="clear" w:color="auto" w:fill="auto"/>
            <w:noWrap w:val="0"/>
            <w:vAlign w:val="center"/>
          </w:tcPr>
          <w:p w14:paraId="44EA687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7C07B94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张</w:t>
            </w:r>
          </w:p>
        </w:tc>
      </w:tr>
      <w:tr w14:paraId="06752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EF6CF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1470" w:type="dxa"/>
            <w:tcBorders>
              <w:tl2br w:val="nil"/>
              <w:tr2bl w:val="nil"/>
            </w:tcBorders>
            <w:shd w:val="clear" w:color="auto" w:fill="auto"/>
            <w:noWrap w:val="0"/>
            <w:vAlign w:val="center"/>
          </w:tcPr>
          <w:p w14:paraId="3B3603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三联水嘴</w:t>
            </w:r>
          </w:p>
        </w:tc>
        <w:tc>
          <w:tcPr>
            <w:tcW w:w="1425" w:type="dxa"/>
            <w:tcBorders>
              <w:tl2br w:val="nil"/>
              <w:tr2bl w:val="nil"/>
            </w:tcBorders>
            <w:shd w:val="clear" w:color="auto" w:fill="auto"/>
            <w:noWrap w:val="0"/>
            <w:vAlign w:val="center"/>
          </w:tcPr>
          <w:p w14:paraId="35CE63F0">
            <w:pPr>
              <w:jc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45FB9BE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实验室水嘴技术性能要求需满足依据GB 25501-2019《水嘴水效限定值及水效等级》，</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流量均匀性：流量均匀性应不大于1.0L/min；水嘴水效等级：2级，最大流量：不大于5.0L/min；水嘴节水评价值：2级，最大流量：不大于5.0L/min。</w:t>
            </w:r>
            <w:r>
              <w:rPr>
                <w:rFonts w:hint="eastAsia" w:ascii="仿宋" w:hAnsi="仿宋" w:eastAsia="仿宋" w:cs="仿宋"/>
                <w:color w:val="auto"/>
                <w:kern w:val="0"/>
                <w:sz w:val="20"/>
                <w:szCs w:val="20"/>
                <w:highlight w:val="none"/>
                <w:vertAlign w:val="baseline"/>
                <w:lang w:val="en-US" w:eastAsia="zh-CN" w:bidi="ar"/>
              </w:rPr>
              <w:br w:type="textWrapping"/>
            </w:r>
            <w:r>
              <w:rPr>
                <w:rFonts w:hint="eastAsia" w:ascii="仿宋" w:hAnsi="仿宋" w:eastAsia="仿宋" w:cs="仿宋"/>
                <w:color w:val="auto"/>
                <w:kern w:val="0"/>
                <w:sz w:val="20"/>
                <w:szCs w:val="20"/>
                <w:highlight w:val="none"/>
                <w:vertAlign w:val="baseline"/>
                <w:lang w:val="zh-CN" w:eastAsia="zh-CN" w:bidi="ar"/>
              </w:rPr>
              <w:t>提供</w:t>
            </w:r>
            <w:r>
              <w:rPr>
                <w:rFonts w:hint="eastAsia" w:ascii="仿宋" w:hAnsi="仿宋" w:eastAsia="仿宋" w:cs="仿宋"/>
                <w:i w:val="0"/>
                <w:iCs w:val="0"/>
                <w:color w:val="auto"/>
                <w:kern w:val="0"/>
                <w:sz w:val="20"/>
                <w:szCs w:val="20"/>
                <w:highlight w:val="none"/>
                <w:u w:val="none"/>
                <w:lang w:val="en-US" w:eastAsia="zh-CN" w:bidi="ar"/>
              </w:rPr>
              <w:t>由国家认可的第三方检测机构出具的</w:t>
            </w:r>
            <w:r>
              <w:rPr>
                <w:rFonts w:hint="eastAsia" w:ascii="仿宋" w:hAnsi="仿宋" w:eastAsia="仿宋" w:cs="仿宋"/>
                <w:color w:val="auto"/>
                <w:kern w:val="0"/>
                <w:sz w:val="20"/>
                <w:szCs w:val="20"/>
                <w:highlight w:val="none"/>
                <w:vertAlign w:val="baseline"/>
                <w:lang w:val="zh-CN" w:eastAsia="zh-CN" w:bidi="ar"/>
              </w:rPr>
              <w:t>满足以上技术要求</w:t>
            </w:r>
            <w:r>
              <w:rPr>
                <w:rFonts w:hint="eastAsia" w:ascii="仿宋" w:hAnsi="仿宋" w:eastAsia="仿宋" w:cs="仿宋"/>
                <w:i w:val="0"/>
                <w:iCs w:val="0"/>
                <w:color w:val="auto"/>
                <w:kern w:val="0"/>
                <w:sz w:val="20"/>
                <w:szCs w:val="20"/>
                <w:highlight w:val="none"/>
                <w:u w:val="none"/>
                <w:lang w:val="en-US" w:eastAsia="zh-CN" w:bidi="ar"/>
              </w:rPr>
              <w:t>带有CMA标志的检测报告加盖投标单位公章</w:t>
            </w:r>
            <w:r>
              <w:rPr>
                <w:rFonts w:hint="eastAsia" w:ascii="仿宋" w:hAnsi="仿宋" w:eastAsia="仿宋" w:cs="仿宋"/>
                <w:color w:val="auto"/>
                <w:kern w:val="0"/>
                <w:sz w:val="20"/>
                <w:szCs w:val="20"/>
                <w:highlight w:val="none"/>
                <w:vertAlign w:val="baseline"/>
                <w:lang w:val="zh-CN" w:eastAsia="zh-CN" w:bidi="ar"/>
              </w:rPr>
              <w:t>。</w:t>
            </w:r>
          </w:p>
        </w:tc>
        <w:tc>
          <w:tcPr>
            <w:tcW w:w="771" w:type="dxa"/>
            <w:tcBorders>
              <w:tl2br w:val="nil"/>
              <w:tr2bl w:val="nil"/>
            </w:tcBorders>
            <w:shd w:val="clear" w:color="auto" w:fill="auto"/>
            <w:noWrap w:val="0"/>
            <w:vAlign w:val="center"/>
          </w:tcPr>
          <w:p w14:paraId="30E6165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19D6D61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4013B1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E292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1470" w:type="dxa"/>
            <w:tcBorders>
              <w:tl2br w:val="nil"/>
              <w:tr2bl w:val="nil"/>
            </w:tcBorders>
            <w:shd w:val="clear" w:color="auto" w:fill="auto"/>
            <w:noWrap w:val="0"/>
            <w:vAlign w:val="center"/>
          </w:tcPr>
          <w:p w14:paraId="49CF1A2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防腐水槽</w:t>
            </w:r>
          </w:p>
        </w:tc>
        <w:tc>
          <w:tcPr>
            <w:tcW w:w="1425" w:type="dxa"/>
            <w:tcBorders>
              <w:tl2br w:val="nil"/>
              <w:tr2bl w:val="nil"/>
            </w:tcBorders>
            <w:shd w:val="clear" w:color="auto" w:fill="auto"/>
            <w:noWrap w:val="0"/>
            <w:vAlign w:val="center"/>
          </w:tcPr>
          <w:p w14:paraId="3ABF06F4">
            <w:pPr>
              <w:jc w:val="left"/>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550*450*290mm</w:t>
            </w:r>
          </w:p>
        </w:tc>
        <w:tc>
          <w:tcPr>
            <w:tcW w:w="4740" w:type="dxa"/>
            <w:tcBorders>
              <w:tl2br w:val="nil"/>
              <w:tr2bl w:val="nil"/>
            </w:tcBorders>
            <w:shd w:val="clear" w:color="auto" w:fill="auto"/>
            <w:noWrap w:val="0"/>
            <w:vAlign w:val="center"/>
          </w:tcPr>
          <w:p w14:paraId="4CDC7D2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采用实验室专用高密度PP一体化成型水槽，易清洁，耐腐蚀，且利于台面残水自然回流，美观实用；具耐酸碱、耐有机溶剂、耐紫外线等特点。</w:t>
            </w:r>
          </w:p>
        </w:tc>
        <w:tc>
          <w:tcPr>
            <w:tcW w:w="771" w:type="dxa"/>
            <w:tcBorders>
              <w:tl2br w:val="nil"/>
              <w:tr2bl w:val="nil"/>
            </w:tcBorders>
            <w:shd w:val="clear" w:color="auto" w:fill="auto"/>
            <w:noWrap w:val="0"/>
            <w:vAlign w:val="center"/>
          </w:tcPr>
          <w:p w14:paraId="317AD9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0C0FA2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4FD3D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9FF0F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1470" w:type="dxa"/>
            <w:tcBorders>
              <w:tl2br w:val="nil"/>
              <w:tr2bl w:val="nil"/>
            </w:tcBorders>
            <w:shd w:val="clear" w:color="auto" w:fill="auto"/>
            <w:noWrap w:val="0"/>
            <w:vAlign w:val="center"/>
          </w:tcPr>
          <w:p w14:paraId="33195B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教师实验电源</w:t>
            </w:r>
          </w:p>
        </w:tc>
        <w:tc>
          <w:tcPr>
            <w:tcW w:w="1425" w:type="dxa"/>
            <w:tcBorders>
              <w:tl2br w:val="nil"/>
              <w:tr2bl w:val="nil"/>
            </w:tcBorders>
            <w:shd w:val="clear" w:color="auto" w:fill="auto"/>
            <w:noWrap w:val="0"/>
            <w:vAlign w:val="center"/>
          </w:tcPr>
          <w:p w14:paraId="54CFF270">
            <w:pPr>
              <w:jc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255730F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总电源装置在教师桌组合柜内，抽屉式电源盒设计，内装有教师演示电源，主控学生电源装置。内设有漏电过载自动保护总开关，工作指示灯。</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（1）输入电源：AC220V±10%、频率50Hz；</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（2）工作环境：温度-10℃~+40℃，相对湿度＜85％（25℃）海拔＜4000m；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（3）人身安全保护体系：配备漏电短路保护器做总电源开关，对人身安全和用电设备起到保障作用；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（4）控制面板要求采用7寸液晶屏控制，稳定可靠寿命长。</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（5）市电AC220V/10A（两位五孔国标插座），为其它用电器提供电源；</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（6）直流稳压电源：液晶显示，数字键盘触屏输入，0-30V/2A，电压调整率可达0.1V；</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（7）交流低压电源：液晶显示，数字键盘触屏输入，0-30V/2A，电压调整率为0.1V；</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（8）教师测试用交流高压170V、300V输出；</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（9）教师测试用9V大电流输出；</w:t>
            </w:r>
          </w:p>
        </w:tc>
        <w:tc>
          <w:tcPr>
            <w:tcW w:w="771" w:type="dxa"/>
            <w:tcBorders>
              <w:tl2br w:val="nil"/>
              <w:tr2bl w:val="nil"/>
            </w:tcBorders>
            <w:shd w:val="clear" w:color="auto" w:fill="auto"/>
            <w:noWrap w:val="0"/>
            <w:vAlign w:val="center"/>
          </w:tcPr>
          <w:p w14:paraId="047F19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152661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套</w:t>
            </w:r>
          </w:p>
        </w:tc>
      </w:tr>
      <w:tr w14:paraId="6B2992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F3EF0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1470" w:type="dxa"/>
            <w:tcBorders>
              <w:tl2br w:val="nil"/>
              <w:tr2bl w:val="nil"/>
            </w:tcBorders>
            <w:shd w:val="clear" w:color="auto" w:fill="auto"/>
            <w:noWrap w:val="0"/>
            <w:vAlign w:val="center"/>
          </w:tcPr>
          <w:p w14:paraId="48BD3CF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紧急洗眼器</w:t>
            </w:r>
          </w:p>
        </w:tc>
        <w:tc>
          <w:tcPr>
            <w:tcW w:w="1425" w:type="dxa"/>
            <w:tcBorders>
              <w:tl2br w:val="nil"/>
              <w:tr2bl w:val="nil"/>
            </w:tcBorders>
            <w:shd w:val="clear" w:color="auto" w:fill="auto"/>
            <w:noWrap w:val="0"/>
            <w:vAlign w:val="center"/>
          </w:tcPr>
          <w:p w14:paraId="5612BD47">
            <w:pPr>
              <w:jc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5D77D47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1.主体：</w:t>
            </w:r>
            <w:r>
              <w:rPr>
                <w:rFonts w:hint="eastAsia" w:ascii="仿宋" w:hAnsi="仿宋" w:eastAsia="仿宋" w:cs="仿宋"/>
                <w:color w:val="auto"/>
                <w:kern w:val="0"/>
                <w:sz w:val="20"/>
                <w:szCs w:val="20"/>
                <w:vertAlign w:val="baseline"/>
                <w:lang w:val="en-US" w:eastAsia="zh-CN" w:bidi="ar"/>
              </w:rPr>
              <w:t>加厚铜质,高度240mm；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2.涂层：</w:t>
            </w:r>
            <w:r>
              <w:rPr>
                <w:rFonts w:hint="eastAsia" w:ascii="仿宋" w:hAnsi="仿宋" w:eastAsia="仿宋" w:cs="仿宋"/>
                <w:color w:val="auto"/>
                <w:kern w:val="0"/>
                <w:sz w:val="20"/>
                <w:szCs w:val="20"/>
                <w:vertAlign w:val="baseline"/>
                <w:lang w:val="en-US" w:eastAsia="zh-CN" w:bidi="ar"/>
              </w:rPr>
              <w:t>高亮度超厚电镀层，耐腐蚀、耐热，防紫外线辐射；</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3.洗眼头：</w:t>
            </w:r>
            <w:r>
              <w:rPr>
                <w:rFonts w:hint="eastAsia" w:ascii="仿宋" w:hAnsi="仿宋" w:eastAsia="仿宋" w:cs="仿宋"/>
                <w:color w:val="auto"/>
                <w:kern w:val="0"/>
                <w:sz w:val="20"/>
                <w:szCs w:val="20"/>
                <w:vertAlign w:val="baseline"/>
                <w:lang w:val="en-US" w:eastAsia="zh-CN" w:bidi="ar"/>
              </w:rPr>
              <w:t>模注一体成型，软性橡胶并带有缓冲滤网，出水经缓压处理呈泡沫柱状，可持续均匀柔和,去除水中杂质，避免水束冲伤眼睛流量11.4 升/分钟并维持冲洗至少15分钟；</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4.防尘盖：</w:t>
            </w:r>
            <w:r>
              <w:rPr>
                <w:rFonts w:hint="eastAsia" w:ascii="仿宋" w:hAnsi="仿宋" w:eastAsia="仿宋" w:cs="仿宋"/>
                <w:color w:val="auto"/>
                <w:kern w:val="0"/>
                <w:sz w:val="20"/>
                <w:szCs w:val="20"/>
                <w:vertAlign w:val="baseline"/>
                <w:lang w:val="en-US" w:eastAsia="zh-CN" w:bidi="ar"/>
              </w:rPr>
              <w:t>PP 材质，设置防尘盖,使用时自动被水冲开；</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5.开关：</w:t>
            </w:r>
            <w:r>
              <w:rPr>
                <w:rFonts w:hint="eastAsia" w:ascii="仿宋" w:hAnsi="仿宋" w:eastAsia="仿宋" w:cs="仿宋"/>
                <w:color w:val="auto"/>
                <w:kern w:val="0"/>
                <w:sz w:val="20"/>
                <w:szCs w:val="20"/>
                <w:vertAlign w:val="baseline"/>
                <w:lang w:val="en-US" w:eastAsia="zh-CN" w:bidi="ar"/>
              </w:rPr>
              <w:t>采用杠杆结构，铜质按压阀通过塑料手柄操作，水流在 1 秒钟内快速启动，启闭方便；</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6.控水阀：</w:t>
            </w:r>
            <w:r>
              <w:rPr>
                <w:rFonts w:hint="eastAsia" w:ascii="仿宋" w:hAnsi="仿宋" w:eastAsia="仿宋" w:cs="仿宋"/>
                <w:color w:val="auto"/>
                <w:kern w:val="0"/>
                <w:sz w:val="20"/>
                <w:szCs w:val="20"/>
                <w:vertAlign w:val="baseline"/>
                <w:lang w:val="en-US" w:eastAsia="zh-CN" w:bidi="ar"/>
              </w:rPr>
              <w:t>止逆阀，其阀门可自动关闭；</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7.软管：</w:t>
            </w:r>
            <w:r>
              <w:rPr>
                <w:rFonts w:hint="eastAsia" w:ascii="仿宋" w:hAnsi="仿宋" w:eastAsia="仿宋" w:cs="仿宋"/>
                <w:color w:val="auto"/>
                <w:kern w:val="0"/>
                <w:sz w:val="20"/>
                <w:szCs w:val="20"/>
                <w:vertAlign w:val="baseline"/>
                <w:lang w:val="en-US" w:eastAsia="zh-CN" w:bidi="ar"/>
              </w:rPr>
              <w:t>供水软管长度 1.4 米，软性 PVC 管外覆不锈钢网,外层包裹PE管，有效防止生锈、磨损、划手。</w:t>
            </w:r>
          </w:p>
        </w:tc>
        <w:tc>
          <w:tcPr>
            <w:tcW w:w="771" w:type="dxa"/>
            <w:tcBorders>
              <w:tl2br w:val="nil"/>
              <w:tr2bl w:val="nil"/>
            </w:tcBorders>
            <w:shd w:val="clear" w:color="auto" w:fill="auto"/>
            <w:noWrap w:val="0"/>
            <w:vAlign w:val="center"/>
          </w:tcPr>
          <w:p w14:paraId="0AD646D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4BD25F3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套</w:t>
            </w:r>
          </w:p>
        </w:tc>
      </w:tr>
      <w:tr w14:paraId="5F1945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C2CB6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w:t>
            </w:r>
          </w:p>
        </w:tc>
        <w:tc>
          <w:tcPr>
            <w:tcW w:w="1470" w:type="dxa"/>
            <w:tcBorders>
              <w:tl2br w:val="nil"/>
              <w:tr2bl w:val="nil"/>
            </w:tcBorders>
            <w:shd w:val="clear" w:color="auto" w:fill="auto"/>
            <w:noWrap w:val="0"/>
            <w:vAlign w:val="center"/>
          </w:tcPr>
          <w:p w14:paraId="5D51B6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学生实验桌</w:t>
            </w:r>
          </w:p>
        </w:tc>
        <w:tc>
          <w:tcPr>
            <w:tcW w:w="1425" w:type="dxa"/>
            <w:tcBorders>
              <w:tl2br w:val="nil"/>
              <w:tr2bl w:val="nil"/>
            </w:tcBorders>
            <w:shd w:val="clear" w:color="auto" w:fill="auto"/>
            <w:noWrap w:val="0"/>
            <w:vAlign w:val="center"/>
          </w:tcPr>
          <w:p w14:paraId="1272C6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1200*600*780mm</w:t>
            </w:r>
          </w:p>
        </w:tc>
        <w:tc>
          <w:tcPr>
            <w:tcW w:w="4740" w:type="dxa"/>
            <w:tcBorders>
              <w:tl2br w:val="nil"/>
              <w:tr2bl w:val="nil"/>
            </w:tcBorders>
            <w:shd w:val="clear" w:color="auto" w:fill="auto"/>
            <w:noWrap w:val="0"/>
            <w:vAlign w:val="center"/>
          </w:tcPr>
          <w:p w14:paraId="35A77AD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highlight w:val="none"/>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1.台面：</w:t>
            </w:r>
            <w:r>
              <w:rPr>
                <w:rFonts w:hint="eastAsia" w:ascii="仿宋" w:hAnsi="仿宋" w:eastAsia="仿宋" w:cs="仿宋"/>
                <w:color w:val="auto"/>
                <w:kern w:val="0"/>
                <w:sz w:val="20"/>
                <w:szCs w:val="20"/>
                <w:vertAlign w:val="baseline"/>
                <w:lang w:val="en-US" w:eastAsia="zh-CN" w:bidi="ar"/>
              </w:rPr>
              <w:t>采用12.7mm厚双面理化膜实芯理化板。台面需倒圆边，经机械打磨，表面光滑平整，需具有耐强酸碱、防腐蚀、防静电、耐辐射、耐磨、抗污染、易清洁、耐冲击、耐高温、防水、防火等特点。理化板台面需满足以下性能指标</w:t>
            </w:r>
            <w:r>
              <w:rPr>
                <w:rFonts w:hint="eastAsia" w:ascii="仿宋" w:hAnsi="仿宋" w:eastAsia="仿宋" w:cs="仿宋"/>
                <w:color w:val="auto"/>
                <w:kern w:val="0"/>
                <w:sz w:val="20"/>
                <w:szCs w:val="20"/>
                <w:highlight w:val="none"/>
                <w:vertAlign w:val="baseline"/>
                <w:lang w:val="en-US" w:eastAsia="zh-CN" w:bidi="ar"/>
              </w:rPr>
              <w:t>（</w:t>
            </w:r>
            <w:r>
              <w:rPr>
                <w:rFonts w:hint="eastAsia" w:ascii="仿宋" w:hAnsi="仿宋" w:eastAsia="仿宋" w:cs="仿宋"/>
                <w:color w:val="auto"/>
                <w:kern w:val="0"/>
                <w:sz w:val="20"/>
                <w:szCs w:val="20"/>
                <w:highlight w:val="none"/>
                <w:vertAlign w:val="baseline"/>
                <w:lang w:val="zh-CN" w:eastAsia="zh-CN" w:bidi="ar"/>
              </w:rPr>
              <w:t>需提供</w:t>
            </w:r>
            <w:r>
              <w:rPr>
                <w:rFonts w:hint="eastAsia" w:ascii="仿宋" w:hAnsi="仿宋" w:eastAsia="仿宋" w:cs="仿宋"/>
                <w:i w:val="0"/>
                <w:iCs w:val="0"/>
                <w:color w:val="auto"/>
                <w:kern w:val="0"/>
                <w:sz w:val="21"/>
                <w:szCs w:val="21"/>
                <w:highlight w:val="none"/>
                <w:u w:val="none"/>
                <w:lang w:val="en-US" w:eastAsia="zh-CN" w:bidi="ar"/>
              </w:rPr>
              <w:t>由国家认可的第三方检测机构出具</w:t>
            </w:r>
            <w:r>
              <w:rPr>
                <w:rFonts w:hint="eastAsia" w:ascii="仿宋" w:hAnsi="仿宋" w:eastAsia="仿宋" w:cs="仿宋"/>
                <w:i w:val="0"/>
                <w:iCs w:val="0"/>
                <w:color w:val="auto"/>
                <w:kern w:val="0"/>
                <w:sz w:val="20"/>
                <w:szCs w:val="20"/>
                <w:highlight w:val="none"/>
                <w:u w:val="none"/>
                <w:lang w:val="en-US" w:eastAsia="zh-CN" w:bidi="ar"/>
              </w:rPr>
              <w:t>的</w:t>
            </w:r>
            <w:r>
              <w:rPr>
                <w:rFonts w:hint="eastAsia" w:ascii="仿宋" w:hAnsi="仿宋" w:eastAsia="仿宋" w:cs="仿宋"/>
                <w:color w:val="auto"/>
                <w:kern w:val="0"/>
                <w:sz w:val="20"/>
                <w:szCs w:val="20"/>
                <w:highlight w:val="none"/>
                <w:vertAlign w:val="baseline"/>
                <w:lang w:val="zh-CN" w:eastAsia="zh-CN" w:bidi="ar"/>
              </w:rPr>
              <w:t>满足下述台面性能指标</w:t>
            </w:r>
            <w:r>
              <w:rPr>
                <w:rFonts w:hint="eastAsia" w:ascii="仿宋" w:hAnsi="仿宋" w:eastAsia="仿宋" w:cs="仿宋"/>
                <w:i w:val="0"/>
                <w:iCs w:val="0"/>
                <w:color w:val="auto"/>
                <w:kern w:val="0"/>
                <w:sz w:val="20"/>
                <w:szCs w:val="20"/>
                <w:highlight w:val="none"/>
                <w:u w:val="none"/>
                <w:lang w:val="en-US" w:eastAsia="zh-CN" w:bidi="ar"/>
              </w:rPr>
              <w:t>带有CMA标志的检测报告加盖投标单位公章</w:t>
            </w:r>
            <w:r>
              <w:rPr>
                <w:rFonts w:hint="eastAsia" w:ascii="仿宋" w:hAnsi="仿宋" w:eastAsia="仿宋" w:cs="仿宋"/>
                <w:color w:val="auto"/>
                <w:kern w:val="0"/>
                <w:sz w:val="20"/>
                <w:szCs w:val="20"/>
                <w:highlight w:val="none"/>
                <w:vertAlign w:val="baseline"/>
                <w:lang w:val="en-US" w:eastAsia="zh-CN" w:bidi="ar"/>
              </w:rPr>
              <w:t>）：</w:t>
            </w:r>
          </w:p>
          <w:p w14:paraId="2255208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★A.按照GB/T 17657-2022标准对台面板正反两面进行检验，其中77%硫酸、硝酸（65%）、乙酸(99%)、氢氟酸（48%）、双氧水(3%)、无水乙醇、水杨酸、碘伏、亚甲基蓝(5%)、乙腈、无水甲醇、正己烷、三氯乙酸等不少于140种溶液或试剂检验结果达到5级并无明显变化。</w:t>
            </w:r>
          </w:p>
          <w:p w14:paraId="662F668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★B.依据JC/T 2039-2010标准检测板材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等不少于15种的菌种抗菌率＞99.99%。</w:t>
            </w:r>
          </w:p>
          <w:p w14:paraId="0D80786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★C.环保检测：甲醛释放量按照GB/T 39600-2021《人造板及其制品甲醛释放量分级》标准检测，满足技术E0级，检验结果为≤0.005mg/m³。</w:t>
            </w:r>
          </w:p>
          <w:p w14:paraId="58807D5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★D.依据JC/T 2039-2010标准检测板材抗霉菌性能：黑曲霉、土曲霉、宛氏拟青霉、绳状青霉、出芽短梗霉、球毛壳、长枝木霉等7种的霉菌检测长霉等级≤0级。</w:t>
            </w:r>
          </w:p>
          <w:p w14:paraId="5A3ADA0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2.桌身：</w:t>
            </w:r>
            <w:r>
              <w:rPr>
                <w:rFonts w:hint="eastAsia" w:ascii="仿宋" w:hAnsi="仿宋" w:eastAsia="仿宋" w:cs="仿宋"/>
                <w:color w:val="auto"/>
                <w:kern w:val="0"/>
                <w:sz w:val="20"/>
                <w:szCs w:val="20"/>
                <w:vertAlign w:val="baseline"/>
                <w:lang w:val="en-US" w:eastAsia="zh-CN" w:bidi="ar"/>
              </w:rPr>
              <w:t>立柱采用铝合金拉伸椭圆管设计，铝型材立柱≥90*42*1.0mm，笔直支撑，嵌入上下铸铝脚内；铸铝脚采用压铸成型，上桌脚≥579*57*95*2.5mm，下桌脚≥528*57*95*2.5mm；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p>
          <w:p w14:paraId="0CB9BEB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3.书包斗：</w:t>
            </w:r>
            <w:r>
              <w:rPr>
                <w:rFonts w:hint="eastAsia" w:ascii="仿宋" w:hAnsi="仿宋" w:eastAsia="仿宋" w:cs="仿宋"/>
                <w:color w:val="auto"/>
                <w:kern w:val="0"/>
                <w:sz w:val="20"/>
                <w:szCs w:val="20"/>
                <w:vertAlign w:val="baseline"/>
                <w:lang w:val="en-US" w:eastAsia="zh-CN" w:bidi="ar"/>
              </w:rPr>
              <w:t>采用ABS注塑一体注塑成型，整体尺寸≥400*300*128mm，镂空设计，便于清理，前端设置挂凳卡口，方便教室地面卫生清洁。</w:t>
            </w:r>
          </w:p>
          <w:p w14:paraId="64C87DB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4.桌脚：配有可调整底脚，设置专用孔位可与地面固定，配有≥178*50*2.5mm的ABS脚套装饰盖。</w:t>
            </w:r>
          </w:p>
          <w:p w14:paraId="443DCD8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★5.学生实验桌技术性能需满足GB/T 9286-2021 《色漆和清漆 划格试验》及GB/T 10125-2021 《人造气氛腐蚀试验 盐雾试验》，中性盐雾试验不小于10级，附着力不小于2级。</w:t>
            </w:r>
          </w:p>
          <w:p w14:paraId="6515556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提供</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由国家认可的</w:t>
            </w:r>
            <w:r>
              <w:rPr>
                <w:rFonts w:hint="eastAsia" w:ascii="仿宋" w:hAnsi="仿宋" w:eastAsia="仿宋" w:cs="仿宋"/>
                <w:i w:val="0"/>
                <w:iCs w:val="0"/>
                <w:color w:val="auto"/>
                <w:kern w:val="0"/>
                <w:sz w:val="20"/>
                <w:szCs w:val="20"/>
                <w:highlight w:val="none"/>
                <w:u w:val="none"/>
                <w:lang w:val="en-US" w:eastAsia="zh-CN" w:bidi="ar"/>
              </w:rPr>
              <w:t>第三方检测机构出具的</w:t>
            </w:r>
            <w:r>
              <w:rPr>
                <w:rFonts w:hint="eastAsia" w:ascii="仿宋" w:hAnsi="仿宋" w:eastAsia="仿宋" w:cs="仿宋"/>
                <w:color w:val="auto"/>
                <w:kern w:val="0"/>
                <w:sz w:val="20"/>
                <w:szCs w:val="20"/>
                <w:highlight w:val="none"/>
                <w:vertAlign w:val="baseline"/>
                <w:lang w:val="zh-CN" w:eastAsia="zh-CN" w:bidi="ar"/>
              </w:rPr>
              <w:t>满足以上技术要求</w:t>
            </w:r>
            <w:r>
              <w:rPr>
                <w:rFonts w:hint="eastAsia" w:ascii="仿宋" w:hAnsi="仿宋" w:eastAsia="仿宋" w:cs="仿宋"/>
                <w:i w:val="0"/>
                <w:iCs w:val="0"/>
                <w:color w:val="auto"/>
                <w:kern w:val="0"/>
                <w:sz w:val="20"/>
                <w:szCs w:val="20"/>
                <w:highlight w:val="none"/>
                <w:u w:val="none"/>
                <w:lang w:val="en-US" w:eastAsia="zh-CN" w:bidi="ar"/>
              </w:rPr>
              <w:t>带有CMA标志的检测报告加盖投标单位公章</w:t>
            </w:r>
            <w:r>
              <w:rPr>
                <w:rFonts w:hint="eastAsia" w:ascii="仿宋" w:hAnsi="仿宋" w:eastAsia="仿宋" w:cs="仿宋"/>
                <w:color w:val="auto"/>
                <w:kern w:val="0"/>
                <w:sz w:val="20"/>
                <w:szCs w:val="20"/>
                <w:highlight w:val="none"/>
                <w:vertAlign w:val="baseline"/>
                <w:lang w:val="zh-CN" w:eastAsia="zh-CN" w:bidi="ar"/>
              </w:rPr>
              <w:t>。</w:t>
            </w:r>
          </w:p>
        </w:tc>
        <w:tc>
          <w:tcPr>
            <w:tcW w:w="771" w:type="dxa"/>
            <w:tcBorders>
              <w:tl2br w:val="nil"/>
              <w:tr2bl w:val="nil"/>
            </w:tcBorders>
            <w:shd w:val="clear" w:color="auto" w:fill="auto"/>
            <w:noWrap w:val="0"/>
            <w:vAlign w:val="center"/>
          </w:tcPr>
          <w:p w14:paraId="648857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w:t>
            </w:r>
          </w:p>
        </w:tc>
        <w:tc>
          <w:tcPr>
            <w:tcW w:w="772" w:type="dxa"/>
            <w:tcBorders>
              <w:tl2br w:val="nil"/>
              <w:tr2bl w:val="nil"/>
            </w:tcBorders>
            <w:shd w:val="clear" w:color="auto" w:fill="auto"/>
            <w:noWrap w:val="0"/>
            <w:vAlign w:val="center"/>
          </w:tcPr>
          <w:p w14:paraId="34EE581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张</w:t>
            </w:r>
          </w:p>
        </w:tc>
      </w:tr>
      <w:tr w14:paraId="150A1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6747D8A">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470" w:type="dxa"/>
            <w:tcBorders>
              <w:tl2br w:val="nil"/>
              <w:tr2bl w:val="nil"/>
            </w:tcBorders>
            <w:shd w:val="clear" w:color="auto" w:fill="auto"/>
            <w:noWrap w:val="0"/>
            <w:vAlign w:val="center"/>
          </w:tcPr>
          <w:p w14:paraId="52136F9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实验操作台</w:t>
            </w:r>
          </w:p>
        </w:tc>
        <w:tc>
          <w:tcPr>
            <w:tcW w:w="1425" w:type="dxa"/>
            <w:tcBorders>
              <w:tl2br w:val="nil"/>
              <w:tr2bl w:val="nil"/>
            </w:tcBorders>
            <w:shd w:val="clear" w:color="auto" w:fill="auto"/>
            <w:noWrap w:val="0"/>
            <w:vAlign w:val="center"/>
          </w:tcPr>
          <w:p w14:paraId="6C0EAB61">
            <w:pPr>
              <w:jc w:val="left"/>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正六边形，单边800mm高780mm;</w:t>
            </w:r>
          </w:p>
        </w:tc>
        <w:tc>
          <w:tcPr>
            <w:tcW w:w="4740" w:type="dxa"/>
            <w:tcBorders>
              <w:tl2br w:val="nil"/>
              <w:tr2bl w:val="nil"/>
            </w:tcBorders>
            <w:shd w:val="clear" w:color="auto" w:fill="auto"/>
            <w:noWrap w:val="0"/>
            <w:vAlign w:val="center"/>
          </w:tcPr>
          <w:p w14:paraId="38AC95A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1.材质：抗倍特板+优质钢架;</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2.工艺：材质采用抗倍特一体成型。耐80度以上高温。防水：浸水24小时后的膨胀指数不多于0.1mm，面板四周采CNC修边，四周倒角，圆润光滑无任何毛边。桌架：30*60*1.5mm，横梁: 30*50*1.35 mm，铝压铸接头，优质钢架，满焊焊接而成，表面采用高温粉体烤漆，耐腐蚀，不易生锈；</w:t>
            </w:r>
          </w:p>
        </w:tc>
        <w:tc>
          <w:tcPr>
            <w:tcW w:w="771" w:type="dxa"/>
            <w:tcBorders>
              <w:tl2br w:val="nil"/>
              <w:tr2bl w:val="nil"/>
            </w:tcBorders>
            <w:shd w:val="clear" w:color="auto" w:fill="auto"/>
            <w:noWrap w:val="0"/>
            <w:vAlign w:val="center"/>
          </w:tcPr>
          <w:p w14:paraId="3A23C9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8</w:t>
            </w:r>
          </w:p>
        </w:tc>
        <w:tc>
          <w:tcPr>
            <w:tcW w:w="772" w:type="dxa"/>
            <w:tcBorders>
              <w:tl2br w:val="nil"/>
              <w:tr2bl w:val="nil"/>
            </w:tcBorders>
            <w:shd w:val="clear" w:color="auto" w:fill="auto"/>
            <w:noWrap w:val="0"/>
            <w:vAlign w:val="center"/>
          </w:tcPr>
          <w:p w14:paraId="07AA8B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组</w:t>
            </w:r>
          </w:p>
        </w:tc>
      </w:tr>
      <w:tr w14:paraId="7709C8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826C8E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1470" w:type="dxa"/>
            <w:tcBorders>
              <w:tl2br w:val="nil"/>
              <w:tr2bl w:val="nil"/>
            </w:tcBorders>
            <w:shd w:val="clear" w:color="auto" w:fill="auto"/>
            <w:noWrap w:val="0"/>
            <w:vAlign w:val="center"/>
          </w:tcPr>
          <w:p w14:paraId="277BE77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学生凳（圆凳）</w:t>
            </w:r>
          </w:p>
        </w:tc>
        <w:tc>
          <w:tcPr>
            <w:tcW w:w="1425" w:type="dxa"/>
            <w:tcBorders>
              <w:tl2br w:val="nil"/>
              <w:tr2bl w:val="nil"/>
            </w:tcBorders>
            <w:shd w:val="clear" w:color="auto" w:fill="auto"/>
            <w:noWrap w:val="0"/>
            <w:vAlign w:val="center"/>
          </w:tcPr>
          <w:p w14:paraId="70EFB9F9">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vertAlign w:val="baseline"/>
                <w:lang w:val="en-US" w:eastAsia="zh-CN" w:bidi="ar"/>
              </w:rPr>
              <w:t>凳面ф300*25mm，整体高度400-540mm（高度可调）</w:t>
            </w:r>
          </w:p>
        </w:tc>
        <w:tc>
          <w:tcPr>
            <w:tcW w:w="4740" w:type="dxa"/>
            <w:tcBorders>
              <w:tl2br w:val="nil"/>
              <w:tr2bl w:val="nil"/>
            </w:tcBorders>
            <w:shd w:val="clear" w:color="auto" w:fill="auto"/>
            <w:noWrap w:val="0"/>
            <w:vAlign w:val="center"/>
          </w:tcPr>
          <w:p w14:paraId="7BDE268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技术参数：凳面采用30mm厚聚丙烯一体注塑成型，接触面为皮纹处理，采用曲面设计增加接触面积，符合人体工程学增强坐感舒适度；学生凳选用优质气杆，与凳面连接处安装加宽加强防爆机构，气杆防尘套聚丙烯一体注塑成型表面磨砂处理；支架选用五星脚，可悬挂于实验桌上，不占用空间面积，五星脚采用不锈钢亮面处理，具有结构牢固、耐酸碱腐蚀等特点。</w:t>
            </w:r>
          </w:p>
        </w:tc>
        <w:tc>
          <w:tcPr>
            <w:tcW w:w="771" w:type="dxa"/>
            <w:tcBorders>
              <w:tl2br w:val="nil"/>
              <w:tr2bl w:val="nil"/>
            </w:tcBorders>
            <w:shd w:val="clear" w:color="auto" w:fill="auto"/>
            <w:noWrap w:val="0"/>
            <w:vAlign w:val="center"/>
          </w:tcPr>
          <w:p w14:paraId="437D23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48</w:t>
            </w:r>
          </w:p>
        </w:tc>
        <w:tc>
          <w:tcPr>
            <w:tcW w:w="772" w:type="dxa"/>
            <w:tcBorders>
              <w:tl2br w:val="nil"/>
              <w:tr2bl w:val="nil"/>
            </w:tcBorders>
            <w:shd w:val="clear" w:color="auto" w:fill="auto"/>
            <w:noWrap w:val="0"/>
            <w:vAlign w:val="center"/>
          </w:tcPr>
          <w:p w14:paraId="15DE205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E3748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61657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w:t>
            </w:r>
          </w:p>
        </w:tc>
        <w:tc>
          <w:tcPr>
            <w:tcW w:w="1470" w:type="dxa"/>
            <w:tcBorders>
              <w:tl2br w:val="nil"/>
              <w:tr2bl w:val="nil"/>
            </w:tcBorders>
            <w:shd w:val="clear" w:color="auto" w:fill="auto"/>
            <w:noWrap w:val="0"/>
            <w:vAlign w:val="center"/>
          </w:tcPr>
          <w:p w14:paraId="0E7A9602">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仪器柜</w:t>
            </w:r>
          </w:p>
        </w:tc>
        <w:tc>
          <w:tcPr>
            <w:tcW w:w="1425" w:type="dxa"/>
            <w:tcBorders>
              <w:tl2br w:val="nil"/>
              <w:tr2bl w:val="nil"/>
            </w:tcBorders>
            <w:shd w:val="clear" w:color="auto" w:fill="auto"/>
            <w:noWrap w:val="0"/>
            <w:vAlign w:val="center"/>
          </w:tcPr>
          <w:p w14:paraId="33271E3E">
            <w:pPr>
              <w:jc w:val="left"/>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1000*500*2000mm</w:t>
            </w:r>
          </w:p>
        </w:tc>
        <w:tc>
          <w:tcPr>
            <w:tcW w:w="4740" w:type="dxa"/>
            <w:tcBorders>
              <w:tl2br w:val="nil"/>
              <w:tr2bl w:val="nil"/>
            </w:tcBorders>
            <w:shd w:val="clear" w:color="auto" w:fill="auto"/>
            <w:noWrap w:val="0"/>
            <w:vAlign w:val="center"/>
          </w:tcPr>
          <w:p w14:paraId="790BE30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b/>
                <w:bCs/>
                <w:color w:val="auto"/>
                <w:kern w:val="0"/>
                <w:sz w:val="20"/>
                <w:szCs w:val="20"/>
                <w:vertAlign w:val="baseline"/>
                <w:lang w:val="en-US" w:eastAsia="zh-CN" w:bidi="ar"/>
              </w:rPr>
              <w:t>1.柜体框架：</w:t>
            </w:r>
            <w:r>
              <w:rPr>
                <w:rFonts w:hint="eastAsia" w:ascii="仿宋" w:hAnsi="仿宋" w:eastAsia="仿宋" w:cs="仿宋"/>
                <w:color w:val="auto"/>
                <w:kern w:val="0"/>
                <w:sz w:val="20"/>
                <w:szCs w:val="20"/>
                <w:vertAlign w:val="baseline"/>
                <w:lang w:val="en-US" w:eastAsia="zh-CN" w:bidi="ar"/>
              </w:rPr>
              <w:t>采用模具成型的专用铝合金方管制作，铝合金之间的连接采用ABS实芯连接件，保证连接牢固。铝合金型材带凹槽，凹槽的宽度与柜体衬板相匹配，凹槽的深度足够，保证柜体衬板与铝型材之间接缝严密，无晃动现象，不发生脱落。铝合金型材表面需经静电粉沫喷涂处理，整体耐腐蚀、防火、防潮、稳固耐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2.柜体衬板：</w:t>
            </w:r>
            <w:r>
              <w:rPr>
                <w:rFonts w:hint="eastAsia" w:ascii="仿宋" w:hAnsi="仿宋" w:eastAsia="仿宋" w:cs="仿宋"/>
                <w:color w:val="auto"/>
                <w:kern w:val="0"/>
                <w:sz w:val="20"/>
                <w:szCs w:val="20"/>
                <w:vertAlign w:val="baseline"/>
                <w:lang w:val="en-US" w:eastAsia="zh-CN" w:bidi="ar"/>
              </w:rPr>
              <w:t>采用16mm厚优质三聚氰胺防潮双贴面板，(基板为E1级环保板)；所有截面都采用自动封边机选用优质PVC封边，粘力强、密封性好、外形美观、经久耐用。组装接缝严密，连接牢固，无松动现象。</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3.柜门：</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上部为专用木框对开玻璃门，下部为对开木门。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4.隔板：</w:t>
            </w:r>
            <w:r>
              <w:rPr>
                <w:rFonts w:hint="eastAsia" w:ascii="仿宋" w:hAnsi="仿宋" w:eastAsia="仿宋" w:cs="仿宋"/>
                <w:color w:val="auto"/>
                <w:kern w:val="0"/>
                <w:sz w:val="20"/>
                <w:szCs w:val="20"/>
                <w:vertAlign w:val="baseline"/>
                <w:lang w:val="en-US" w:eastAsia="zh-CN" w:bidi="ar"/>
              </w:rPr>
              <w:t>上柜设置2块隔板，下柜设置1块隔板。隔板所用的板材与柜体板材相同，厚度不小于16mm。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b/>
                <w:bCs/>
                <w:color w:val="auto"/>
                <w:kern w:val="0"/>
                <w:sz w:val="20"/>
                <w:szCs w:val="20"/>
                <w:vertAlign w:val="baseline"/>
                <w:lang w:val="en-US" w:eastAsia="zh-CN" w:bidi="ar"/>
              </w:rPr>
              <w:t>5.支脚：</w:t>
            </w:r>
            <w:r>
              <w:rPr>
                <w:rFonts w:hint="eastAsia" w:ascii="仿宋" w:hAnsi="仿宋" w:eastAsia="仿宋" w:cs="仿宋"/>
                <w:color w:val="auto"/>
                <w:kern w:val="0"/>
                <w:sz w:val="20"/>
                <w:szCs w:val="20"/>
                <w:vertAlign w:val="baseline"/>
                <w:lang w:val="en-US" w:eastAsia="zh-CN" w:bidi="ar"/>
              </w:rPr>
              <w:t>采用ABS工程塑料一次注塑成型的脚垫。</w:t>
            </w:r>
          </w:p>
        </w:tc>
        <w:tc>
          <w:tcPr>
            <w:tcW w:w="771" w:type="dxa"/>
            <w:tcBorders>
              <w:tl2br w:val="nil"/>
              <w:tr2bl w:val="nil"/>
            </w:tcBorders>
            <w:shd w:val="clear" w:color="auto" w:fill="auto"/>
            <w:noWrap w:val="0"/>
            <w:vAlign w:val="center"/>
          </w:tcPr>
          <w:p w14:paraId="587C914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shd w:val="clear" w:color="auto" w:fill="auto"/>
            <w:noWrap w:val="0"/>
            <w:vAlign w:val="center"/>
          </w:tcPr>
          <w:p w14:paraId="1BA441F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E7BBE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1282E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c>
          <w:tcPr>
            <w:tcW w:w="1470" w:type="dxa"/>
            <w:tcBorders>
              <w:tl2br w:val="nil"/>
              <w:tr2bl w:val="nil"/>
            </w:tcBorders>
            <w:shd w:val="clear" w:color="auto" w:fill="auto"/>
            <w:noWrap w:val="0"/>
            <w:vAlign w:val="center"/>
          </w:tcPr>
          <w:p w14:paraId="24A5616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智能控制平台</w:t>
            </w:r>
          </w:p>
        </w:tc>
        <w:tc>
          <w:tcPr>
            <w:tcW w:w="1425" w:type="dxa"/>
            <w:tcBorders>
              <w:tl2br w:val="nil"/>
              <w:tr2bl w:val="nil"/>
            </w:tcBorders>
            <w:shd w:val="clear" w:color="auto" w:fill="auto"/>
            <w:noWrap w:val="0"/>
            <w:vAlign w:val="center"/>
          </w:tcPr>
          <w:p w14:paraId="28A299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4B5CDA5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1.通风控制系统：无极变频控制，可精确控制通风风量；</w:t>
            </w:r>
          </w:p>
          <w:p w14:paraId="793E54A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2.供水控制系统：集中控制整个教室的给排水；</w:t>
            </w:r>
          </w:p>
          <w:p w14:paraId="16CC01C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3.照明控制系统：集中控制整个舱体照明；</w:t>
            </w:r>
          </w:p>
          <w:p w14:paraId="5C2C177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4.电源控制系统：可控制学生端220v电源输出与关闭，也可控制学生端低压电源的锁定与受控，调节范围为1～30V，分辨率可达0.1V,最小调节单元可达1V。</w:t>
            </w:r>
          </w:p>
          <w:p w14:paraId="525D777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5.摇臂控制系统：可实现摆臂升降功能；</w:t>
            </w:r>
          </w:p>
          <w:p w14:paraId="0B351C9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6.可在线注册，注销用户，修改密码；</w:t>
            </w:r>
          </w:p>
          <w:p w14:paraId="35B73FC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7.实时监测显示教室空气温度、湿度；</w:t>
            </w:r>
          </w:p>
          <w:p w14:paraId="0660F5A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8.实时监测吊装运行状态，故障报警；</w:t>
            </w:r>
          </w:p>
          <w:p w14:paraId="22825B8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9.软件可通过网络升级；</w:t>
            </w:r>
          </w:p>
          <w:p w14:paraId="5F732F5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10.系统可同步到其他安装有智能控制平台APP的移动终端，如安卓平板、手机等同时操作；</w:t>
            </w:r>
          </w:p>
        </w:tc>
        <w:tc>
          <w:tcPr>
            <w:tcW w:w="771" w:type="dxa"/>
            <w:tcBorders>
              <w:tl2br w:val="nil"/>
              <w:tr2bl w:val="nil"/>
            </w:tcBorders>
            <w:shd w:val="clear" w:color="auto" w:fill="auto"/>
            <w:noWrap w:val="0"/>
            <w:vAlign w:val="center"/>
          </w:tcPr>
          <w:p w14:paraId="211010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43D4CA6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C3D2A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3FF416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w:t>
            </w:r>
          </w:p>
        </w:tc>
        <w:tc>
          <w:tcPr>
            <w:tcW w:w="1470" w:type="dxa"/>
            <w:tcBorders>
              <w:tl2br w:val="nil"/>
              <w:tr2bl w:val="nil"/>
            </w:tcBorders>
            <w:shd w:val="clear" w:color="auto" w:fill="auto"/>
            <w:noWrap w:val="0"/>
            <w:vAlign w:val="center"/>
          </w:tcPr>
          <w:p w14:paraId="258E22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无线终端控制系统</w:t>
            </w:r>
          </w:p>
        </w:tc>
        <w:tc>
          <w:tcPr>
            <w:tcW w:w="1425" w:type="dxa"/>
            <w:tcBorders>
              <w:tl2br w:val="nil"/>
              <w:tr2bl w:val="nil"/>
            </w:tcBorders>
            <w:shd w:val="clear" w:color="auto" w:fill="auto"/>
            <w:noWrap w:val="0"/>
            <w:vAlign w:val="center"/>
          </w:tcPr>
          <w:p w14:paraId="77A733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6D4D992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1.硬件：屏幕不小于10英寸、安卓系统。</w:t>
            </w:r>
          </w:p>
          <w:p w14:paraId="6A5BCF3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2.通风控制系统：无极变频控制，可精确控制通风风量；</w:t>
            </w:r>
          </w:p>
          <w:p w14:paraId="5290DC1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3.供水控制系统：集中控制整个教室的给排水，可进行单选、全选、及分组控制；</w:t>
            </w:r>
          </w:p>
          <w:p w14:paraId="7CA9C77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4.照明控制系统：集中控制整个舱体照明，可进行单选、全选及分组控制；</w:t>
            </w:r>
          </w:p>
          <w:p w14:paraId="4B0B6AD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5.电源控制系统：可控制学生端220v电源输出与关闭，也可控制学生端低压电源的锁定与受控，调节范围为0～30V，分辨率可达0.1V,额定电流2A； 最小调节单元可达1V。</w:t>
            </w:r>
          </w:p>
          <w:p w14:paraId="068B9D2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6.摇臂控制系统：可以实现单个控制、集中控制、组合控制；</w:t>
            </w:r>
          </w:p>
          <w:p w14:paraId="38B1972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7.可在线注册，注销用户，修改密码；</w:t>
            </w:r>
          </w:p>
          <w:p w14:paraId="361465B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8.实时监测显示教室空气温度、湿度；</w:t>
            </w:r>
          </w:p>
          <w:p w14:paraId="788FF23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9.实时监测顶装运行状态，故障报警；</w:t>
            </w:r>
          </w:p>
          <w:p w14:paraId="062EDDF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10.软件可通过网络升级；</w:t>
            </w:r>
          </w:p>
          <w:p w14:paraId="502190E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0"/>
                <w:szCs w:val="20"/>
                <w:highlight w:val="none"/>
                <w:u w:val="none"/>
                <w:lang w:val="en-US" w:eastAsia="zh-CN" w:bidi="ar"/>
                <w14:textFill>
                  <w14:solidFill>
                    <w14:schemeClr w14:val="tx1"/>
                  </w14:solidFill>
                </w14:textFill>
              </w:rPr>
              <w:t>★11.拓展功能：内置10种传感器，包括声音、气压、心率、GPS、温度、湿度、加速度、光照、声音、UVI紫外线。内置传感器集成固化在一体化平板内部，通过位于一体化平板边缘的固定感应装置即可进行采集数据，无需另外插接其它任何配件。并通过内置的软件进行数据分析和探究活动。可兼容60种外部传感器，可同时连接四种外置传感器，同时采集四种数据。</w:t>
            </w:r>
          </w:p>
          <w:p w14:paraId="1E2CF3FE">
            <w:pPr>
              <w:pStyle w:val="5"/>
              <w:keepNext w:val="0"/>
              <w:keepLines w:val="0"/>
              <w:pageBreakBefore w:val="0"/>
              <w:widowControl w:val="0"/>
              <w:kinsoku/>
              <w:wordWrap/>
              <w:overflowPunct/>
              <w:topLinePunct w:val="0"/>
              <w:autoSpaceDE w:val="0"/>
              <w:autoSpaceDN w:val="0"/>
              <w:bidi w:val="0"/>
              <w:adjustRightInd/>
              <w:snapToGrid/>
              <w:spacing w:before="0"/>
              <w:ind w:right="0"/>
              <w:jc w:val="both"/>
              <w:textAlignment w:val="auto"/>
              <w:rPr>
                <w:rFonts w:hint="eastAsia"/>
                <w:lang w:val="en-US" w:eastAsia="zh-CN"/>
              </w:rPr>
            </w:pPr>
            <w:r>
              <w:rPr>
                <w:rFonts w:hint="eastAsia" w:ascii="仿宋" w:hAnsi="仿宋" w:eastAsia="仿宋" w:cs="仿宋"/>
                <w:b w:val="0"/>
                <w:bCs w:val="0"/>
                <w:color w:val="000000" w:themeColor="text1"/>
                <w:kern w:val="0"/>
                <w:sz w:val="20"/>
                <w:szCs w:val="20"/>
                <w:highlight w:val="none"/>
                <w:vertAlign w:val="baseline"/>
                <w:lang w:val="en-US" w:eastAsia="zh-CN" w:bidi="ar"/>
                <w14:textFill>
                  <w14:solidFill>
                    <w14:schemeClr w14:val="tx1"/>
                  </w14:solidFill>
                </w14:textFill>
              </w:rPr>
              <w:t>带</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20"/>
                <w:szCs w:val="20"/>
                <w:highlight w:val="none"/>
                <w:vertAlign w:val="baseline"/>
                <w:lang w:val="en-US" w:eastAsia="zh-CN" w:bidi="ar"/>
                <w14:textFill>
                  <w14:solidFill>
                    <w14:schemeClr w14:val="tx1"/>
                  </w14:solidFill>
                </w14:textFill>
              </w:rPr>
              <w:t>号参数需</w:t>
            </w:r>
            <w:r>
              <w:rPr>
                <w:rFonts w:hint="eastAsia" w:ascii="仿宋" w:hAnsi="仿宋" w:eastAsia="仿宋" w:cs="仿宋"/>
                <w:b w:val="0"/>
                <w:bCs w:val="0"/>
                <w:i w:val="0"/>
                <w:iCs w:val="0"/>
                <w:color w:val="auto"/>
                <w:kern w:val="0"/>
                <w:sz w:val="20"/>
                <w:szCs w:val="20"/>
                <w:highlight w:val="none"/>
                <w:u w:val="none"/>
                <w:lang w:val="en-US" w:eastAsia="zh-CN" w:bidi="ar"/>
              </w:rPr>
              <w:t>提供产品功能截图，并加盖投标单位公章。</w:t>
            </w:r>
          </w:p>
        </w:tc>
        <w:tc>
          <w:tcPr>
            <w:tcW w:w="771" w:type="dxa"/>
            <w:tcBorders>
              <w:tl2br w:val="nil"/>
              <w:tr2bl w:val="nil"/>
            </w:tcBorders>
            <w:shd w:val="clear" w:color="auto" w:fill="auto"/>
            <w:noWrap w:val="0"/>
            <w:vAlign w:val="center"/>
          </w:tcPr>
          <w:p w14:paraId="35FEFA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4639AFE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0EBF7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6762C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1470" w:type="dxa"/>
            <w:tcBorders>
              <w:tl2br w:val="nil"/>
              <w:tr2bl w:val="nil"/>
            </w:tcBorders>
            <w:shd w:val="clear" w:color="auto" w:fill="auto"/>
            <w:noWrap w:val="0"/>
            <w:vAlign w:val="center"/>
          </w:tcPr>
          <w:p w14:paraId="643210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学生分组控制系统</w:t>
            </w:r>
          </w:p>
        </w:tc>
        <w:tc>
          <w:tcPr>
            <w:tcW w:w="1425" w:type="dxa"/>
            <w:tcBorders>
              <w:tl2br w:val="nil"/>
              <w:tr2bl w:val="nil"/>
            </w:tcBorders>
            <w:shd w:val="clear" w:color="auto" w:fill="auto"/>
            <w:noWrap w:val="0"/>
            <w:vAlign w:val="center"/>
          </w:tcPr>
          <w:p w14:paraId="1BDEA1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7248678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可以对学生端模块的电源控制系统、照明控制系统、给排水控制系统、智能摇臂控制系统进行独立分组控制，实现全选、单选控制功能；</w:t>
            </w:r>
          </w:p>
        </w:tc>
        <w:tc>
          <w:tcPr>
            <w:tcW w:w="771" w:type="dxa"/>
            <w:tcBorders>
              <w:tl2br w:val="nil"/>
              <w:tr2bl w:val="nil"/>
            </w:tcBorders>
            <w:shd w:val="clear" w:color="auto" w:fill="auto"/>
            <w:noWrap w:val="0"/>
            <w:vAlign w:val="center"/>
          </w:tcPr>
          <w:p w14:paraId="122B62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0093840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6119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B2D61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w:t>
            </w:r>
          </w:p>
        </w:tc>
        <w:tc>
          <w:tcPr>
            <w:tcW w:w="1470" w:type="dxa"/>
            <w:tcBorders>
              <w:tl2br w:val="nil"/>
              <w:tr2bl w:val="nil"/>
            </w:tcBorders>
            <w:shd w:val="clear" w:color="auto" w:fill="auto"/>
            <w:noWrap w:val="0"/>
            <w:vAlign w:val="center"/>
          </w:tcPr>
          <w:p w14:paraId="4AC51F2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智能故障警示系统</w:t>
            </w:r>
          </w:p>
        </w:tc>
        <w:tc>
          <w:tcPr>
            <w:tcW w:w="1425" w:type="dxa"/>
            <w:tcBorders>
              <w:tl2br w:val="nil"/>
              <w:tr2bl w:val="nil"/>
            </w:tcBorders>
            <w:shd w:val="clear" w:color="auto" w:fill="auto"/>
            <w:noWrap w:val="0"/>
            <w:vAlign w:val="center"/>
          </w:tcPr>
          <w:p w14:paraId="18AB75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384910D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采用LED柔性灯带，通过不同颜色显示正常工作，异常，警告等信息，实时监测顶装运行状态，故障报警；</w:t>
            </w:r>
          </w:p>
        </w:tc>
        <w:tc>
          <w:tcPr>
            <w:tcW w:w="771" w:type="dxa"/>
            <w:tcBorders>
              <w:tl2br w:val="nil"/>
              <w:tr2bl w:val="nil"/>
            </w:tcBorders>
            <w:shd w:val="clear" w:color="auto" w:fill="auto"/>
            <w:noWrap w:val="0"/>
            <w:vAlign w:val="center"/>
          </w:tcPr>
          <w:p w14:paraId="3AE9A11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shd w:val="clear" w:color="auto" w:fill="auto"/>
            <w:noWrap w:val="0"/>
            <w:vAlign w:val="center"/>
          </w:tcPr>
          <w:p w14:paraId="22F5C0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A6D3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272047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14</w:t>
            </w:r>
          </w:p>
        </w:tc>
        <w:tc>
          <w:tcPr>
            <w:tcW w:w="1470" w:type="dxa"/>
            <w:tcBorders>
              <w:tl2br w:val="nil"/>
              <w:tr2bl w:val="nil"/>
            </w:tcBorders>
            <w:noWrap w:val="0"/>
            <w:vAlign w:val="center"/>
          </w:tcPr>
          <w:p w14:paraId="77BEC1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急停控制系统</w:t>
            </w:r>
          </w:p>
        </w:tc>
        <w:tc>
          <w:tcPr>
            <w:tcW w:w="1425" w:type="dxa"/>
            <w:tcBorders>
              <w:tl2br w:val="nil"/>
              <w:tr2bl w:val="nil"/>
            </w:tcBorders>
            <w:noWrap w:val="0"/>
            <w:vAlign w:val="center"/>
          </w:tcPr>
          <w:p w14:paraId="68850A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592DA9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集成化控制系统，出现故障或现场有需要时紧急制动，确保实验操作时的安全性。</w:t>
            </w:r>
          </w:p>
        </w:tc>
        <w:tc>
          <w:tcPr>
            <w:tcW w:w="771" w:type="dxa"/>
            <w:tcBorders>
              <w:tl2br w:val="nil"/>
              <w:tr2bl w:val="nil"/>
            </w:tcBorders>
            <w:noWrap w:val="0"/>
            <w:vAlign w:val="center"/>
          </w:tcPr>
          <w:p w14:paraId="726884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2938A6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6B184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6A7C60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15</w:t>
            </w:r>
          </w:p>
        </w:tc>
        <w:tc>
          <w:tcPr>
            <w:tcW w:w="1470" w:type="dxa"/>
            <w:tcBorders>
              <w:tl2br w:val="nil"/>
              <w:tr2bl w:val="nil"/>
            </w:tcBorders>
            <w:noWrap w:val="0"/>
            <w:vAlign w:val="center"/>
          </w:tcPr>
          <w:p w14:paraId="62BF839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吊装智能摇臂</w:t>
            </w:r>
          </w:p>
          <w:p w14:paraId="72E2BC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升降系统</w:t>
            </w:r>
          </w:p>
        </w:tc>
        <w:tc>
          <w:tcPr>
            <w:tcW w:w="1425" w:type="dxa"/>
            <w:tcBorders>
              <w:tl2br w:val="nil"/>
              <w:tr2bl w:val="nil"/>
            </w:tcBorders>
            <w:noWrap w:val="0"/>
            <w:vAlign w:val="center"/>
          </w:tcPr>
          <w:p w14:paraId="7F9F98E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D014D0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采用直流24V推杆电机推动压铸一体成型的曲柄连杆机构，实现摇臂上下90°运动，摆臂升降主管，采用圆形无缝钢管，钢管尺寸≤ф65*640mm，厚度不低于2.0mm，表面经高温粉体烤漆处理，长时间使用也不会产生表面烤漆剥落现象；电源装饰模块采用ABS工程塑料注塑成型，整体尺寸≥250*280*100mm，内部空间可安装电源及屏显模块。</w:t>
            </w:r>
          </w:p>
          <w:p w14:paraId="124E17E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1.摇臂下端设置功能模块：</w:t>
            </w:r>
          </w:p>
          <w:p w14:paraId="21E67B3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（1）功能模块采用ABS工程塑料外壳，外形圆润，有亲和力；</w:t>
            </w:r>
          </w:p>
          <w:p w14:paraId="2E6800C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（2）功能模块带有4.3寸液晶显示屏；</w:t>
            </w:r>
          </w:p>
          <w:p w14:paraId="5A79EDD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（3）功能模块可安装新国标220V五孔插座；</w:t>
            </w:r>
          </w:p>
          <w:p w14:paraId="3324EB9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（4）功能模块可安装低压直流，交流学生电源模块；</w:t>
            </w:r>
          </w:p>
          <w:p w14:paraId="6BAE223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（5）功能模块可选配网络及上下水模块，扩展煤气等模块；</w:t>
            </w:r>
          </w:p>
          <w:p w14:paraId="1CE24D6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（6）功能模块单独设置一键求助功能按键。</w:t>
            </w:r>
          </w:p>
          <w:p w14:paraId="55D267A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2.系统自带障碍物保护功能，运动过程中遇到障碍物时会自动停止并报警。</w:t>
            </w:r>
          </w:p>
          <w:p w14:paraId="06B5F21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3.功能模块单独设置一键求助功能按键，当学生端按举手求组模块，教师控制终端实时定位显示当前学生求助序号。</w:t>
            </w:r>
          </w:p>
          <w:p w14:paraId="6B5B5F0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strike w:val="0"/>
                <w:dstrike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strike w:val="0"/>
                <w:dstrike w:val="0"/>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i w:val="0"/>
                <w:iCs w:val="0"/>
                <w:strike w:val="0"/>
                <w:dstrike w:val="0"/>
                <w:color w:val="000000" w:themeColor="text1"/>
                <w:kern w:val="0"/>
                <w:sz w:val="20"/>
                <w:szCs w:val="20"/>
                <w:highlight w:val="none"/>
                <w:u w:val="none"/>
                <w:lang w:val="en-US" w:eastAsia="zh-CN" w:bidi="ar"/>
                <w14:textFill>
                  <w14:solidFill>
                    <w14:schemeClr w14:val="tx1"/>
                  </w14:solidFill>
                </w14:textFill>
              </w:rPr>
              <w:t>吊装智能摇臂升降系统技术性能需满足塑料件阻燃（燃烧特性）（mm/min）≤7。</w:t>
            </w:r>
          </w:p>
          <w:p w14:paraId="3D65465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strike w:val="0"/>
                <w:dstrike w:val="0"/>
                <w:color w:val="auto"/>
                <w:kern w:val="0"/>
                <w:sz w:val="20"/>
                <w:szCs w:val="20"/>
                <w:highlight w:val="none"/>
                <w:vertAlign w:val="baseline"/>
                <w:lang w:val="zh-CN" w:eastAsia="zh-CN" w:bidi="ar"/>
              </w:rPr>
              <w:t>提供</w:t>
            </w:r>
            <w:r>
              <w:rPr>
                <w:rFonts w:hint="eastAsia" w:ascii="仿宋" w:hAnsi="仿宋" w:eastAsia="仿宋" w:cs="仿宋"/>
                <w:i w:val="0"/>
                <w:iCs w:val="0"/>
                <w:strike w:val="0"/>
                <w:dstrike w:val="0"/>
                <w:color w:val="auto"/>
                <w:kern w:val="0"/>
                <w:sz w:val="20"/>
                <w:szCs w:val="20"/>
                <w:highlight w:val="none"/>
                <w:u w:val="none"/>
                <w:lang w:val="en-US" w:eastAsia="zh-CN" w:bidi="ar"/>
              </w:rPr>
              <w:t>由国家认可的第三方检测机构出具的</w:t>
            </w:r>
            <w:r>
              <w:rPr>
                <w:rFonts w:hint="eastAsia" w:ascii="仿宋" w:hAnsi="仿宋" w:eastAsia="仿宋" w:cs="仿宋"/>
                <w:strike w:val="0"/>
                <w:dstrike w:val="0"/>
                <w:color w:val="auto"/>
                <w:kern w:val="0"/>
                <w:sz w:val="20"/>
                <w:szCs w:val="20"/>
                <w:highlight w:val="none"/>
                <w:vertAlign w:val="baseline"/>
                <w:lang w:val="zh-CN" w:eastAsia="zh-CN" w:bidi="ar"/>
              </w:rPr>
              <w:t>满足以上技术要求</w:t>
            </w:r>
            <w:r>
              <w:rPr>
                <w:rFonts w:hint="eastAsia" w:ascii="仿宋" w:hAnsi="仿宋" w:eastAsia="仿宋" w:cs="仿宋"/>
                <w:i w:val="0"/>
                <w:iCs w:val="0"/>
                <w:strike w:val="0"/>
                <w:dstrike w:val="0"/>
                <w:color w:val="auto"/>
                <w:kern w:val="0"/>
                <w:sz w:val="20"/>
                <w:szCs w:val="20"/>
                <w:highlight w:val="none"/>
                <w:u w:val="none"/>
                <w:lang w:val="en-US" w:eastAsia="zh-CN" w:bidi="ar"/>
              </w:rPr>
              <w:t>带有CMA标志的检测报告加盖投标单位公章</w:t>
            </w:r>
            <w:r>
              <w:rPr>
                <w:rFonts w:hint="eastAsia" w:ascii="仿宋" w:hAnsi="仿宋" w:eastAsia="仿宋" w:cs="仿宋"/>
                <w:strike w:val="0"/>
                <w:dstrike w:val="0"/>
                <w:color w:val="auto"/>
                <w:kern w:val="0"/>
                <w:sz w:val="20"/>
                <w:szCs w:val="20"/>
                <w:highlight w:val="none"/>
                <w:vertAlign w:val="baseline"/>
                <w:lang w:val="zh-CN" w:eastAsia="zh-CN" w:bidi="ar"/>
              </w:rPr>
              <w:t>。</w:t>
            </w:r>
          </w:p>
        </w:tc>
        <w:tc>
          <w:tcPr>
            <w:tcW w:w="771" w:type="dxa"/>
            <w:tcBorders>
              <w:tl2br w:val="nil"/>
              <w:tr2bl w:val="nil"/>
            </w:tcBorders>
            <w:noWrap w:val="0"/>
            <w:vAlign w:val="center"/>
          </w:tcPr>
          <w:p w14:paraId="4BF5650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4DD0112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7EF60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006BE8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16</w:t>
            </w:r>
          </w:p>
        </w:tc>
        <w:tc>
          <w:tcPr>
            <w:tcW w:w="1470" w:type="dxa"/>
            <w:tcBorders>
              <w:tl2br w:val="nil"/>
              <w:tr2bl w:val="nil"/>
            </w:tcBorders>
            <w:noWrap w:val="0"/>
            <w:vAlign w:val="center"/>
          </w:tcPr>
          <w:p w14:paraId="0F0E97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高压电源模块</w:t>
            </w:r>
          </w:p>
        </w:tc>
        <w:tc>
          <w:tcPr>
            <w:tcW w:w="1425" w:type="dxa"/>
            <w:tcBorders>
              <w:tl2br w:val="nil"/>
              <w:tr2bl w:val="nil"/>
            </w:tcBorders>
            <w:noWrap w:val="0"/>
            <w:vAlign w:val="center"/>
          </w:tcPr>
          <w:p w14:paraId="107BAD5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5AFFB4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新国标五孔插座，接收教师端220v实验用电。</w:t>
            </w:r>
          </w:p>
        </w:tc>
        <w:tc>
          <w:tcPr>
            <w:tcW w:w="771" w:type="dxa"/>
            <w:tcBorders>
              <w:tl2br w:val="nil"/>
              <w:tr2bl w:val="nil"/>
            </w:tcBorders>
            <w:noWrap w:val="0"/>
            <w:vAlign w:val="center"/>
          </w:tcPr>
          <w:p w14:paraId="16CD5A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40</w:t>
            </w:r>
          </w:p>
        </w:tc>
        <w:tc>
          <w:tcPr>
            <w:tcW w:w="772" w:type="dxa"/>
            <w:tcBorders>
              <w:tl2br w:val="nil"/>
              <w:tr2bl w:val="nil"/>
            </w:tcBorders>
            <w:noWrap w:val="0"/>
            <w:vAlign w:val="center"/>
          </w:tcPr>
          <w:p w14:paraId="10C477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D5A20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3BC49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17</w:t>
            </w:r>
          </w:p>
        </w:tc>
        <w:tc>
          <w:tcPr>
            <w:tcW w:w="1470" w:type="dxa"/>
            <w:tcBorders>
              <w:tl2br w:val="nil"/>
              <w:tr2bl w:val="nil"/>
            </w:tcBorders>
            <w:noWrap w:val="0"/>
            <w:vAlign w:val="center"/>
          </w:tcPr>
          <w:p w14:paraId="1CC0BC2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低压电源模块</w:t>
            </w:r>
          </w:p>
        </w:tc>
        <w:tc>
          <w:tcPr>
            <w:tcW w:w="1425" w:type="dxa"/>
            <w:tcBorders>
              <w:tl2br w:val="nil"/>
              <w:tr2bl w:val="nil"/>
            </w:tcBorders>
            <w:noWrap w:val="0"/>
            <w:vAlign w:val="center"/>
          </w:tcPr>
          <w:p w14:paraId="06C9DB1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6D1CD7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1.直流DC：0V-30V可调，分辨率可达0.1v；额定电流2A；学生可进行微调，具有过载保护智能检测功能。</w:t>
            </w:r>
          </w:p>
          <w:p w14:paraId="02E0239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2.交流AC：0V-30V可调，分辨率可达0.1v；额定电流2A； 学生可进行微调，具有过载保护智能检测功能。</w:t>
            </w:r>
          </w:p>
          <w:p w14:paraId="3D5755F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3.交流、直流均采用数码显示。</w:t>
            </w:r>
          </w:p>
          <w:p w14:paraId="7BF421D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4.学生低压电源都可接收主控电源发送的锁定信号，在锁定指示灯点亮后，学生接收老师输送的设定电源电压，教师锁定时,学生自己无法操作，这样可避免学生的误操作。可以分组或独立控制；</w:t>
            </w:r>
          </w:p>
          <w:p w14:paraId="79DD6C3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5.模块采用耐磨、耐腐蚀、耐高温的PC亮光薄膜面板，学生电源的控制采用按钮式按键，可以随意设置电压，贴片元件生产技术，微电脑控制。</w:t>
            </w:r>
          </w:p>
          <w:p w14:paraId="00C380A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6.功能模块单独设置一键求助功能按键，当学生端按举手求组模块，教师控制终端实时定位显示当前学生求助序号。</w:t>
            </w:r>
          </w:p>
        </w:tc>
        <w:tc>
          <w:tcPr>
            <w:tcW w:w="771" w:type="dxa"/>
            <w:tcBorders>
              <w:tl2br w:val="nil"/>
              <w:tr2bl w:val="nil"/>
            </w:tcBorders>
            <w:noWrap w:val="0"/>
            <w:vAlign w:val="center"/>
          </w:tcPr>
          <w:p w14:paraId="523C37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772" w:type="dxa"/>
            <w:tcBorders>
              <w:tl2br w:val="nil"/>
              <w:tr2bl w:val="nil"/>
            </w:tcBorders>
            <w:noWrap w:val="0"/>
            <w:vAlign w:val="center"/>
          </w:tcPr>
          <w:p w14:paraId="0A1373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8CDED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D22D4E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18</w:t>
            </w:r>
          </w:p>
        </w:tc>
        <w:tc>
          <w:tcPr>
            <w:tcW w:w="1470" w:type="dxa"/>
            <w:tcBorders>
              <w:tl2br w:val="nil"/>
              <w:tr2bl w:val="nil"/>
            </w:tcBorders>
            <w:noWrap w:val="0"/>
            <w:vAlign w:val="center"/>
          </w:tcPr>
          <w:p w14:paraId="709032A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水槽柜</w:t>
            </w:r>
          </w:p>
        </w:tc>
        <w:tc>
          <w:tcPr>
            <w:tcW w:w="1425" w:type="dxa"/>
            <w:tcBorders>
              <w:tl2br w:val="nil"/>
              <w:tr2bl w:val="nil"/>
            </w:tcBorders>
            <w:noWrap w:val="0"/>
            <w:vAlign w:val="center"/>
          </w:tcPr>
          <w:p w14:paraId="10D4DC4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585*450*830mm</w:t>
            </w:r>
          </w:p>
        </w:tc>
        <w:tc>
          <w:tcPr>
            <w:tcW w:w="4740" w:type="dxa"/>
            <w:tcBorders>
              <w:tl2br w:val="nil"/>
              <w:tr2bl w:val="nil"/>
            </w:tcBorders>
            <w:noWrap w:val="0"/>
            <w:vAlign w:val="center"/>
          </w:tcPr>
          <w:p w14:paraId="7B3AF58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结构：整体采用包围式结构，水槽前端前倾，外形拐角均采用圆弧设计。水槽柜设置检修盖板，维修方便。水槽柜设置前翻门，前翻门≥430*340mm；内设收纳斗≥323*270*135mm，采用1.2mm冷轧钢板，经酸洗磷化后静电喷塑。</w:t>
            </w:r>
          </w:p>
          <w:p w14:paraId="68DD0EB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p>
          <w:p w14:paraId="49F3CEF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3.过滤功能：设置下水口，下水口内设置三级过滤装置。第一级设置pp过滤盖板，第二级设置不锈钢过滤提网，第三级设置可抛弃型过滤袋，容积2.5L、过滤微粒30μ；三级过滤装置可防止水管堵塞。</w:t>
            </w:r>
          </w:p>
          <w:p w14:paraId="4499113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strike w:val="0"/>
                <w:dstrike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strike w:val="0"/>
                <w:dstrike w:val="0"/>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i w:val="0"/>
                <w:iCs w:val="0"/>
                <w:strike w:val="0"/>
                <w:dstrike w:val="0"/>
                <w:color w:val="000000" w:themeColor="text1"/>
                <w:kern w:val="0"/>
                <w:sz w:val="20"/>
                <w:szCs w:val="20"/>
                <w:highlight w:val="none"/>
                <w:u w:val="none"/>
                <w:lang w:val="en-US" w:eastAsia="zh-CN" w:bidi="ar"/>
                <w14:textFill>
                  <w14:solidFill>
                    <w14:schemeClr w14:val="tx1"/>
                  </w14:solidFill>
                </w14:textFill>
              </w:rPr>
              <w:t>水槽柜技术性能需满足检测阻燃（燃烧特性）≥7.35mm/min。</w:t>
            </w:r>
          </w:p>
          <w:p w14:paraId="53E863C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strike w:val="0"/>
                <w:dstrike w:val="0"/>
                <w:color w:val="auto"/>
                <w:kern w:val="0"/>
                <w:sz w:val="20"/>
                <w:szCs w:val="20"/>
                <w:highlight w:val="none"/>
                <w:vertAlign w:val="baseline"/>
                <w:lang w:val="zh-CN" w:eastAsia="zh-CN" w:bidi="ar"/>
              </w:rPr>
              <w:t>提供</w:t>
            </w:r>
            <w:r>
              <w:rPr>
                <w:rFonts w:hint="eastAsia" w:ascii="仿宋" w:hAnsi="仿宋" w:eastAsia="仿宋" w:cs="仿宋"/>
                <w:i w:val="0"/>
                <w:iCs w:val="0"/>
                <w:strike w:val="0"/>
                <w:dstrike w:val="0"/>
                <w:color w:val="auto"/>
                <w:kern w:val="0"/>
                <w:sz w:val="20"/>
                <w:szCs w:val="20"/>
                <w:highlight w:val="none"/>
                <w:u w:val="none"/>
                <w:lang w:val="en-US" w:eastAsia="zh-CN" w:bidi="ar"/>
              </w:rPr>
              <w:t>由国家认可的第三方检测机构出具的</w:t>
            </w:r>
            <w:r>
              <w:rPr>
                <w:rFonts w:hint="eastAsia" w:ascii="仿宋" w:hAnsi="仿宋" w:eastAsia="仿宋" w:cs="仿宋"/>
                <w:strike w:val="0"/>
                <w:dstrike w:val="0"/>
                <w:color w:val="auto"/>
                <w:kern w:val="0"/>
                <w:sz w:val="20"/>
                <w:szCs w:val="20"/>
                <w:highlight w:val="none"/>
                <w:vertAlign w:val="baseline"/>
                <w:lang w:val="zh-CN" w:eastAsia="zh-CN" w:bidi="ar"/>
              </w:rPr>
              <w:t>满足以上技术要求</w:t>
            </w:r>
            <w:r>
              <w:rPr>
                <w:rFonts w:hint="eastAsia" w:ascii="仿宋" w:hAnsi="仿宋" w:eastAsia="仿宋" w:cs="仿宋"/>
                <w:i w:val="0"/>
                <w:iCs w:val="0"/>
                <w:strike w:val="0"/>
                <w:dstrike w:val="0"/>
                <w:color w:val="auto"/>
                <w:kern w:val="0"/>
                <w:sz w:val="20"/>
                <w:szCs w:val="20"/>
                <w:highlight w:val="none"/>
                <w:u w:val="none"/>
                <w:lang w:val="en-US" w:eastAsia="zh-CN" w:bidi="ar"/>
              </w:rPr>
              <w:t>带有CMA标志的检测报告加盖投标单位公章</w:t>
            </w:r>
            <w:r>
              <w:rPr>
                <w:rFonts w:hint="eastAsia" w:ascii="仿宋" w:hAnsi="仿宋" w:eastAsia="仿宋" w:cs="仿宋"/>
                <w:strike w:val="0"/>
                <w:dstrike w:val="0"/>
                <w:color w:val="auto"/>
                <w:kern w:val="0"/>
                <w:sz w:val="20"/>
                <w:szCs w:val="20"/>
                <w:highlight w:val="none"/>
                <w:vertAlign w:val="baseline"/>
                <w:lang w:val="zh-CN" w:eastAsia="zh-CN" w:bidi="ar"/>
              </w:rPr>
              <w:t>。</w:t>
            </w:r>
          </w:p>
        </w:tc>
        <w:tc>
          <w:tcPr>
            <w:tcW w:w="771" w:type="dxa"/>
            <w:tcBorders>
              <w:tl2br w:val="nil"/>
              <w:tr2bl w:val="nil"/>
            </w:tcBorders>
            <w:noWrap w:val="0"/>
            <w:vAlign w:val="center"/>
          </w:tcPr>
          <w:p w14:paraId="371AA0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1DE91C3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E6ED3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7B957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19</w:t>
            </w:r>
          </w:p>
        </w:tc>
        <w:tc>
          <w:tcPr>
            <w:tcW w:w="1470" w:type="dxa"/>
            <w:tcBorders>
              <w:tl2br w:val="nil"/>
              <w:tr2bl w:val="nil"/>
            </w:tcBorders>
            <w:noWrap w:val="0"/>
            <w:vAlign w:val="center"/>
          </w:tcPr>
          <w:p w14:paraId="7D75887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三联水嘴</w:t>
            </w:r>
          </w:p>
        </w:tc>
        <w:tc>
          <w:tcPr>
            <w:tcW w:w="1425" w:type="dxa"/>
            <w:tcBorders>
              <w:tl2br w:val="nil"/>
              <w:tr2bl w:val="nil"/>
            </w:tcBorders>
            <w:noWrap w:val="0"/>
            <w:vAlign w:val="center"/>
          </w:tcPr>
          <w:p w14:paraId="3083363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74F1DD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p w14:paraId="6756968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实验室水嘴技术性能要求需满足依据GB 25501-2019《水嘴水效限定值及水效等级》，</w:t>
            </w:r>
          </w:p>
          <w:p w14:paraId="7F16002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流量均匀性：流量均匀性应不大于1.0L/min；水嘴水效等级：2级，最大流量：不大于5.0L/min；水嘴节水评价值：2级，最大流量：不大于5.0L/min。</w:t>
            </w:r>
          </w:p>
          <w:p w14:paraId="37F79DE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highlight w:val="none"/>
                <w:vertAlign w:val="baseline"/>
                <w:lang w:val="zh-CN" w:eastAsia="zh-CN" w:bidi="ar"/>
              </w:rPr>
              <w:t>提供</w:t>
            </w:r>
            <w:r>
              <w:rPr>
                <w:rFonts w:hint="eastAsia" w:ascii="仿宋" w:hAnsi="仿宋" w:eastAsia="仿宋" w:cs="仿宋"/>
                <w:i w:val="0"/>
                <w:iCs w:val="0"/>
                <w:color w:val="auto"/>
                <w:kern w:val="0"/>
                <w:sz w:val="20"/>
                <w:szCs w:val="20"/>
                <w:highlight w:val="none"/>
                <w:u w:val="none"/>
                <w:lang w:val="en-US" w:eastAsia="zh-CN" w:bidi="ar"/>
              </w:rPr>
              <w:t>由国家认可的第三方检测机构出具的</w:t>
            </w:r>
            <w:r>
              <w:rPr>
                <w:rFonts w:hint="eastAsia" w:ascii="仿宋" w:hAnsi="仿宋" w:eastAsia="仿宋" w:cs="仿宋"/>
                <w:color w:val="auto"/>
                <w:kern w:val="0"/>
                <w:sz w:val="20"/>
                <w:szCs w:val="20"/>
                <w:highlight w:val="none"/>
                <w:vertAlign w:val="baseline"/>
                <w:lang w:val="zh-CN" w:eastAsia="zh-CN" w:bidi="ar"/>
              </w:rPr>
              <w:t>满足以上技术要求</w:t>
            </w:r>
            <w:r>
              <w:rPr>
                <w:rFonts w:hint="eastAsia" w:ascii="仿宋" w:hAnsi="仿宋" w:eastAsia="仿宋" w:cs="仿宋"/>
                <w:i w:val="0"/>
                <w:iCs w:val="0"/>
                <w:color w:val="auto"/>
                <w:kern w:val="0"/>
                <w:sz w:val="20"/>
                <w:szCs w:val="20"/>
                <w:highlight w:val="none"/>
                <w:u w:val="none"/>
                <w:lang w:val="en-US" w:eastAsia="zh-CN" w:bidi="ar"/>
              </w:rPr>
              <w:t>带有CMA标志的检测报告加盖投标单位公章</w:t>
            </w:r>
            <w:r>
              <w:rPr>
                <w:rFonts w:hint="eastAsia" w:ascii="仿宋" w:hAnsi="仿宋" w:eastAsia="仿宋" w:cs="仿宋"/>
                <w:color w:val="auto"/>
                <w:kern w:val="0"/>
                <w:sz w:val="20"/>
                <w:szCs w:val="20"/>
                <w:highlight w:val="none"/>
                <w:vertAlign w:val="baseline"/>
                <w:lang w:val="zh-CN" w:eastAsia="zh-CN" w:bidi="ar"/>
              </w:rPr>
              <w:t>。</w:t>
            </w:r>
          </w:p>
        </w:tc>
        <w:tc>
          <w:tcPr>
            <w:tcW w:w="771" w:type="dxa"/>
            <w:tcBorders>
              <w:tl2br w:val="nil"/>
              <w:tr2bl w:val="nil"/>
            </w:tcBorders>
            <w:noWrap w:val="0"/>
            <w:vAlign w:val="center"/>
          </w:tcPr>
          <w:p w14:paraId="4C20E5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1BF654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4A16A2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2F550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20</w:t>
            </w:r>
          </w:p>
        </w:tc>
        <w:tc>
          <w:tcPr>
            <w:tcW w:w="1470" w:type="dxa"/>
            <w:tcBorders>
              <w:tl2br w:val="nil"/>
              <w:tr2bl w:val="nil"/>
            </w:tcBorders>
            <w:noWrap w:val="0"/>
            <w:vAlign w:val="center"/>
          </w:tcPr>
          <w:p w14:paraId="4B20CA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智能给排水系统</w:t>
            </w:r>
          </w:p>
        </w:tc>
        <w:tc>
          <w:tcPr>
            <w:tcW w:w="1425" w:type="dxa"/>
            <w:tcBorders>
              <w:tl2br w:val="nil"/>
              <w:tr2bl w:val="nil"/>
            </w:tcBorders>
            <w:noWrap w:val="0"/>
            <w:vAlign w:val="center"/>
          </w:tcPr>
          <w:p w14:paraId="4F99B47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DE446E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1.设置下水口，下水口内设置三级过滤装置。第一级设置pp过滤盖板，第二级设置不锈钢过滤提网，第三级设置可抛弃型过滤袋，过滤微粒30μ；三级过滤装置可防止水管堵塞。</w:t>
            </w:r>
          </w:p>
          <w:p w14:paraId="00533C6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2.水槽顶部设置进水、排水及电线信号线快速接头。</w:t>
            </w:r>
          </w:p>
          <w:p w14:paraId="6DF278C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3.设置储水装置，进水口与水槽出水口相连。储水装置带有抽水泵，液位感应器，电路控制系统;当水位到达液位器高位时，水泵自动启动工作抽水，直至抽到液位感应器低位，水泵停止工作。</w:t>
            </w:r>
          </w:p>
        </w:tc>
        <w:tc>
          <w:tcPr>
            <w:tcW w:w="771" w:type="dxa"/>
            <w:tcBorders>
              <w:tl2br w:val="nil"/>
              <w:tr2bl w:val="nil"/>
            </w:tcBorders>
            <w:noWrap w:val="0"/>
            <w:vAlign w:val="center"/>
          </w:tcPr>
          <w:p w14:paraId="336E3BD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2E8BDC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EBC9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A23117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21</w:t>
            </w:r>
          </w:p>
        </w:tc>
        <w:tc>
          <w:tcPr>
            <w:tcW w:w="1470" w:type="dxa"/>
            <w:tcBorders>
              <w:tl2br w:val="nil"/>
              <w:tr2bl w:val="nil"/>
            </w:tcBorders>
            <w:noWrap w:val="0"/>
            <w:vAlign w:val="center"/>
          </w:tcPr>
          <w:p w14:paraId="10386D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给排水快速接口</w:t>
            </w:r>
          </w:p>
        </w:tc>
        <w:tc>
          <w:tcPr>
            <w:tcW w:w="1425" w:type="dxa"/>
            <w:tcBorders>
              <w:tl2br w:val="nil"/>
              <w:tr2bl w:val="nil"/>
            </w:tcBorders>
            <w:noWrap w:val="0"/>
            <w:vAlign w:val="center"/>
          </w:tcPr>
          <w:p w14:paraId="140FD0F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2BB3DD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采用进口无滴漏快速接头，接口与学生水槽柜采用优质硅胶软管（具有防酸、防碱、耐腐蚀功能）连接，接口均采用自动锁紧插拔式连接方式（拔掉时没有污水流出），用时接上，不用时可收起；插拔方便，可在给水打开状态下任意插拔，不滴漏。</w:t>
            </w:r>
          </w:p>
        </w:tc>
        <w:tc>
          <w:tcPr>
            <w:tcW w:w="771" w:type="dxa"/>
            <w:tcBorders>
              <w:tl2br w:val="nil"/>
              <w:tr2bl w:val="nil"/>
            </w:tcBorders>
            <w:noWrap w:val="0"/>
            <w:vAlign w:val="center"/>
          </w:tcPr>
          <w:p w14:paraId="71B14E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09F9160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F6F7C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97F26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22</w:t>
            </w:r>
          </w:p>
        </w:tc>
        <w:tc>
          <w:tcPr>
            <w:tcW w:w="1470" w:type="dxa"/>
            <w:tcBorders>
              <w:tl2br w:val="nil"/>
              <w:tr2bl w:val="nil"/>
            </w:tcBorders>
            <w:noWrap w:val="0"/>
            <w:vAlign w:val="center"/>
          </w:tcPr>
          <w:p w14:paraId="48A1BD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智能灯光照明装置</w:t>
            </w:r>
          </w:p>
        </w:tc>
        <w:tc>
          <w:tcPr>
            <w:tcW w:w="1425" w:type="dxa"/>
            <w:tcBorders>
              <w:tl2br w:val="nil"/>
              <w:tr2bl w:val="nil"/>
            </w:tcBorders>
            <w:noWrap w:val="0"/>
            <w:vAlign w:val="center"/>
          </w:tcPr>
          <w:p w14:paraId="3DAEF17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812F1F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接收智能控制平台控制，可分组开启和关闭，配置高亮LED灯条，安装磨砂半透均光板，光线柔和不刺眼。</w:t>
            </w:r>
          </w:p>
        </w:tc>
        <w:tc>
          <w:tcPr>
            <w:tcW w:w="771" w:type="dxa"/>
            <w:tcBorders>
              <w:tl2br w:val="nil"/>
              <w:tr2bl w:val="nil"/>
            </w:tcBorders>
            <w:noWrap w:val="0"/>
            <w:vAlign w:val="center"/>
          </w:tcPr>
          <w:p w14:paraId="1E36D6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01B2B88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C138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DF80F8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23</w:t>
            </w:r>
          </w:p>
        </w:tc>
        <w:tc>
          <w:tcPr>
            <w:tcW w:w="1470" w:type="dxa"/>
            <w:tcBorders>
              <w:tl2br w:val="nil"/>
              <w:tr2bl w:val="nil"/>
            </w:tcBorders>
            <w:noWrap w:val="0"/>
            <w:vAlign w:val="center"/>
          </w:tcPr>
          <w:p w14:paraId="74D4CA3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吊装系统主体框架</w:t>
            </w:r>
          </w:p>
        </w:tc>
        <w:tc>
          <w:tcPr>
            <w:tcW w:w="1425" w:type="dxa"/>
            <w:tcBorders>
              <w:tl2br w:val="nil"/>
              <w:tr2bl w:val="nil"/>
            </w:tcBorders>
            <w:noWrap w:val="0"/>
            <w:vAlign w:val="center"/>
          </w:tcPr>
          <w:p w14:paraId="613B69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195A95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1.标准化模块编组，1200*525*200mm为一组；</w:t>
            </w:r>
          </w:p>
          <w:p w14:paraId="557484A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2.材质：主框架采用铝合金拉伸件，表面氧化镀膜处理和铝合金压铸件，表面喷砂喷涂组成。</w:t>
            </w:r>
          </w:p>
          <w:p w14:paraId="0E5A2CD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产品中间外围设置一圈氛围状态警示灯，可实施显示摆臂运行状态形态指示，当摆臂功能运行故障时，设备开启会出现红色线性灯光，当摆臂功能运行正常时，设备开启出现绿色线性灯光；通过2种不同颜色显示正常工作，异常，警告等信息。</w:t>
            </w:r>
          </w:p>
        </w:tc>
        <w:tc>
          <w:tcPr>
            <w:tcW w:w="771" w:type="dxa"/>
            <w:tcBorders>
              <w:tl2br w:val="nil"/>
              <w:tr2bl w:val="nil"/>
            </w:tcBorders>
            <w:noWrap w:val="0"/>
            <w:vAlign w:val="center"/>
          </w:tcPr>
          <w:p w14:paraId="00E667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67C0AF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0019D5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BC2DA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24</w:t>
            </w:r>
          </w:p>
        </w:tc>
        <w:tc>
          <w:tcPr>
            <w:tcW w:w="1470" w:type="dxa"/>
            <w:tcBorders>
              <w:tl2br w:val="nil"/>
              <w:tr2bl w:val="nil"/>
            </w:tcBorders>
            <w:noWrap w:val="0"/>
            <w:vAlign w:val="center"/>
          </w:tcPr>
          <w:p w14:paraId="79552F2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吊装系统框架外观装饰模块</w:t>
            </w:r>
          </w:p>
        </w:tc>
        <w:tc>
          <w:tcPr>
            <w:tcW w:w="1425" w:type="dxa"/>
            <w:tcBorders>
              <w:tl2br w:val="nil"/>
              <w:tr2bl w:val="nil"/>
            </w:tcBorders>
            <w:noWrap w:val="0"/>
            <w:vAlign w:val="center"/>
          </w:tcPr>
          <w:p w14:paraId="214108E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226BC1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装饰件均采用高分子复合材料模压成型，具有阻燃性强和耐酸碱、耐腐蚀， 光泽度好，美观大方。</w:t>
            </w:r>
          </w:p>
        </w:tc>
        <w:tc>
          <w:tcPr>
            <w:tcW w:w="771" w:type="dxa"/>
            <w:tcBorders>
              <w:tl2br w:val="nil"/>
              <w:tr2bl w:val="nil"/>
            </w:tcBorders>
            <w:noWrap w:val="0"/>
            <w:vAlign w:val="center"/>
          </w:tcPr>
          <w:p w14:paraId="30492E0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22869A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3BFCBE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1891F5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25</w:t>
            </w:r>
          </w:p>
        </w:tc>
        <w:tc>
          <w:tcPr>
            <w:tcW w:w="1470" w:type="dxa"/>
            <w:tcBorders>
              <w:tl2br w:val="nil"/>
              <w:tr2bl w:val="nil"/>
            </w:tcBorders>
            <w:noWrap w:val="0"/>
            <w:vAlign w:val="center"/>
          </w:tcPr>
          <w:p w14:paraId="578E41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舱体防尘装饰模块</w:t>
            </w:r>
          </w:p>
        </w:tc>
        <w:tc>
          <w:tcPr>
            <w:tcW w:w="1425" w:type="dxa"/>
            <w:tcBorders>
              <w:tl2br w:val="nil"/>
              <w:tr2bl w:val="nil"/>
            </w:tcBorders>
            <w:noWrap w:val="0"/>
            <w:vAlign w:val="center"/>
          </w:tcPr>
          <w:p w14:paraId="79BF53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1090*280*35mm</w:t>
            </w:r>
          </w:p>
        </w:tc>
        <w:tc>
          <w:tcPr>
            <w:tcW w:w="4740" w:type="dxa"/>
            <w:tcBorders>
              <w:tl2br w:val="nil"/>
              <w:tr2bl w:val="nil"/>
            </w:tcBorders>
            <w:noWrap w:val="0"/>
            <w:vAlign w:val="center"/>
          </w:tcPr>
          <w:p w14:paraId="59F96B3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材质：采用1.2mm镀锌钢板折弯焊接表面喷塑成型。</w:t>
            </w:r>
          </w:p>
        </w:tc>
        <w:tc>
          <w:tcPr>
            <w:tcW w:w="771" w:type="dxa"/>
            <w:tcBorders>
              <w:tl2br w:val="nil"/>
              <w:tr2bl w:val="nil"/>
            </w:tcBorders>
            <w:noWrap w:val="0"/>
            <w:vAlign w:val="center"/>
          </w:tcPr>
          <w:p w14:paraId="2B0039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3DF07C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0AABD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BA7AB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26</w:t>
            </w:r>
          </w:p>
        </w:tc>
        <w:tc>
          <w:tcPr>
            <w:tcW w:w="1470" w:type="dxa"/>
            <w:tcBorders>
              <w:tl2br w:val="nil"/>
              <w:tr2bl w:val="nil"/>
            </w:tcBorders>
            <w:noWrap w:val="0"/>
            <w:vAlign w:val="center"/>
          </w:tcPr>
          <w:p w14:paraId="08861B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舱底装饰模块</w:t>
            </w:r>
          </w:p>
        </w:tc>
        <w:tc>
          <w:tcPr>
            <w:tcW w:w="1425" w:type="dxa"/>
            <w:tcBorders>
              <w:tl2br w:val="nil"/>
              <w:tr2bl w:val="nil"/>
            </w:tcBorders>
            <w:noWrap w:val="0"/>
            <w:vAlign w:val="center"/>
          </w:tcPr>
          <w:p w14:paraId="71CD9C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1280*325*110mm</w:t>
            </w:r>
          </w:p>
        </w:tc>
        <w:tc>
          <w:tcPr>
            <w:tcW w:w="4740" w:type="dxa"/>
            <w:tcBorders>
              <w:tl2br w:val="nil"/>
              <w:tr2bl w:val="nil"/>
            </w:tcBorders>
            <w:noWrap w:val="0"/>
            <w:vAlign w:val="center"/>
          </w:tcPr>
          <w:p w14:paraId="637039C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材质：采用1.2mm镀锌钢板折弯焊接表面喷塑成型。</w:t>
            </w:r>
          </w:p>
        </w:tc>
        <w:tc>
          <w:tcPr>
            <w:tcW w:w="771" w:type="dxa"/>
            <w:tcBorders>
              <w:tl2br w:val="nil"/>
              <w:tr2bl w:val="nil"/>
            </w:tcBorders>
            <w:noWrap w:val="0"/>
            <w:vAlign w:val="center"/>
          </w:tcPr>
          <w:p w14:paraId="1FA5E0F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0673B10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F749E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C0F65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27</w:t>
            </w:r>
          </w:p>
        </w:tc>
        <w:tc>
          <w:tcPr>
            <w:tcW w:w="1470" w:type="dxa"/>
            <w:tcBorders>
              <w:tl2br w:val="nil"/>
              <w:tr2bl w:val="nil"/>
            </w:tcBorders>
            <w:noWrap w:val="0"/>
            <w:vAlign w:val="center"/>
          </w:tcPr>
          <w:p w14:paraId="267A71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舱体封板装饰模块</w:t>
            </w:r>
          </w:p>
        </w:tc>
        <w:tc>
          <w:tcPr>
            <w:tcW w:w="1425" w:type="dxa"/>
            <w:tcBorders>
              <w:tl2br w:val="nil"/>
              <w:tr2bl w:val="nil"/>
            </w:tcBorders>
            <w:noWrap w:val="0"/>
            <w:vAlign w:val="center"/>
          </w:tcPr>
          <w:p w14:paraId="7C9A49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525*200*150mm</w:t>
            </w:r>
          </w:p>
        </w:tc>
        <w:tc>
          <w:tcPr>
            <w:tcW w:w="4740" w:type="dxa"/>
            <w:tcBorders>
              <w:tl2br w:val="nil"/>
              <w:tr2bl w:val="nil"/>
            </w:tcBorders>
            <w:noWrap w:val="0"/>
            <w:vAlign w:val="center"/>
          </w:tcPr>
          <w:p w14:paraId="2B2449D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材质：采用阻燃性FRP高分子复合材料，模具一体压铸成型。</w:t>
            </w:r>
          </w:p>
        </w:tc>
        <w:tc>
          <w:tcPr>
            <w:tcW w:w="771" w:type="dxa"/>
            <w:tcBorders>
              <w:tl2br w:val="nil"/>
              <w:tr2bl w:val="nil"/>
            </w:tcBorders>
            <w:noWrap w:val="0"/>
            <w:vAlign w:val="center"/>
          </w:tcPr>
          <w:p w14:paraId="1623A5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027FAD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CC0A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150B44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28</w:t>
            </w:r>
          </w:p>
        </w:tc>
        <w:tc>
          <w:tcPr>
            <w:tcW w:w="1470" w:type="dxa"/>
            <w:tcBorders>
              <w:tl2br w:val="nil"/>
              <w:tr2bl w:val="nil"/>
            </w:tcBorders>
            <w:noWrap w:val="0"/>
            <w:vAlign w:val="center"/>
          </w:tcPr>
          <w:p w14:paraId="32D5F6F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万向吸风罩</w:t>
            </w:r>
          </w:p>
        </w:tc>
        <w:tc>
          <w:tcPr>
            <w:tcW w:w="1425" w:type="dxa"/>
            <w:tcBorders>
              <w:tl2br w:val="nil"/>
              <w:tr2bl w:val="nil"/>
            </w:tcBorders>
            <w:noWrap w:val="0"/>
            <w:vAlign w:val="center"/>
          </w:tcPr>
          <w:p w14:paraId="2EB35DD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62C89D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1.规格：主体管径≥60mm,通风罩口直径≥210mm；</w:t>
            </w:r>
          </w:p>
          <w:p w14:paraId="3959B5B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2.管材及罩口均采用铝合金材质，表面阳极氧化处理，关节采用高密度PP材质。独特的关节结构使关节调整时极具灵活性，根据实地需求可360°自由旋转调节方向，以便气流经过时降低不必要产生的湍流；</w:t>
            </w:r>
          </w:p>
          <w:p w14:paraId="529990E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3.关节密封圈：采用高密度橡胶。</w:t>
            </w:r>
          </w:p>
          <w:p w14:paraId="114B5F0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4.关节连接杆：304不锈钢材质；关节弹簧装置：304不锈钢材质</w:t>
            </w:r>
          </w:p>
          <w:p w14:paraId="647C91D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5.关节松紧旋钮：高密度PP材质，内嵌304不锈钢推力轴承，与关节连接杆锁合。</w:t>
            </w:r>
          </w:p>
          <w:p w14:paraId="50A6F02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6.压力轴承装置防下垂、下滑，避免松动。</w:t>
            </w:r>
          </w:p>
        </w:tc>
        <w:tc>
          <w:tcPr>
            <w:tcW w:w="771" w:type="dxa"/>
            <w:tcBorders>
              <w:tl2br w:val="nil"/>
              <w:tr2bl w:val="nil"/>
            </w:tcBorders>
            <w:noWrap w:val="0"/>
            <w:vAlign w:val="center"/>
          </w:tcPr>
          <w:p w14:paraId="1D5B8E0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w:t>
            </w:r>
          </w:p>
        </w:tc>
        <w:tc>
          <w:tcPr>
            <w:tcW w:w="772" w:type="dxa"/>
            <w:tcBorders>
              <w:tl2br w:val="nil"/>
              <w:tr2bl w:val="nil"/>
            </w:tcBorders>
            <w:noWrap w:val="0"/>
            <w:vAlign w:val="center"/>
          </w:tcPr>
          <w:p w14:paraId="49DFF01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2EE0B5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70885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29</w:t>
            </w:r>
          </w:p>
        </w:tc>
        <w:tc>
          <w:tcPr>
            <w:tcW w:w="1470" w:type="dxa"/>
            <w:tcBorders>
              <w:tl2br w:val="nil"/>
              <w:tr2bl w:val="nil"/>
            </w:tcBorders>
            <w:noWrap w:val="0"/>
            <w:vAlign w:val="center"/>
          </w:tcPr>
          <w:p w14:paraId="5327717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电气布线</w:t>
            </w:r>
          </w:p>
        </w:tc>
        <w:tc>
          <w:tcPr>
            <w:tcW w:w="1425" w:type="dxa"/>
            <w:tcBorders>
              <w:tl2br w:val="nil"/>
              <w:tr2bl w:val="nil"/>
            </w:tcBorders>
            <w:noWrap w:val="0"/>
            <w:vAlign w:val="center"/>
          </w:tcPr>
          <w:p w14:paraId="09587F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021BDE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供电布线：模块化设计，每组模块间采用活接式连接，方便安装、检修。采用通用优质铜芯电线进行系统布线。</w:t>
            </w:r>
          </w:p>
        </w:tc>
        <w:tc>
          <w:tcPr>
            <w:tcW w:w="771" w:type="dxa"/>
            <w:tcBorders>
              <w:tl2br w:val="nil"/>
              <w:tr2bl w:val="nil"/>
            </w:tcBorders>
            <w:noWrap w:val="0"/>
            <w:vAlign w:val="center"/>
          </w:tcPr>
          <w:p w14:paraId="3DBBC69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DC3ECC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室</w:t>
            </w:r>
          </w:p>
        </w:tc>
      </w:tr>
      <w:tr w14:paraId="5258AF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20E1A7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30</w:t>
            </w:r>
          </w:p>
        </w:tc>
        <w:tc>
          <w:tcPr>
            <w:tcW w:w="1470" w:type="dxa"/>
            <w:tcBorders>
              <w:tl2br w:val="nil"/>
              <w:tr2bl w:val="nil"/>
            </w:tcBorders>
            <w:noWrap w:val="0"/>
            <w:vAlign w:val="center"/>
          </w:tcPr>
          <w:p w14:paraId="5D2D77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给排水管道布置</w:t>
            </w:r>
          </w:p>
        </w:tc>
        <w:tc>
          <w:tcPr>
            <w:tcW w:w="1425" w:type="dxa"/>
            <w:tcBorders>
              <w:tl2br w:val="nil"/>
              <w:tr2bl w:val="nil"/>
            </w:tcBorders>
            <w:noWrap w:val="0"/>
            <w:vAlign w:val="center"/>
          </w:tcPr>
          <w:p w14:paraId="4D0857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91FC30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给水管：给水主管选用φ20-32mmPP-R给水管；排水管：排水管选用加厚φ50-75mmPVC-U国标管。（具有防酸、防碱、耐腐蚀功能）。</w:t>
            </w:r>
          </w:p>
        </w:tc>
        <w:tc>
          <w:tcPr>
            <w:tcW w:w="771" w:type="dxa"/>
            <w:tcBorders>
              <w:tl2br w:val="nil"/>
              <w:tr2bl w:val="nil"/>
            </w:tcBorders>
            <w:noWrap w:val="0"/>
            <w:vAlign w:val="center"/>
          </w:tcPr>
          <w:p w14:paraId="497C721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7D84FC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室</w:t>
            </w:r>
          </w:p>
        </w:tc>
      </w:tr>
      <w:tr w14:paraId="70379E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DD984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31</w:t>
            </w:r>
          </w:p>
        </w:tc>
        <w:tc>
          <w:tcPr>
            <w:tcW w:w="1470" w:type="dxa"/>
            <w:tcBorders>
              <w:tl2br w:val="nil"/>
              <w:tr2bl w:val="nil"/>
            </w:tcBorders>
            <w:noWrap w:val="0"/>
            <w:vAlign w:val="center"/>
          </w:tcPr>
          <w:p w14:paraId="66C58B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室内通风支管</w:t>
            </w:r>
          </w:p>
        </w:tc>
        <w:tc>
          <w:tcPr>
            <w:tcW w:w="1425" w:type="dxa"/>
            <w:tcBorders>
              <w:tl2br w:val="nil"/>
              <w:tr2bl w:val="nil"/>
            </w:tcBorders>
            <w:noWrap w:val="0"/>
            <w:vAlign w:val="center"/>
          </w:tcPr>
          <w:p w14:paraId="3531FB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B879D4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主管通向学生桌的主支管采用Φ200mm的PVC圆管、支管采用Φ110mm的PVC圆管，合理设计布置通风走向。</w:t>
            </w:r>
          </w:p>
        </w:tc>
        <w:tc>
          <w:tcPr>
            <w:tcW w:w="771" w:type="dxa"/>
            <w:tcBorders>
              <w:tl2br w:val="nil"/>
              <w:tr2bl w:val="nil"/>
            </w:tcBorders>
            <w:noWrap w:val="0"/>
            <w:vAlign w:val="center"/>
          </w:tcPr>
          <w:p w14:paraId="7F328CF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8F0A7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项</w:t>
            </w:r>
          </w:p>
        </w:tc>
      </w:tr>
      <w:tr w14:paraId="7AC825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FD3ED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32</w:t>
            </w:r>
          </w:p>
        </w:tc>
        <w:tc>
          <w:tcPr>
            <w:tcW w:w="1470" w:type="dxa"/>
            <w:tcBorders>
              <w:tl2br w:val="nil"/>
              <w:tr2bl w:val="nil"/>
            </w:tcBorders>
            <w:noWrap w:val="0"/>
            <w:vAlign w:val="center"/>
          </w:tcPr>
          <w:p w14:paraId="159146F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吊装系统安装附件</w:t>
            </w:r>
          </w:p>
        </w:tc>
        <w:tc>
          <w:tcPr>
            <w:tcW w:w="1425" w:type="dxa"/>
            <w:tcBorders>
              <w:tl2br w:val="nil"/>
              <w:tr2bl w:val="nil"/>
            </w:tcBorders>
            <w:noWrap w:val="0"/>
            <w:vAlign w:val="center"/>
          </w:tcPr>
          <w:p w14:paraId="3BAD7E1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D76123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采用固定横梁吊装方式，减少楼板承重，防止左右晃动，可进行上下、左右的平衡调节。</w:t>
            </w:r>
          </w:p>
          <w:p w14:paraId="074104C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主要辅件有：矩形钢、三角构件、直角座、龙骨架连接件、吊装挂件、安装连接板等。</w:t>
            </w:r>
          </w:p>
          <w:p w14:paraId="6DC185C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提供由生产厂家送检满足以上技术要求，检测机构出具的钢材检测报告复印件。</w:t>
            </w:r>
          </w:p>
          <w:p w14:paraId="0CD36B1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strike w:val="0"/>
                <w:dstrike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strike w:val="0"/>
                <w:dstrike w:val="0"/>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i w:val="0"/>
                <w:iCs w:val="0"/>
                <w:strike w:val="0"/>
                <w:dstrike w:val="0"/>
                <w:color w:val="000000" w:themeColor="text1"/>
                <w:kern w:val="0"/>
                <w:sz w:val="20"/>
                <w:szCs w:val="20"/>
                <w:highlight w:val="none"/>
                <w:u w:val="none"/>
                <w:lang w:val="en-US" w:eastAsia="zh-CN" w:bidi="ar"/>
                <w14:textFill>
                  <w14:solidFill>
                    <w14:schemeClr w14:val="tx1"/>
                  </w14:solidFill>
                </w14:textFill>
              </w:rPr>
              <w:t>钢材技术性能需满足特定元素的迁移锑 sb、砷As含量未检出。</w:t>
            </w:r>
          </w:p>
          <w:p w14:paraId="7F8F3EA3">
            <w:pPr>
              <w:pStyle w:val="2"/>
              <w:jc w:val="both"/>
              <w:rPr>
                <w:rFonts w:hint="eastAsia"/>
                <w:lang w:val="en-US" w:eastAsia="zh-CN"/>
              </w:rPr>
            </w:pPr>
            <w:r>
              <w:rPr>
                <w:rFonts w:hint="eastAsia" w:ascii="仿宋" w:hAnsi="仿宋" w:eastAsia="仿宋" w:cs="仿宋"/>
                <w:i w:val="0"/>
                <w:iCs w:val="0"/>
                <w:strike w:val="0"/>
                <w:dstrike w:val="0"/>
                <w:color w:val="auto"/>
                <w:kern w:val="0"/>
                <w:sz w:val="20"/>
                <w:szCs w:val="20"/>
                <w:highlight w:val="none"/>
                <w:u w:val="none"/>
                <w:lang w:val="en-US" w:eastAsia="zh-CN" w:bidi="ar"/>
              </w:rPr>
              <w:t>提供由生产厂家送检满足以上技术要求，检测机构出具的钢材检测报告复印件。</w:t>
            </w:r>
          </w:p>
        </w:tc>
        <w:tc>
          <w:tcPr>
            <w:tcW w:w="771" w:type="dxa"/>
            <w:tcBorders>
              <w:tl2br w:val="nil"/>
              <w:tr2bl w:val="nil"/>
            </w:tcBorders>
            <w:noWrap w:val="0"/>
            <w:vAlign w:val="center"/>
          </w:tcPr>
          <w:p w14:paraId="32A3D1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D02FC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室</w:t>
            </w:r>
          </w:p>
        </w:tc>
      </w:tr>
      <w:tr w14:paraId="4EA67A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A378B6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33</w:t>
            </w:r>
          </w:p>
        </w:tc>
        <w:tc>
          <w:tcPr>
            <w:tcW w:w="1470" w:type="dxa"/>
            <w:tcBorders>
              <w:tl2br w:val="nil"/>
              <w:tr2bl w:val="nil"/>
            </w:tcBorders>
            <w:noWrap w:val="0"/>
            <w:vAlign w:val="center"/>
          </w:tcPr>
          <w:p w14:paraId="506BFD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吊装系统安装调试</w:t>
            </w:r>
          </w:p>
        </w:tc>
        <w:tc>
          <w:tcPr>
            <w:tcW w:w="1425" w:type="dxa"/>
            <w:tcBorders>
              <w:tl2br w:val="nil"/>
              <w:tr2bl w:val="nil"/>
            </w:tcBorders>
            <w:noWrap w:val="0"/>
            <w:vAlign w:val="center"/>
          </w:tcPr>
          <w:p w14:paraId="0595A5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9BB039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1.吊顶式安装系统采用模块化结构设计，采用吊装安装方式；</w:t>
            </w:r>
          </w:p>
          <w:p w14:paraId="5DBDD88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2.系统结构安装调试；</w:t>
            </w:r>
          </w:p>
          <w:p w14:paraId="1818C23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3.系统控制安装调试；</w:t>
            </w:r>
          </w:p>
          <w:p w14:paraId="43965DE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4.通风系统安装调试；</w:t>
            </w:r>
          </w:p>
          <w:p w14:paraId="13D62CC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5.给排水安装调试；</w:t>
            </w:r>
          </w:p>
          <w:p w14:paraId="575116F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6.供电系统安装调试；</w:t>
            </w:r>
          </w:p>
          <w:p w14:paraId="777E8CB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7.照明系统安装调试</w:t>
            </w:r>
          </w:p>
        </w:tc>
        <w:tc>
          <w:tcPr>
            <w:tcW w:w="771" w:type="dxa"/>
            <w:tcBorders>
              <w:tl2br w:val="nil"/>
              <w:tr2bl w:val="nil"/>
            </w:tcBorders>
            <w:noWrap w:val="0"/>
            <w:vAlign w:val="center"/>
          </w:tcPr>
          <w:p w14:paraId="08DB6A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D5BD22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室</w:t>
            </w:r>
          </w:p>
        </w:tc>
      </w:tr>
      <w:tr w14:paraId="276ED3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04EB8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34</w:t>
            </w:r>
          </w:p>
        </w:tc>
        <w:tc>
          <w:tcPr>
            <w:tcW w:w="1470" w:type="dxa"/>
            <w:tcBorders>
              <w:tl2br w:val="nil"/>
              <w:tr2bl w:val="nil"/>
            </w:tcBorders>
            <w:noWrap w:val="0"/>
            <w:vAlign w:val="center"/>
          </w:tcPr>
          <w:p w14:paraId="16833A5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环境布置</w:t>
            </w:r>
          </w:p>
        </w:tc>
        <w:tc>
          <w:tcPr>
            <w:tcW w:w="1425" w:type="dxa"/>
            <w:tcBorders>
              <w:tl2br w:val="nil"/>
              <w:tr2bl w:val="nil"/>
            </w:tcBorders>
            <w:noWrap w:val="0"/>
            <w:vAlign w:val="center"/>
          </w:tcPr>
          <w:p w14:paraId="437513C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0ED719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地面处理，顶面处理，墙面处理</w:t>
            </w:r>
          </w:p>
        </w:tc>
        <w:tc>
          <w:tcPr>
            <w:tcW w:w="771" w:type="dxa"/>
            <w:tcBorders>
              <w:tl2br w:val="nil"/>
              <w:tr2bl w:val="nil"/>
            </w:tcBorders>
            <w:noWrap w:val="0"/>
            <w:vAlign w:val="center"/>
          </w:tcPr>
          <w:p w14:paraId="2BA01F0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91</w:t>
            </w:r>
          </w:p>
        </w:tc>
        <w:tc>
          <w:tcPr>
            <w:tcW w:w="772" w:type="dxa"/>
            <w:tcBorders>
              <w:tl2br w:val="nil"/>
              <w:tr2bl w:val="nil"/>
            </w:tcBorders>
            <w:noWrap w:val="0"/>
            <w:vAlign w:val="center"/>
          </w:tcPr>
          <w:p w14:paraId="007D4AD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平米</w:t>
            </w:r>
          </w:p>
        </w:tc>
      </w:tr>
      <w:tr w14:paraId="591372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9864" w:type="dxa"/>
            <w:gridSpan w:val="6"/>
            <w:tcBorders>
              <w:tl2br w:val="nil"/>
              <w:tr2bl w:val="nil"/>
            </w:tcBorders>
            <w:shd w:val="clear" w:color="auto" w:fill="B6DDE8" w:themeFill="accent5" w:themeFillTint="66"/>
            <w:noWrap w:val="0"/>
            <w:vAlign w:val="center"/>
          </w:tcPr>
          <w:p w14:paraId="3A5E6292">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b/>
                <w:bCs/>
                <w:color w:val="auto"/>
                <w:position w:val="-6"/>
                <w:sz w:val="24"/>
                <w:szCs w:val="24"/>
                <w:lang w:val="en-US" w:eastAsia="zh-CN"/>
              </w:rPr>
            </w:pPr>
            <w:r>
              <w:rPr>
                <w:rFonts w:hint="eastAsia" w:ascii="仿宋" w:hAnsi="仿宋" w:eastAsia="仿宋" w:cs="仿宋"/>
                <w:b/>
                <w:bCs/>
                <w:color w:val="auto"/>
                <w:position w:val="-6"/>
                <w:sz w:val="24"/>
                <w:szCs w:val="24"/>
                <w:lang w:val="en-US" w:eastAsia="zh-CN"/>
              </w:rPr>
              <w:t>化学准备间</w:t>
            </w:r>
          </w:p>
        </w:tc>
      </w:tr>
      <w:tr w14:paraId="1E6634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B6DDE8" w:themeFill="accent5" w:themeFillTint="66"/>
            <w:noWrap w:val="0"/>
            <w:vAlign w:val="center"/>
          </w:tcPr>
          <w:p w14:paraId="75A57DB7">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序号</w:t>
            </w:r>
          </w:p>
        </w:tc>
        <w:tc>
          <w:tcPr>
            <w:tcW w:w="1470" w:type="dxa"/>
            <w:tcBorders>
              <w:tl2br w:val="nil"/>
              <w:tr2bl w:val="nil"/>
            </w:tcBorders>
            <w:shd w:val="clear" w:color="auto" w:fill="B6DDE8" w:themeFill="accent5" w:themeFillTint="66"/>
            <w:noWrap w:val="0"/>
            <w:vAlign w:val="center"/>
          </w:tcPr>
          <w:p w14:paraId="40C138FB">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b/>
                <w:bCs/>
                <w:color w:val="auto"/>
                <w:position w:val="-6"/>
                <w:sz w:val="24"/>
                <w:szCs w:val="24"/>
                <w:lang w:val="en-US" w:eastAsia="zh-CN"/>
              </w:rPr>
              <w:t>名称</w:t>
            </w:r>
          </w:p>
        </w:tc>
        <w:tc>
          <w:tcPr>
            <w:tcW w:w="1425" w:type="dxa"/>
            <w:tcBorders>
              <w:tl2br w:val="nil"/>
              <w:tr2bl w:val="nil"/>
            </w:tcBorders>
            <w:shd w:val="clear" w:color="auto" w:fill="B6DDE8" w:themeFill="accent5" w:themeFillTint="66"/>
            <w:noWrap w:val="0"/>
            <w:vAlign w:val="center"/>
          </w:tcPr>
          <w:p w14:paraId="192BDC59">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规格</w:t>
            </w:r>
          </w:p>
        </w:tc>
        <w:tc>
          <w:tcPr>
            <w:tcW w:w="4740" w:type="dxa"/>
            <w:tcBorders>
              <w:tl2br w:val="nil"/>
              <w:tr2bl w:val="nil"/>
            </w:tcBorders>
            <w:shd w:val="clear" w:color="auto" w:fill="B6DDE8" w:themeFill="accent5" w:themeFillTint="66"/>
            <w:noWrap w:val="0"/>
            <w:vAlign w:val="center"/>
          </w:tcPr>
          <w:p w14:paraId="488CEDB6">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技术参数</w:t>
            </w:r>
          </w:p>
        </w:tc>
        <w:tc>
          <w:tcPr>
            <w:tcW w:w="771" w:type="dxa"/>
            <w:tcBorders>
              <w:tl2br w:val="nil"/>
              <w:tr2bl w:val="nil"/>
            </w:tcBorders>
            <w:shd w:val="clear" w:color="auto" w:fill="B6DDE8" w:themeFill="accent5" w:themeFillTint="66"/>
            <w:noWrap w:val="0"/>
            <w:vAlign w:val="center"/>
          </w:tcPr>
          <w:p w14:paraId="35629478">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数量</w:t>
            </w:r>
          </w:p>
        </w:tc>
        <w:tc>
          <w:tcPr>
            <w:tcW w:w="772" w:type="dxa"/>
            <w:tcBorders>
              <w:tl2br w:val="nil"/>
              <w:tr2bl w:val="nil"/>
            </w:tcBorders>
            <w:shd w:val="clear" w:color="auto" w:fill="B6DDE8" w:themeFill="accent5" w:themeFillTint="66"/>
            <w:noWrap w:val="0"/>
            <w:vAlign w:val="center"/>
          </w:tcPr>
          <w:p w14:paraId="4F3A3437">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单位</w:t>
            </w:r>
          </w:p>
        </w:tc>
      </w:tr>
      <w:tr w14:paraId="1291E4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A425F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w:t>
            </w:r>
          </w:p>
        </w:tc>
        <w:tc>
          <w:tcPr>
            <w:tcW w:w="1470" w:type="dxa"/>
            <w:tcBorders>
              <w:tl2br w:val="nil"/>
              <w:tr2bl w:val="nil"/>
            </w:tcBorders>
            <w:noWrap w:val="0"/>
            <w:vAlign w:val="center"/>
          </w:tcPr>
          <w:p w14:paraId="0F6679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准备桌</w:t>
            </w:r>
          </w:p>
        </w:tc>
        <w:tc>
          <w:tcPr>
            <w:tcW w:w="1425" w:type="dxa"/>
            <w:tcBorders>
              <w:tl2br w:val="nil"/>
              <w:tr2bl w:val="nil"/>
            </w:tcBorders>
            <w:noWrap w:val="0"/>
            <w:vAlign w:val="center"/>
          </w:tcPr>
          <w:p w14:paraId="68D3EE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2400*1000*900mm</w:t>
            </w:r>
          </w:p>
        </w:tc>
        <w:tc>
          <w:tcPr>
            <w:tcW w:w="4740" w:type="dxa"/>
            <w:tcBorders>
              <w:tl2br w:val="nil"/>
              <w:tr2bl w:val="nil"/>
            </w:tcBorders>
            <w:noWrap w:val="0"/>
            <w:vAlign w:val="center"/>
          </w:tcPr>
          <w:p w14:paraId="1A6F88E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1.结构：</w:t>
            </w:r>
            <w:r>
              <w:rPr>
                <w:rFonts w:hint="eastAsia" w:ascii="仿宋" w:hAnsi="仿宋" w:eastAsia="仿宋" w:cs="仿宋"/>
                <w:b w:val="0"/>
                <w:bCs w:val="0"/>
                <w:i w:val="0"/>
                <w:iCs w:val="0"/>
                <w:color w:val="auto"/>
                <w:kern w:val="0"/>
                <w:sz w:val="20"/>
                <w:szCs w:val="20"/>
                <w:u w:val="none"/>
                <w:lang w:val="en-US" w:eastAsia="zh-CN" w:bidi="ar"/>
              </w:rPr>
              <w:t>全钢结构</w:t>
            </w:r>
          </w:p>
          <w:p w14:paraId="39A99E8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2.台面：</w:t>
            </w:r>
            <w:r>
              <w:rPr>
                <w:rFonts w:hint="eastAsia" w:ascii="仿宋" w:hAnsi="仿宋" w:eastAsia="仿宋" w:cs="仿宋"/>
                <w:b w:val="0"/>
                <w:bCs w:val="0"/>
                <w:i w:val="0"/>
                <w:iCs w:val="0"/>
                <w:color w:val="auto"/>
                <w:kern w:val="0"/>
                <w:sz w:val="20"/>
                <w:szCs w:val="20"/>
                <w:u w:val="none"/>
                <w:lang w:val="en-US" w:eastAsia="zh-CN" w:bidi="ar"/>
              </w:rPr>
              <w:t>采用15mm厚一体实芯黑色胚体实验室工业陶瓷台面，台面表面为耐腐蚀专业釉面。釉面和黑色胚体（非后期染色处理）经高温烧结而成，釉面与胚体结合后不脱落、不脱层。具有耐强酸碱、防腐蚀、防静电、耐辐射、耐磨、抗污染、易清洁、耐冲击、耐高温、防水、防火等特点；</w:t>
            </w:r>
          </w:p>
          <w:p w14:paraId="555C377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3.柜身：</w:t>
            </w:r>
            <w:r>
              <w:rPr>
                <w:rFonts w:hint="eastAsia" w:ascii="仿宋" w:hAnsi="仿宋" w:eastAsia="仿宋" w:cs="仿宋"/>
                <w:b w:val="0"/>
                <w:bCs w:val="0"/>
                <w:i w:val="0"/>
                <w:iCs w:val="0"/>
                <w:color w:val="auto"/>
                <w:kern w:val="0"/>
                <w:sz w:val="20"/>
                <w:szCs w:val="20"/>
                <w:u w:val="none"/>
                <w:lang w:val="en-US" w:eastAsia="zh-CN" w:bidi="ar"/>
              </w:rPr>
              <w:t>柜体为落地式结构，采用优质镀锌钢板，厚度不小于1.0mm，采用CO2保护焊焊接，打磨处理，表面经耐酸碱环氧树脂粉末烤漆处理，表面硬度附着力、耐腐蚀性符合国家标准，所有钣金的表面接缝均应满焊，焊接处均应打磨平整以保持为连续的平滑表面。</w:t>
            </w:r>
          </w:p>
          <w:p w14:paraId="6B49B8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4.</w:t>
            </w:r>
            <w:r>
              <w:rPr>
                <w:rFonts w:hint="eastAsia" w:ascii="仿宋" w:hAnsi="仿宋" w:eastAsia="仿宋" w:cs="仿宋"/>
                <w:b/>
                <w:bCs/>
                <w:i w:val="0"/>
                <w:iCs w:val="0"/>
                <w:color w:val="auto"/>
                <w:kern w:val="0"/>
                <w:sz w:val="20"/>
                <w:szCs w:val="20"/>
                <w:u w:val="none"/>
                <w:lang w:val="en-US" w:eastAsia="zh-CN" w:bidi="ar"/>
              </w:rPr>
              <w:t>门板及抽面：</w:t>
            </w:r>
            <w:r>
              <w:rPr>
                <w:rFonts w:hint="eastAsia" w:ascii="仿宋" w:hAnsi="仿宋" w:eastAsia="仿宋" w:cs="仿宋"/>
                <w:b w:val="0"/>
                <w:bCs w:val="0"/>
                <w:i w:val="0"/>
                <w:iCs w:val="0"/>
                <w:color w:val="auto"/>
                <w:kern w:val="0"/>
                <w:sz w:val="20"/>
                <w:szCs w:val="20"/>
                <w:u w:val="none"/>
                <w:lang w:val="en-US" w:eastAsia="zh-CN" w:bidi="ar"/>
              </w:rPr>
              <w:t>采用优质镀锌钢板，内设隔音材料，保证关门减少噪音；</w:t>
            </w:r>
          </w:p>
          <w:p w14:paraId="4BFA8C0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5.滑轨：</w:t>
            </w:r>
            <w:r>
              <w:rPr>
                <w:rFonts w:hint="eastAsia" w:ascii="仿宋" w:hAnsi="仿宋" w:eastAsia="仿宋" w:cs="仿宋"/>
                <w:b w:val="0"/>
                <w:bCs w:val="0"/>
                <w:i w:val="0"/>
                <w:iCs w:val="0"/>
                <w:color w:val="auto"/>
                <w:kern w:val="0"/>
                <w:sz w:val="20"/>
                <w:szCs w:val="20"/>
                <w:u w:val="none"/>
                <w:lang w:val="en-US" w:eastAsia="zh-CN" w:bidi="ar"/>
              </w:rPr>
              <w:t>采用三节重型滚珠滑轨，承重性强，滑动性能良好，无噪音；</w:t>
            </w:r>
          </w:p>
          <w:p w14:paraId="58B7A41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6.合页：</w:t>
            </w:r>
            <w:r>
              <w:rPr>
                <w:rFonts w:hint="eastAsia" w:ascii="仿宋" w:hAnsi="仿宋" w:eastAsia="仿宋" w:cs="仿宋"/>
                <w:b w:val="0"/>
                <w:bCs w:val="0"/>
                <w:i w:val="0"/>
                <w:iCs w:val="0"/>
                <w:color w:val="auto"/>
                <w:kern w:val="0"/>
                <w:sz w:val="20"/>
                <w:szCs w:val="20"/>
                <w:u w:val="none"/>
                <w:lang w:val="en-US" w:eastAsia="zh-CN" w:bidi="ar"/>
              </w:rPr>
              <w:t>采用优质大弯合页，可开门弧度大于90度，开合次数万次以上；</w:t>
            </w:r>
          </w:p>
          <w:p w14:paraId="1D71A90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7.桌脚：</w:t>
            </w:r>
            <w:r>
              <w:rPr>
                <w:rFonts w:hint="eastAsia" w:ascii="仿宋" w:hAnsi="仿宋" w:eastAsia="仿宋" w:cs="仿宋"/>
                <w:b w:val="0"/>
                <w:bCs w:val="0"/>
                <w:i w:val="0"/>
                <w:iCs w:val="0"/>
                <w:color w:val="auto"/>
                <w:kern w:val="0"/>
                <w:sz w:val="20"/>
                <w:szCs w:val="20"/>
                <w:u w:val="none"/>
                <w:lang w:val="en-US" w:eastAsia="zh-CN" w:bidi="ar"/>
              </w:rPr>
              <w:t>采用ABS注塑专用桌垫固定；</w:t>
            </w:r>
          </w:p>
        </w:tc>
        <w:tc>
          <w:tcPr>
            <w:tcW w:w="771" w:type="dxa"/>
            <w:tcBorders>
              <w:tl2br w:val="nil"/>
              <w:tr2bl w:val="nil"/>
            </w:tcBorders>
            <w:noWrap w:val="0"/>
            <w:vAlign w:val="center"/>
          </w:tcPr>
          <w:p w14:paraId="73D0AD4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36C99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张</w:t>
            </w:r>
          </w:p>
        </w:tc>
      </w:tr>
      <w:tr w14:paraId="61780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4436B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w:t>
            </w:r>
          </w:p>
        </w:tc>
        <w:tc>
          <w:tcPr>
            <w:tcW w:w="1470" w:type="dxa"/>
            <w:tcBorders>
              <w:tl2br w:val="nil"/>
              <w:tr2bl w:val="nil"/>
            </w:tcBorders>
            <w:noWrap w:val="0"/>
            <w:vAlign w:val="center"/>
          </w:tcPr>
          <w:p w14:paraId="277F270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试剂架（含电源）</w:t>
            </w:r>
          </w:p>
        </w:tc>
        <w:tc>
          <w:tcPr>
            <w:tcW w:w="1425" w:type="dxa"/>
            <w:tcBorders>
              <w:tl2br w:val="nil"/>
              <w:tr2bl w:val="nil"/>
            </w:tcBorders>
            <w:noWrap w:val="0"/>
            <w:vAlign w:val="center"/>
          </w:tcPr>
          <w:p w14:paraId="5CF7F0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1700*230*750mm</w:t>
            </w:r>
          </w:p>
        </w:tc>
        <w:tc>
          <w:tcPr>
            <w:tcW w:w="4740" w:type="dxa"/>
            <w:tcBorders>
              <w:tl2br w:val="nil"/>
              <w:tr2bl w:val="nil"/>
            </w:tcBorders>
            <w:noWrap w:val="0"/>
            <w:vAlign w:val="center"/>
          </w:tcPr>
          <w:p w14:paraId="2CBBA76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1.铝合金结构，表面喷涂高温固化匀乳白环氧树脂喷涂理处理，具有较强的耐蚀性能，上下带塑胶模具堵头；</w:t>
            </w:r>
          </w:p>
          <w:p w14:paraId="0FAAA93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2.试剂架立柱截面尺寸：42mm*82mm, 型材壁厚1.2mm；试剂架立柱双面升降槽，侧面双面镶嵌另色色条；</w:t>
            </w:r>
          </w:p>
          <w:p w14:paraId="4275DC7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3.试剂架托架≥1.0mm冷轧钢板，一次性冲压成型；试剂架护栏：护栏壁厚1.2mm，单面镶嵌另色色条。</w:t>
            </w:r>
          </w:p>
          <w:p w14:paraId="3BE54A4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4.立杆牢固固定于C型钢架底端，层板采用≥8mm厚的玻璃，安装后用户可根据试剂大小上下高低无级调节。</w:t>
            </w:r>
          </w:p>
          <w:p w14:paraId="045C882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5.含五孔国标实验电源。</w:t>
            </w:r>
          </w:p>
        </w:tc>
        <w:tc>
          <w:tcPr>
            <w:tcW w:w="771" w:type="dxa"/>
            <w:tcBorders>
              <w:tl2br w:val="nil"/>
              <w:tr2bl w:val="nil"/>
            </w:tcBorders>
            <w:noWrap w:val="0"/>
            <w:vAlign w:val="center"/>
          </w:tcPr>
          <w:p w14:paraId="60F5818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13A77D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组</w:t>
            </w:r>
          </w:p>
        </w:tc>
      </w:tr>
      <w:tr w14:paraId="068F6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2FA87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w:t>
            </w:r>
          </w:p>
        </w:tc>
        <w:tc>
          <w:tcPr>
            <w:tcW w:w="1470" w:type="dxa"/>
            <w:tcBorders>
              <w:tl2br w:val="nil"/>
              <w:tr2bl w:val="nil"/>
            </w:tcBorders>
            <w:noWrap w:val="0"/>
            <w:vAlign w:val="center"/>
          </w:tcPr>
          <w:p w14:paraId="6BA2FB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三联水嘴</w:t>
            </w:r>
          </w:p>
        </w:tc>
        <w:tc>
          <w:tcPr>
            <w:tcW w:w="1425" w:type="dxa"/>
            <w:tcBorders>
              <w:tl2br w:val="nil"/>
              <w:tr2bl w:val="nil"/>
            </w:tcBorders>
            <w:noWrap w:val="0"/>
            <w:vAlign w:val="center"/>
          </w:tcPr>
          <w:p w14:paraId="3F03B6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5D6804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鹅颈式实验室专用优质化验水嘴：要求防酸碱、防锈、防虹吸、防阻塞，表面环氧树脂喷涂。出水嘴为铜质瓷芯，高头，便于多用途使用，可拆卸清洗阻塞。出水嘴可拆卸，内有成型螺纹，可方便连接循环等特殊用水水管。</w:t>
            </w:r>
          </w:p>
          <w:p w14:paraId="08ACD1F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bCs/>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2.实验室水嘴技术性能要求需满足依据GB 25501-2019《水嘴水</w:t>
            </w:r>
            <w:r>
              <w:rPr>
                <w:rFonts w:hint="eastAsia" w:ascii="仿宋" w:hAnsi="仿宋" w:eastAsia="仿宋" w:cs="仿宋"/>
                <w:i w:val="0"/>
                <w:iCs w:val="0"/>
                <w:color w:val="auto"/>
                <w:kern w:val="0"/>
                <w:sz w:val="21"/>
                <w:szCs w:val="21"/>
                <w:u w:val="none"/>
                <w:lang w:val="en-US" w:eastAsia="zh-CN" w:bidi="ar"/>
              </w:rPr>
              <w:t>效限定值及水效等级》，流量均匀性：流量均匀性应不大于1.0L/m</w:t>
            </w:r>
            <w:r>
              <w:rPr>
                <w:rFonts w:hint="eastAsia" w:ascii="仿宋" w:hAnsi="仿宋" w:eastAsia="仿宋" w:cs="仿宋"/>
                <w:i w:val="0"/>
                <w:iCs w:val="0"/>
                <w:color w:val="auto"/>
                <w:kern w:val="0"/>
                <w:sz w:val="20"/>
                <w:szCs w:val="20"/>
                <w:u w:val="none"/>
                <w:lang w:val="en-US" w:eastAsia="zh-CN" w:bidi="ar"/>
              </w:rPr>
              <w:t>in；水嘴水效等级：2级，最大流量：不大于5.0L/min；水嘴节水评价值：2级，最大流量：不大于5.0L/min。</w:t>
            </w:r>
          </w:p>
        </w:tc>
        <w:tc>
          <w:tcPr>
            <w:tcW w:w="771" w:type="dxa"/>
            <w:tcBorders>
              <w:tl2br w:val="nil"/>
              <w:tr2bl w:val="nil"/>
            </w:tcBorders>
            <w:noWrap w:val="0"/>
            <w:vAlign w:val="center"/>
          </w:tcPr>
          <w:p w14:paraId="348ED60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7ED3AF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608C03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56C07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w:t>
            </w:r>
          </w:p>
        </w:tc>
        <w:tc>
          <w:tcPr>
            <w:tcW w:w="1470" w:type="dxa"/>
            <w:tcBorders>
              <w:tl2br w:val="nil"/>
              <w:tr2bl w:val="nil"/>
            </w:tcBorders>
            <w:noWrap w:val="0"/>
            <w:vAlign w:val="center"/>
          </w:tcPr>
          <w:p w14:paraId="03D455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防腐水槽</w:t>
            </w:r>
          </w:p>
        </w:tc>
        <w:tc>
          <w:tcPr>
            <w:tcW w:w="1425" w:type="dxa"/>
            <w:tcBorders>
              <w:tl2br w:val="nil"/>
              <w:tr2bl w:val="nil"/>
            </w:tcBorders>
            <w:noWrap w:val="0"/>
            <w:vAlign w:val="center"/>
          </w:tcPr>
          <w:p w14:paraId="23868D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550*450*290mm</w:t>
            </w:r>
          </w:p>
        </w:tc>
        <w:tc>
          <w:tcPr>
            <w:tcW w:w="4740" w:type="dxa"/>
            <w:tcBorders>
              <w:tl2br w:val="nil"/>
              <w:tr2bl w:val="nil"/>
            </w:tcBorders>
            <w:noWrap w:val="0"/>
            <w:vAlign w:val="center"/>
          </w:tcPr>
          <w:p w14:paraId="6D337B8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bCs/>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采用实验室专用高密度PP一体化成型水槽，易清洁，耐腐蚀，且利于台面残水自然回流，美观实用；具耐酸碱、耐有机溶剂、耐紫外线等特点。</w:t>
            </w:r>
          </w:p>
        </w:tc>
        <w:tc>
          <w:tcPr>
            <w:tcW w:w="771" w:type="dxa"/>
            <w:tcBorders>
              <w:tl2br w:val="nil"/>
              <w:tr2bl w:val="nil"/>
            </w:tcBorders>
            <w:noWrap w:val="0"/>
            <w:vAlign w:val="center"/>
          </w:tcPr>
          <w:p w14:paraId="2145FA1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6AEBB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2F9C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634B0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w:t>
            </w:r>
          </w:p>
        </w:tc>
        <w:tc>
          <w:tcPr>
            <w:tcW w:w="1470" w:type="dxa"/>
            <w:tcBorders>
              <w:tl2br w:val="nil"/>
              <w:tr2bl w:val="nil"/>
            </w:tcBorders>
            <w:noWrap w:val="0"/>
            <w:vAlign w:val="center"/>
          </w:tcPr>
          <w:p w14:paraId="3C9D3C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仪器柜</w:t>
            </w:r>
          </w:p>
        </w:tc>
        <w:tc>
          <w:tcPr>
            <w:tcW w:w="1425" w:type="dxa"/>
            <w:tcBorders>
              <w:tl2br w:val="nil"/>
              <w:tr2bl w:val="nil"/>
            </w:tcBorders>
            <w:noWrap w:val="0"/>
            <w:vAlign w:val="center"/>
          </w:tcPr>
          <w:p w14:paraId="15F61EF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1000*500*2000mm</w:t>
            </w:r>
          </w:p>
        </w:tc>
        <w:tc>
          <w:tcPr>
            <w:tcW w:w="4740" w:type="dxa"/>
            <w:tcBorders>
              <w:tl2br w:val="nil"/>
              <w:tr2bl w:val="nil"/>
            </w:tcBorders>
            <w:noWrap w:val="0"/>
            <w:vAlign w:val="center"/>
          </w:tcPr>
          <w:p w14:paraId="5695D4F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1.柜体框架：</w:t>
            </w:r>
            <w:r>
              <w:rPr>
                <w:rFonts w:hint="eastAsia" w:ascii="仿宋" w:hAnsi="仿宋" w:eastAsia="仿宋" w:cs="仿宋"/>
                <w:b w:val="0"/>
                <w:bCs w:val="0"/>
                <w:i w:val="0"/>
                <w:iCs w:val="0"/>
                <w:color w:val="auto"/>
                <w:kern w:val="0"/>
                <w:sz w:val="20"/>
                <w:szCs w:val="20"/>
                <w:u w:val="none"/>
                <w:lang w:val="en-US" w:eastAsia="zh-CN" w:bidi="ar"/>
              </w:rPr>
              <w:t>采用模具成型的专用铝合金方管制作，铝合金之间的连接采用ABS实芯连接件，保证连接牢固。铝合金型材带凹槽，凹槽的宽度与柜体衬板相匹配，凹槽的深度足够，保证柜体衬板与铝型材之间接缝严密，无晃动现象，不发生脱落。铝合金型材表面需经静电粉沫喷涂处理，整体耐腐蚀、防火、防潮、稳固耐用。</w:t>
            </w:r>
          </w:p>
          <w:p w14:paraId="2D2C532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2.柜体衬板：</w:t>
            </w:r>
            <w:r>
              <w:rPr>
                <w:rFonts w:hint="eastAsia" w:ascii="仿宋" w:hAnsi="仿宋" w:eastAsia="仿宋" w:cs="仿宋"/>
                <w:b w:val="0"/>
                <w:bCs w:val="0"/>
                <w:i w:val="0"/>
                <w:iCs w:val="0"/>
                <w:color w:val="auto"/>
                <w:kern w:val="0"/>
                <w:sz w:val="20"/>
                <w:szCs w:val="20"/>
                <w:u w:val="none"/>
                <w:lang w:val="en-US" w:eastAsia="zh-CN" w:bidi="ar"/>
              </w:rPr>
              <w:t>采用16mm厚优质三聚氰胺防潮双贴面板，(基板为E1级环保板)；所有截面都采用自动封边机选用优质PVC封边，粘力强、密封性好、外形美观、经久耐用。组装接缝严密，连接牢固，无松动现象。</w:t>
            </w:r>
          </w:p>
          <w:p w14:paraId="34BA090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3.柜门：</w:t>
            </w:r>
            <w:r>
              <w:rPr>
                <w:rFonts w:hint="eastAsia" w:ascii="仿宋" w:hAnsi="仿宋" w:eastAsia="仿宋" w:cs="仿宋"/>
                <w:b w:val="0"/>
                <w:bCs w:val="0"/>
                <w:i w:val="0"/>
                <w:iCs w:val="0"/>
                <w:color w:val="auto"/>
                <w:kern w:val="0"/>
                <w:sz w:val="20"/>
                <w:szCs w:val="20"/>
                <w:u w:val="none"/>
                <w:lang w:val="en-US" w:eastAsia="zh-CN" w:bidi="ar"/>
              </w:rPr>
              <w:t>上部为专用木框对开玻璃门，下部为对开木门。</w:t>
            </w:r>
          </w:p>
          <w:p w14:paraId="159AE8F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4.隔板：</w:t>
            </w:r>
            <w:r>
              <w:rPr>
                <w:rFonts w:hint="eastAsia" w:ascii="仿宋" w:hAnsi="仿宋" w:eastAsia="仿宋" w:cs="仿宋"/>
                <w:b w:val="0"/>
                <w:bCs w:val="0"/>
                <w:i w:val="0"/>
                <w:iCs w:val="0"/>
                <w:color w:val="auto"/>
                <w:kern w:val="0"/>
                <w:sz w:val="20"/>
                <w:szCs w:val="20"/>
                <w:u w:val="none"/>
                <w:lang w:val="en-US" w:eastAsia="zh-CN" w:bidi="ar"/>
              </w:rPr>
              <w:t>上柜设置2块隔板，下柜设置1块隔板。隔板所用的板材与柜体板材相同，厚度不小于16mm。</w:t>
            </w:r>
          </w:p>
          <w:p w14:paraId="30317DF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5.支脚：</w:t>
            </w:r>
            <w:r>
              <w:rPr>
                <w:rFonts w:hint="eastAsia" w:ascii="仿宋" w:hAnsi="仿宋" w:eastAsia="仿宋" w:cs="仿宋"/>
                <w:b w:val="0"/>
                <w:bCs w:val="0"/>
                <w:i w:val="0"/>
                <w:iCs w:val="0"/>
                <w:color w:val="auto"/>
                <w:kern w:val="0"/>
                <w:sz w:val="20"/>
                <w:szCs w:val="20"/>
                <w:u w:val="none"/>
                <w:lang w:val="en-US" w:eastAsia="zh-CN" w:bidi="ar"/>
              </w:rPr>
              <w:t>采用ABS工程塑料一次注塑成型的脚垫。</w:t>
            </w:r>
          </w:p>
        </w:tc>
        <w:tc>
          <w:tcPr>
            <w:tcW w:w="771" w:type="dxa"/>
            <w:tcBorders>
              <w:tl2br w:val="nil"/>
              <w:tr2bl w:val="nil"/>
            </w:tcBorders>
            <w:noWrap w:val="0"/>
            <w:vAlign w:val="center"/>
          </w:tcPr>
          <w:p w14:paraId="7D81D17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w:t>
            </w:r>
          </w:p>
        </w:tc>
        <w:tc>
          <w:tcPr>
            <w:tcW w:w="772" w:type="dxa"/>
            <w:tcBorders>
              <w:tl2br w:val="nil"/>
              <w:tr2bl w:val="nil"/>
            </w:tcBorders>
            <w:noWrap w:val="0"/>
            <w:vAlign w:val="center"/>
          </w:tcPr>
          <w:p w14:paraId="18A621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97F8F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334" w:hRule="atLeast"/>
        </w:trPr>
        <w:tc>
          <w:tcPr>
            <w:tcW w:w="686" w:type="dxa"/>
            <w:tcBorders>
              <w:tl2br w:val="nil"/>
              <w:tr2bl w:val="nil"/>
            </w:tcBorders>
            <w:shd w:val="clear" w:color="auto" w:fill="auto"/>
            <w:noWrap w:val="0"/>
            <w:vAlign w:val="center"/>
          </w:tcPr>
          <w:p w14:paraId="6BD2896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w:t>
            </w:r>
          </w:p>
        </w:tc>
        <w:tc>
          <w:tcPr>
            <w:tcW w:w="1470" w:type="dxa"/>
            <w:tcBorders>
              <w:tl2br w:val="nil"/>
              <w:tr2bl w:val="nil"/>
            </w:tcBorders>
            <w:noWrap w:val="0"/>
            <w:vAlign w:val="center"/>
          </w:tcPr>
          <w:p w14:paraId="237EACC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标本柜</w:t>
            </w:r>
          </w:p>
        </w:tc>
        <w:tc>
          <w:tcPr>
            <w:tcW w:w="1425" w:type="dxa"/>
            <w:tcBorders>
              <w:tl2br w:val="nil"/>
              <w:tr2bl w:val="nil"/>
            </w:tcBorders>
            <w:noWrap w:val="0"/>
            <w:vAlign w:val="center"/>
          </w:tcPr>
          <w:p w14:paraId="53A662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1000*500*2000mm</w:t>
            </w:r>
          </w:p>
        </w:tc>
        <w:tc>
          <w:tcPr>
            <w:tcW w:w="4740" w:type="dxa"/>
            <w:tcBorders>
              <w:tl2br w:val="nil"/>
              <w:tr2bl w:val="nil"/>
            </w:tcBorders>
            <w:noWrap w:val="0"/>
            <w:vAlign w:val="center"/>
          </w:tcPr>
          <w:p w14:paraId="3741EF1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1.柜体：</w:t>
            </w:r>
            <w:r>
              <w:rPr>
                <w:rFonts w:hint="eastAsia" w:ascii="仿宋" w:hAnsi="仿宋" w:eastAsia="仿宋" w:cs="仿宋"/>
                <w:b w:val="0"/>
                <w:bCs w:val="0"/>
                <w:i w:val="0"/>
                <w:iCs w:val="0"/>
                <w:color w:val="auto"/>
                <w:kern w:val="0"/>
                <w:sz w:val="20"/>
                <w:szCs w:val="20"/>
                <w:u w:val="none"/>
                <w:lang w:val="en-US" w:eastAsia="zh-CN" w:bidi="ar"/>
              </w:rPr>
              <w:t>侧板、顶底板采用ABS/PP材料模具一次成型，表面沙面和光面相结合处理，保证柜体之坚固及密封性，耐腐蚀性强，顶板、底板可预留模具成型排风孔。底部镶嵌15mm*30*1.2mm钢制横梁，承重力强。</w:t>
            </w:r>
          </w:p>
          <w:p w14:paraId="23F8E6F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2.上柜柜门：</w:t>
            </w:r>
            <w:r>
              <w:rPr>
                <w:rFonts w:hint="eastAsia" w:ascii="仿宋" w:hAnsi="仿宋" w:eastAsia="仿宋" w:cs="仿宋"/>
                <w:b w:val="0"/>
                <w:bCs w:val="0"/>
                <w:i w:val="0"/>
                <w:iCs w:val="0"/>
                <w:color w:val="auto"/>
                <w:kern w:val="0"/>
                <w:sz w:val="20"/>
                <w:szCs w:val="20"/>
                <w:u w:val="none"/>
                <w:lang w:val="en-US" w:eastAsia="zh-CN" w:bidi="ar"/>
              </w:rPr>
              <w:t>内框采用ABS/PP材质模具一次成型，外嵌5mm厚钢化烤漆玻璃，中间烤漆镂空制作。上下拉手及三角对称五点固定，防止玻璃的松动或开合。伸缩式PP旋转门轴，四角圆弧倒角，内侧弧形圆边。颜色可选配。</w:t>
            </w:r>
          </w:p>
          <w:p w14:paraId="6DBDE55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3.下柜柜门：</w:t>
            </w:r>
            <w:r>
              <w:rPr>
                <w:rFonts w:hint="eastAsia" w:ascii="仿宋" w:hAnsi="仿宋" w:eastAsia="仿宋" w:cs="仿宋"/>
                <w:b w:val="0"/>
                <w:bCs w:val="0"/>
                <w:i w:val="0"/>
                <w:iCs w:val="0"/>
                <w:color w:val="auto"/>
                <w:kern w:val="0"/>
                <w:sz w:val="20"/>
                <w:szCs w:val="20"/>
                <w:u w:val="none"/>
                <w:lang w:val="en-US" w:eastAsia="zh-CN" w:bidi="ar"/>
              </w:rPr>
              <w:t>内框采用ABS/PP材质模具一次成型，外嵌5mm厚钢化烤漆玻璃。上下拉手及三角对称五点固定，防止玻璃的松动或开合。伸缩式ABS旋转门轴，四角圆弧倒角，内侧弧形圆边。颜色可选配</w:t>
            </w:r>
          </w:p>
          <w:p w14:paraId="7A8CFB4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4.层板：</w:t>
            </w:r>
            <w:r>
              <w:rPr>
                <w:rFonts w:hint="eastAsia" w:ascii="仿宋" w:hAnsi="仿宋" w:eastAsia="仿宋" w:cs="仿宋"/>
                <w:b w:val="0"/>
                <w:bCs w:val="0"/>
                <w:i w:val="0"/>
                <w:iCs w:val="0"/>
                <w:color w:val="auto"/>
                <w:kern w:val="0"/>
                <w:sz w:val="20"/>
                <w:szCs w:val="20"/>
                <w:u w:val="none"/>
                <w:lang w:val="en-US" w:eastAsia="zh-CN" w:bidi="ar"/>
              </w:rPr>
              <w:t>上柜配置两块活动层板，下柜配置一块活动层板，层板全部采用ABS/PP材料模具一次成型，表面沙面和光面相结合处理，四周有阻水边，底部镶嵌两根15mm*30*1.2mm钢制横梁，承重力强。整体设计为活动式，可随意抽取放在合适的隔层，自由组合各层空间。</w:t>
            </w:r>
          </w:p>
          <w:p w14:paraId="39A0FC9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5.拉手：</w:t>
            </w:r>
            <w:r>
              <w:rPr>
                <w:rFonts w:hint="eastAsia" w:ascii="仿宋" w:hAnsi="仿宋" w:eastAsia="仿宋" w:cs="仿宋"/>
                <w:b w:val="0"/>
                <w:bCs w:val="0"/>
                <w:i w:val="0"/>
                <w:iCs w:val="0"/>
                <w:color w:val="auto"/>
                <w:kern w:val="0"/>
                <w:sz w:val="20"/>
                <w:szCs w:val="20"/>
                <w:u w:val="none"/>
                <w:lang w:val="en-US" w:eastAsia="zh-CN" w:bidi="ar"/>
              </w:rPr>
              <w:t>采用ABS材料模具一次成型，直角梯形四周倒圆与柜门平行，开启方便。</w:t>
            </w:r>
          </w:p>
          <w:p w14:paraId="18879E6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6.门铰链：</w:t>
            </w:r>
            <w:r>
              <w:rPr>
                <w:rFonts w:hint="eastAsia" w:ascii="仿宋" w:hAnsi="仿宋" w:eastAsia="仿宋" w:cs="仿宋"/>
                <w:b w:val="0"/>
                <w:bCs w:val="0"/>
                <w:i w:val="0"/>
                <w:iCs w:val="0"/>
                <w:color w:val="auto"/>
                <w:kern w:val="0"/>
                <w:sz w:val="20"/>
                <w:szCs w:val="20"/>
                <w:u w:val="none"/>
                <w:lang w:val="en-US" w:eastAsia="zh-CN" w:bidi="ar"/>
              </w:rPr>
              <w:t>采用ABS材料模具一次成型，伸缩式PP旋转门轴，永不生锈，耐腐蚀性好。</w:t>
            </w:r>
          </w:p>
          <w:p w14:paraId="439EFAC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7.药品柜技术性能要求需满足依据GB/T 32487-2016《塑料家具通用技术条检》，力学性能：搁板定位：搁板空载时自重50%的力；搁板支承件强度：冲击钢板1.7Kg，10次；结构和底架强度：试件刚好倾斜所加的力，10次；跌落试验：跌落高度33mm；拉门垂直加载：质量20Kg，10次；拉门水平加载：60N，10次；拉门猛关：m1+3Kg,10次；</w:t>
            </w:r>
          </w:p>
          <w:p w14:paraId="4D23CCE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理化性能：塑料件：耐冷热循环：应无裂纹、无鼓泡、无变色、无起皱；</w:t>
            </w:r>
          </w:p>
          <w:p w14:paraId="575EBC6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8.药品柜技术性能要求需满足依据GB/T 9286-2021 《色漆和清漆 划格试验》及GB/T 10125-2021 《人造气氛腐蚀试验 盐雾试验》中性盐雾试验不小于10级，附着力不小于2级；</w:t>
            </w:r>
          </w:p>
        </w:tc>
        <w:tc>
          <w:tcPr>
            <w:tcW w:w="771" w:type="dxa"/>
            <w:tcBorders>
              <w:tl2br w:val="nil"/>
              <w:tr2bl w:val="nil"/>
            </w:tcBorders>
            <w:noWrap w:val="0"/>
            <w:vAlign w:val="center"/>
          </w:tcPr>
          <w:p w14:paraId="00062F3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w:t>
            </w:r>
          </w:p>
        </w:tc>
        <w:tc>
          <w:tcPr>
            <w:tcW w:w="772" w:type="dxa"/>
            <w:tcBorders>
              <w:tl2br w:val="nil"/>
              <w:tr2bl w:val="nil"/>
            </w:tcBorders>
            <w:noWrap w:val="0"/>
            <w:vAlign w:val="center"/>
          </w:tcPr>
          <w:p w14:paraId="2239610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1181F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91936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w:t>
            </w:r>
          </w:p>
        </w:tc>
        <w:tc>
          <w:tcPr>
            <w:tcW w:w="1470" w:type="dxa"/>
            <w:tcBorders>
              <w:tl2br w:val="nil"/>
              <w:tr2bl w:val="nil"/>
            </w:tcBorders>
            <w:noWrap w:val="0"/>
            <w:vAlign w:val="center"/>
          </w:tcPr>
          <w:p w14:paraId="0BAD556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电气布线（地上部分）</w:t>
            </w:r>
          </w:p>
        </w:tc>
        <w:tc>
          <w:tcPr>
            <w:tcW w:w="1425" w:type="dxa"/>
            <w:tcBorders>
              <w:tl2br w:val="nil"/>
              <w:tr2bl w:val="nil"/>
            </w:tcBorders>
            <w:noWrap w:val="0"/>
            <w:vAlign w:val="center"/>
          </w:tcPr>
          <w:p w14:paraId="39B8F2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B401E7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国标阻燃PVC线管，国标优质铜芯线，4平方毫米、2.5平方毫米（地上部分）</w:t>
            </w:r>
          </w:p>
        </w:tc>
        <w:tc>
          <w:tcPr>
            <w:tcW w:w="771" w:type="dxa"/>
            <w:tcBorders>
              <w:tl2br w:val="nil"/>
              <w:tr2bl w:val="nil"/>
            </w:tcBorders>
            <w:noWrap w:val="0"/>
            <w:vAlign w:val="center"/>
          </w:tcPr>
          <w:p w14:paraId="75C24B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5551EF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间</w:t>
            </w:r>
          </w:p>
        </w:tc>
      </w:tr>
      <w:tr w14:paraId="21FBE2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A0B34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w:t>
            </w:r>
          </w:p>
        </w:tc>
        <w:tc>
          <w:tcPr>
            <w:tcW w:w="1470" w:type="dxa"/>
            <w:tcBorders>
              <w:tl2br w:val="nil"/>
              <w:tr2bl w:val="nil"/>
            </w:tcBorders>
            <w:noWrap w:val="0"/>
            <w:vAlign w:val="center"/>
          </w:tcPr>
          <w:p w14:paraId="02AB76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室内给排水系统（地上部分）</w:t>
            </w:r>
          </w:p>
        </w:tc>
        <w:tc>
          <w:tcPr>
            <w:tcW w:w="1425" w:type="dxa"/>
            <w:tcBorders>
              <w:tl2br w:val="nil"/>
              <w:tr2bl w:val="nil"/>
            </w:tcBorders>
            <w:noWrap w:val="0"/>
            <w:vAlign w:val="center"/>
          </w:tcPr>
          <w:p w14:paraId="3CE23A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8E0456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国标直径20mm优质PPR管、国标直径50mm优质防腐PVC管（地上部分）</w:t>
            </w:r>
          </w:p>
        </w:tc>
        <w:tc>
          <w:tcPr>
            <w:tcW w:w="771" w:type="dxa"/>
            <w:tcBorders>
              <w:tl2br w:val="nil"/>
              <w:tr2bl w:val="nil"/>
            </w:tcBorders>
            <w:noWrap w:val="0"/>
            <w:vAlign w:val="center"/>
          </w:tcPr>
          <w:p w14:paraId="489F945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D98908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间</w:t>
            </w:r>
          </w:p>
        </w:tc>
      </w:tr>
      <w:tr w14:paraId="4B1D2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2537A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w:t>
            </w:r>
          </w:p>
        </w:tc>
        <w:tc>
          <w:tcPr>
            <w:tcW w:w="1470" w:type="dxa"/>
            <w:tcBorders>
              <w:tl2br w:val="nil"/>
              <w:tr2bl w:val="nil"/>
            </w:tcBorders>
            <w:noWrap w:val="0"/>
            <w:vAlign w:val="center"/>
          </w:tcPr>
          <w:p w14:paraId="1A5FF53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室外通风管道</w:t>
            </w:r>
          </w:p>
        </w:tc>
        <w:tc>
          <w:tcPr>
            <w:tcW w:w="1425" w:type="dxa"/>
            <w:tcBorders>
              <w:tl2br w:val="nil"/>
              <w:tr2bl w:val="nil"/>
            </w:tcBorders>
            <w:noWrap w:val="0"/>
            <w:vAlign w:val="center"/>
          </w:tcPr>
          <w:p w14:paraId="435DC9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F0A884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室外采用Φ400mm的PVC圆管,通至楼顶风机处。合理设计布置通风走向。</w:t>
            </w:r>
          </w:p>
        </w:tc>
        <w:tc>
          <w:tcPr>
            <w:tcW w:w="771" w:type="dxa"/>
            <w:tcBorders>
              <w:tl2br w:val="nil"/>
              <w:tr2bl w:val="nil"/>
            </w:tcBorders>
            <w:noWrap w:val="0"/>
            <w:vAlign w:val="center"/>
          </w:tcPr>
          <w:p w14:paraId="13D5F8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72" w:type="dxa"/>
            <w:tcBorders>
              <w:tl2br w:val="nil"/>
              <w:tr2bl w:val="nil"/>
            </w:tcBorders>
            <w:noWrap w:val="0"/>
            <w:vAlign w:val="center"/>
          </w:tcPr>
          <w:p w14:paraId="1F358E2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层</w:t>
            </w:r>
          </w:p>
        </w:tc>
      </w:tr>
      <w:tr w14:paraId="4E7BF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9891C9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10</w:t>
            </w:r>
          </w:p>
        </w:tc>
        <w:tc>
          <w:tcPr>
            <w:tcW w:w="1470" w:type="dxa"/>
            <w:tcBorders>
              <w:tl2br w:val="nil"/>
              <w:tr2bl w:val="nil"/>
            </w:tcBorders>
            <w:noWrap w:val="0"/>
            <w:vAlign w:val="center"/>
          </w:tcPr>
          <w:p w14:paraId="03622A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变频调速风机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（带变频器及控制线）</w:t>
            </w:r>
          </w:p>
        </w:tc>
        <w:tc>
          <w:tcPr>
            <w:tcW w:w="1425" w:type="dxa"/>
            <w:tcBorders>
              <w:tl2br w:val="nil"/>
              <w:tr2bl w:val="nil"/>
            </w:tcBorders>
            <w:noWrap w:val="0"/>
            <w:vAlign w:val="center"/>
          </w:tcPr>
          <w:p w14:paraId="6FE5608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C6B01B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 xml:space="preserve">1.外壳采用米灰色聚丙烯PP板，具有抗紫外线、耐老化、耐强酸、强碱与抗腐蚀的特性。   </w:t>
            </w:r>
            <w:r>
              <w:rPr>
                <w:rFonts w:hint="eastAsia" w:ascii="仿宋" w:hAnsi="仿宋" w:eastAsia="仿宋" w:cs="仿宋"/>
                <w:b w:val="0"/>
                <w:bCs w:val="0"/>
                <w:i w:val="0"/>
                <w:iCs w:val="0"/>
                <w:color w:val="auto"/>
                <w:kern w:val="0"/>
                <w:sz w:val="20"/>
                <w:szCs w:val="20"/>
                <w:u w:val="none"/>
                <w:lang w:val="en-US" w:eastAsia="zh-CN" w:bidi="ar"/>
              </w:rPr>
              <w:br w:type="textWrapping"/>
            </w:r>
            <w:r>
              <w:rPr>
                <w:rFonts w:hint="eastAsia" w:ascii="仿宋" w:hAnsi="仿宋" w:eastAsia="仿宋" w:cs="仿宋"/>
                <w:b w:val="0"/>
                <w:bCs w:val="0"/>
                <w:i w:val="0"/>
                <w:iCs w:val="0"/>
                <w:color w:val="auto"/>
                <w:kern w:val="0"/>
                <w:sz w:val="20"/>
                <w:szCs w:val="20"/>
                <w:u w:val="none"/>
                <w:lang w:val="en-US" w:eastAsia="zh-CN" w:bidi="ar"/>
              </w:rPr>
              <w:t xml:space="preserve">2.电机防雨罩的结构简单，使用检修方便，可有效防止电机被雨水打湿，延长电机使用寿命， </w:t>
            </w:r>
            <w:r>
              <w:rPr>
                <w:rFonts w:hint="eastAsia" w:ascii="仿宋" w:hAnsi="仿宋" w:eastAsia="仿宋" w:cs="仿宋"/>
                <w:b w:val="0"/>
                <w:bCs w:val="0"/>
                <w:i w:val="0"/>
                <w:iCs w:val="0"/>
                <w:color w:val="auto"/>
                <w:kern w:val="0"/>
                <w:sz w:val="20"/>
                <w:szCs w:val="20"/>
                <w:u w:val="none"/>
                <w:lang w:val="en-US" w:eastAsia="zh-CN" w:bidi="ar"/>
              </w:rPr>
              <w:br w:type="textWrapping"/>
            </w:r>
            <w:r>
              <w:rPr>
                <w:rFonts w:hint="eastAsia" w:ascii="仿宋" w:hAnsi="仿宋" w:eastAsia="仿宋" w:cs="仿宋"/>
                <w:b w:val="0"/>
                <w:bCs w:val="0"/>
                <w:i w:val="0"/>
                <w:iCs w:val="0"/>
                <w:color w:val="auto"/>
                <w:kern w:val="0"/>
                <w:sz w:val="20"/>
                <w:szCs w:val="20"/>
                <w:u w:val="none"/>
                <w:lang w:val="en-US" w:eastAsia="zh-CN" w:bidi="ar"/>
              </w:rPr>
              <w:t>3.自带减震垫可减少地面的震动，有效降低风机的动载荷，从而延长风机的使用寿命； 叶轮根据不同性能参数由8～36个后倾的机翼型叶片、曲线型前盖板和平板后盘组成，增强有效排风量。风机功率：5.5KW。转速1450，风量：6800-14530。全压：1150-748。</w:t>
            </w:r>
          </w:p>
        </w:tc>
        <w:tc>
          <w:tcPr>
            <w:tcW w:w="771" w:type="dxa"/>
            <w:tcBorders>
              <w:tl2br w:val="nil"/>
              <w:tr2bl w:val="nil"/>
            </w:tcBorders>
            <w:noWrap w:val="0"/>
            <w:vAlign w:val="center"/>
          </w:tcPr>
          <w:p w14:paraId="52183A7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E24DE2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755BF5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58FED8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11</w:t>
            </w:r>
          </w:p>
        </w:tc>
        <w:tc>
          <w:tcPr>
            <w:tcW w:w="1470" w:type="dxa"/>
            <w:tcBorders>
              <w:tl2br w:val="nil"/>
              <w:tr2bl w:val="nil"/>
            </w:tcBorders>
            <w:noWrap w:val="0"/>
            <w:vAlign w:val="center"/>
          </w:tcPr>
          <w:p w14:paraId="7F008A8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环境改造</w:t>
            </w:r>
          </w:p>
        </w:tc>
        <w:tc>
          <w:tcPr>
            <w:tcW w:w="1425" w:type="dxa"/>
            <w:tcBorders>
              <w:tl2br w:val="nil"/>
              <w:tr2bl w:val="nil"/>
            </w:tcBorders>
            <w:noWrap w:val="0"/>
            <w:vAlign w:val="center"/>
          </w:tcPr>
          <w:p w14:paraId="578D62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5AF8C1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地面处理，顶面处理，墙面处理</w:t>
            </w:r>
          </w:p>
        </w:tc>
        <w:tc>
          <w:tcPr>
            <w:tcW w:w="771" w:type="dxa"/>
            <w:tcBorders>
              <w:tl2br w:val="nil"/>
              <w:tr2bl w:val="nil"/>
            </w:tcBorders>
            <w:noWrap w:val="0"/>
            <w:vAlign w:val="center"/>
          </w:tcPr>
          <w:p w14:paraId="198C7F0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9D446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间</w:t>
            </w:r>
          </w:p>
        </w:tc>
      </w:tr>
      <w:tr w14:paraId="486D1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09742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12</w:t>
            </w:r>
          </w:p>
        </w:tc>
        <w:tc>
          <w:tcPr>
            <w:tcW w:w="1470" w:type="dxa"/>
            <w:tcBorders>
              <w:tl2br w:val="nil"/>
              <w:tr2bl w:val="nil"/>
            </w:tcBorders>
            <w:noWrap w:val="0"/>
            <w:vAlign w:val="center"/>
          </w:tcPr>
          <w:p w14:paraId="40DF273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打孔器</w:t>
            </w:r>
          </w:p>
        </w:tc>
        <w:tc>
          <w:tcPr>
            <w:tcW w:w="1425" w:type="dxa"/>
            <w:tcBorders>
              <w:tl2br w:val="nil"/>
              <w:tr2bl w:val="nil"/>
            </w:tcBorders>
            <w:noWrap w:val="0"/>
            <w:vAlign w:val="center"/>
          </w:tcPr>
          <w:p w14:paraId="52844F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0A5A6E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齿口式，外径5mm、6.5mm、8mm、9.5mm，加通针（推荐）</w:t>
            </w:r>
          </w:p>
        </w:tc>
        <w:tc>
          <w:tcPr>
            <w:tcW w:w="771" w:type="dxa"/>
            <w:tcBorders>
              <w:tl2br w:val="nil"/>
              <w:tr2bl w:val="nil"/>
            </w:tcBorders>
            <w:noWrap w:val="0"/>
            <w:vAlign w:val="center"/>
          </w:tcPr>
          <w:p w14:paraId="7AD8867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72" w:type="dxa"/>
            <w:tcBorders>
              <w:tl2br w:val="nil"/>
              <w:tr2bl w:val="nil"/>
            </w:tcBorders>
            <w:noWrap w:val="0"/>
            <w:vAlign w:val="center"/>
          </w:tcPr>
          <w:p w14:paraId="4755E85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060B02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C5BE86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13</w:t>
            </w:r>
          </w:p>
        </w:tc>
        <w:tc>
          <w:tcPr>
            <w:tcW w:w="1470" w:type="dxa"/>
            <w:tcBorders>
              <w:tl2br w:val="nil"/>
              <w:tr2bl w:val="nil"/>
            </w:tcBorders>
            <w:noWrap w:val="0"/>
            <w:vAlign w:val="center"/>
          </w:tcPr>
          <w:p w14:paraId="351E2DF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打孔夹板</w:t>
            </w:r>
          </w:p>
        </w:tc>
        <w:tc>
          <w:tcPr>
            <w:tcW w:w="1425" w:type="dxa"/>
            <w:tcBorders>
              <w:tl2br w:val="nil"/>
              <w:tr2bl w:val="nil"/>
            </w:tcBorders>
            <w:noWrap w:val="0"/>
            <w:vAlign w:val="center"/>
          </w:tcPr>
          <w:p w14:paraId="46925F1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F415EE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六个锥形孔，孔径16/12mm、23/71mm、25/19mm、31/25mm、36/29mm、44/36mm，锥度1∶10。</w:t>
            </w:r>
          </w:p>
        </w:tc>
        <w:tc>
          <w:tcPr>
            <w:tcW w:w="771" w:type="dxa"/>
            <w:tcBorders>
              <w:tl2br w:val="nil"/>
              <w:tr2bl w:val="nil"/>
            </w:tcBorders>
            <w:noWrap w:val="0"/>
            <w:vAlign w:val="center"/>
          </w:tcPr>
          <w:p w14:paraId="515271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31956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E98E6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23806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14</w:t>
            </w:r>
          </w:p>
        </w:tc>
        <w:tc>
          <w:tcPr>
            <w:tcW w:w="1470" w:type="dxa"/>
            <w:tcBorders>
              <w:tl2br w:val="nil"/>
              <w:tr2bl w:val="nil"/>
            </w:tcBorders>
            <w:noWrap w:val="0"/>
            <w:vAlign w:val="center"/>
          </w:tcPr>
          <w:p w14:paraId="12E3AB0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打孔器刮刀</w:t>
            </w:r>
          </w:p>
        </w:tc>
        <w:tc>
          <w:tcPr>
            <w:tcW w:w="1425" w:type="dxa"/>
            <w:tcBorders>
              <w:tl2br w:val="nil"/>
              <w:tr2bl w:val="nil"/>
            </w:tcBorders>
            <w:noWrap w:val="0"/>
            <w:vAlign w:val="center"/>
          </w:tcPr>
          <w:p w14:paraId="497DFC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84D759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刀轴：硬度HRC40～45，总长83mm锥形，刮刀硬度HRC50～55</w:t>
            </w:r>
          </w:p>
        </w:tc>
        <w:tc>
          <w:tcPr>
            <w:tcW w:w="771" w:type="dxa"/>
            <w:tcBorders>
              <w:tl2br w:val="nil"/>
              <w:tr2bl w:val="nil"/>
            </w:tcBorders>
            <w:noWrap w:val="0"/>
            <w:vAlign w:val="center"/>
          </w:tcPr>
          <w:p w14:paraId="48D41D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6612DE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D5B01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5230A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15</w:t>
            </w:r>
          </w:p>
        </w:tc>
        <w:tc>
          <w:tcPr>
            <w:tcW w:w="1470" w:type="dxa"/>
            <w:tcBorders>
              <w:tl2br w:val="nil"/>
              <w:tr2bl w:val="nil"/>
            </w:tcBorders>
            <w:noWrap w:val="0"/>
            <w:vAlign w:val="center"/>
          </w:tcPr>
          <w:p w14:paraId="0176A0E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直联泵</w:t>
            </w:r>
          </w:p>
        </w:tc>
        <w:tc>
          <w:tcPr>
            <w:tcW w:w="1425" w:type="dxa"/>
            <w:tcBorders>
              <w:tl2br w:val="nil"/>
              <w:tr2bl w:val="nil"/>
            </w:tcBorders>
            <w:noWrap w:val="0"/>
            <w:vAlign w:val="center"/>
          </w:tcPr>
          <w:p w14:paraId="4643DA8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F60226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2XZ-0.5型，极限压力≤6×10－2Pa。进气口外径8mm，配压缩空气橡胶管，内径6.3mm，长度2.0m</w:t>
            </w:r>
          </w:p>
        </w:tc>
        <w:tc>
          <w:tcPr>
            <w:tcW w:w="771" w:type="dxa"/>
            <w:tcBorders>
              <w:tl2br w:val="nil"/>
              <w:tr2bl w:val="nil"/>
            </w:tcBorders>
            <w:noWrap w:val="0"/>
            <w:vAlign w:val="center"/>
          </w:tcPr>
          <w:p w14:paraId="674F60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F6390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1778F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DDE580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16</w:t>
            </w:r>
          </w:p>
        </w:tc>
        <w:tc>
          <w:tcPr>
            <w:tcW w:w="1470" w:type="dxa"/>
            <w:tcBorders>
              <w:tl2br w:val="nil"/>
              <w:tr2bl w:val="nil"/>
            </w:tcBorders>
            <w:noWrap w:val="0"/>
            <w:vAlign w:val="center"/>
          </w:tcPr>
          <w:p w14:paraId="28954F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两用气筒</w:t>
            </w:r>
          </w:p>
        </w:tc>
        <w:tc>
          <w:tcPr>
            <w:tcW w:w="1425" w:type="dxa"/>
            <w:tcBorders>
              <w:tl2br w:val="nil"/>
              <w:tr2bl w:val="nil"/>
            </w:tcBorders>
            <w:noWrap w:val="0"/>
            <w:vAlign w:val="center"/>
          </w:tcPr>
          <w:p w14:paraId="025D96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F5C409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抽气≤6.7×103Pa（50mmHg）。打气≥2.9×105Pa(3kgf/cm2)。附气嘴。吸气和打气嘴外径φ9mm</w:t>
            </w:r>
          </w:p>
        </w:tc>
        <w:tc>
          <w:tcPr>
            <w:tcW w:w="771" w:type="dxa"/>
            <w:tcBorders>
              <w:tl2br w:val="nil"/>
              <w:tr2bl w:val="nil"/>
            </w:tcBorders>
            <w:noWrap w:val="0"/>
            <w:vAlign w:val="center"/>
          </w:tcPr>
          <w:p w14:paraId="405D4CC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772" w:type="dxa"/>
            <w:tcBorders>
              <w:tl2br w:val="nil"/>
              <w:tr2bl w:val="nil"/>
            </w:tcBorders>
            <w:noWrap w:val="0"/>
            <w:vAlign w:val="center"/>
          </w:tcPr>
          <w:p w14:paraId="0EB1CF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FCF09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B1961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17</w:t>
            </w:r>
          </w:p>
        </w:tc>
        <w:tc>
          <w:tcPr>
            <w:tcW w:w="1470" w:type="dxa"/>
            <w:tcBorders>
              <w:tl2br w:val="nil"/>
              <w:tr2bl w:val="nil"/>
            </w:tcBorders>
            <w:noWrap w:val="0"/>
            <w:vAlign w:val="center"/>
          </w:tcPr>
          <w:p w14:paraId="36A23F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抽气盘</w:t>
            </w:r>
          </w:p>
        </w:tc>
        <w:tc>
          <w:tcPr>
            <w:tcW w:w="1425" w:type="dxa"/>
            <w:tcBorders>
              <w:tl2br w:val="nil"/>
              <w:tr2bl w:val="nil"/>
            </w:tcBorders>
            <w:noWrap w:val="0"/>
            <w:vAlign w:val="center"/>
          </w:tcPr>
          <w:p w14:paraId="23DC38C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46D469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外径φ≥180mm，抽气口接口外径8mm。钟罩底部直径180mm，弹性材料悬挂是电铃。附2m长内径6.3mm压缩空气用橡胶管</w:t>
            </w:r>
          </w:p>
        </w:tc>
        <w:tc>
          <w:tcPr>
            <w:tcW w:w="771" w:type="dxa"/>
            <w:tcBorders>
              <w:tl2br w:val="nil"/>
              <w:tr2bl w:val="nil"/>
            </w:tcBorders>
            <w:noWrap w:val="0"/>
            <w:vAlign w:val="center"/>
          </w:tcPr>
          <w:p w14:paraId="60E780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36F0FC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19991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407E4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18</w:t>
            </w:r>
          </w:p>
        </w:tc>
        <w:tc>
          <w:tcPr>
            <w:tcW w:w="1470" w:type="dxa"/>
            <w:tcBorders>
              <w:tl2br w:val="nil"/>
              <w:tr2bl w:val="nil"/>
            </w:tcBorders>
            <w:noWrap w:val="0"/>
            <w:vAlign w:val="center"/>
          </w:tcPr>
          <w:p w14:paraId="37B1B2D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仪器车</w:t>
            </w:r>
          </w:p>
        </w:tc>
        <w:tc>
          <w:tcPr>
            <w:tcW w:w="1425" w:type="dxa"/>
            <w:tcBorders>
              <w:tl2br w:val="nil"/>
              <w:tr2bl w:val="nil"/>
            </w:tcBorders>
            <w:noWrap w:val="0"/>
            <w:vAlign w:val="center"/>
          </w:tcPr>
          <w:p w14:paraId="170072B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064D95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600mm×400mm×800mm；车轮：Φ75mm，厚25mm；一轮带刹车；载重60kg，车架扭动≤15mm</w:t>
            </w:r>
          </w:p>
        </w:tc>
        <w:tc>
          <w:tcPr>
            <w:tcW w:w="771" w:type="dxa"/>
            <w:tcBorders>
              <w:tl2br w:val="nil"/>
              <w:tr2bl w:val="nil"/>
            </w:tcBorders>
            <w:noWrap w:val="0"/>
            <w:vAlign w:val="center"/>
          </w:tcPr>
          <w:p w14:paraId="101FE00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327586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26780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9CEA8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19</w:t>
            </w:r>
          </w:p>
        </w:tc>
        <w:tc>
          <w:tcPr>
            <w:tcW w:w="1470" w:type="dxa"/>
            <w:tcBorders>
              <w:tl2br w:val="nil"/>
              <w:tr2bl w:val="nil"/>
            </w:tcBorders>
            <w:noWrap w:val="0"/>
            <w:vAlign w:val="center"/>
          </w:tcPr>
          <w:p w14:paraId="2372FC2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水平尺</w:t>
            </w:r>
          </w:p>
        </w:tc>
        <w:tc>
          <w:tcPr>
            <w:tcW w:w="1425" w:type="dxa"/>
            <w:tcBorders>
              <w:tl2br w:val="nil"/>
              <w:tr2bl w:val="nil"/>
            </w:tcBorders>
            <w:noWrap w:val="0"/>
            <w:vAlign w:val="center"/>
          </w:tcPr>
          <w:p w14:paraId="14ADC80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560A50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三水泡，长600mm</w:t>
            </w:r>
          </w:p>
        </w:tc>
        <w:tc>
          <w:tcPr>
            <w:tcW w:w="771" w:type="dxa"/>
            <w:tcBorders>
              <w:tl2br w:val="nil"/>
              <w:tr2bl w:val="nil"/>
            </w:tcBorders>
            <w:noWrap w:val="0"/>
            <w:vAlign w:val="center"/>
          </w:tcPr>
          <w:p w14:paraId="10FB65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w:t>
            </w:r>
          </w:p>
        </w:tc>
        <w:tc>
          <w:tcPr>
            <w:tcW w:w="772" w:type="dxa"/>
            <w:tcBorders>
              <w:tl2br w:val="nil"/>
              <w:tr2bl w:val="nil"/>
            </w:tcBorders>
            <w:noWrap w:val="0"/>
            <w:vAlign w:val="center"/>
          </w:tcPr>
          <w:p w14:paraId="318BDE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6016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BEA238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20</w:t>
            </w:r>
          </w:p>
        </w:tc>
        <w:tc>
          <w:tcPr>
            <w:tcW w:w="1470" w:type="dxa"/>
            <w:tcBorders>
              <w:tl2br w:val="nil"/>
              <w:tr2bl w:val="nil"/>
            </w:tcBorders>
            <w:noWrap w:val="0"/>
            <w:vAlign w:val="center"/>
          </w:tcPr>
          <w:p w14:paraId="7E3BA75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充磁器</w:t>
            </w:r>
          </w:p>
        </w:tc>
        <w:tc>
          <w:tcPr>
            <w:tcW w:w="1425" w:type="dxa"/>
            <w:tcBorders>
              <w:tl2br w:val="nil"/>
              <w:tr2bl w:val="nil"/>
            </w:tcBorders>
            <w:noWrap w:val="0"/>
            <w:vAlign w:val="center"/>
          </w:tcPr>
          <w:p w14:paraId="30874B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00F69C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磁场强度≥56kA/m，充U形磁钢磁极间距离大于28mm，截面积≤42mm×24mm，条形磁钢磁极截面积≤小于42mm×24mm，配磁回路软铁</w:t>
            </w:r>
          </w:p>
        </w:tc>
        <w:tc>
          <w:tcPr>
            <w:tcW w:w="771" w:type="dxa"/>
            <w:tcBorders>
              <w:tl2br w:val="nil"/>
              <w:tr2bl w:val="nil"/>
            </w:tcBorders>
            <w:noWrap w:val="0"/>
            <w:vAlign w:val="center"/>
          </w:tcPr>
          <w:p w14:paraId="338B8F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A4790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3AA274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4F2E8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21</w:t>
            </w:r>
          </w:p>
        </w:tc>
        <w:tc>
          <w:tcPr>
            <w:tcW w:w="1470" w:type="dxa"/>
            <w:tcBorders>
              <w:tl2br w:val="nil"/>
              <w:tr2bl w:val="nil"/>
            </w:tcBorders>
            <w:noWrap w:val="0"/>
            <w:vAlign w:val="center"/>
          </w:tcPr>
          <w:p w14:paraId="26EB6C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双目立体显微镜</w:t>
            </w:r>
          </w:p>
        </w:tc>
        <w:tc>
          <w:tcPr>
            <w:tcW w:w="1425" w:type="dxa"/>
            <w:tcBorders>
              <w:tl2br w:val="nil"/>
              <w:tr2bl w:val="nil"/>
            </w:tcBorders>
            <w:noWrap w:val="0"/>
            <w:vAlign w:val="center"/>
          </w:tcPr>
          <w:p w14:paraId="082AECE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8BD886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目镜10×，焦距20mm,应符合GB/T 9246－2008第4.1～4.6条，物镜4×，焦距58mm；带光源</w:t>
            </w:r>
          </w:p>
        </w:tc>
        <w:tc>
          <w:tcPr>
            <w:tcW w:w="771" w:type="dxa"/>
            <w:tcBorders>
              <w:tl2br w:val="nil"/>
              <w:tr2bl w:val="nil"/>
            </w:tcBorders>
            <w:noWrap w:val="0"/>
            <w:vAlign w:val="center"/>
          </w:tcPr>
          <w:p w14:paraId="738A35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72" w:type="dxa"/>
            <w:tcBorders>
              <w:tl2br w:val="nil"/>
              <w:tr2bl w:val="nil"/>
            </w:tcBorders>
            <w:noWrap w:val="0"/>
            <w:vAlign w:val="center"/>
          </w:tcPr>
          <w:p w14:paraId="1C172B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8C517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741EE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22</w:t>
            </w:r>
          </w:p>
        </w:tc>
        <w:tc>
          <w:tcPr>
            <w:tcW w:w="1470" w:type="dxa"/>
            <w:tcBorders>
              <w:tl2br w:val="nil"/>
              <w:tr2bl w:val="nil"/>
            </w:tcBorders>
            <w:noWrap w:val="0"/>
            <w:vAlign w:val="center"/>
          </w:tcPr>
          <w:p w14:paraId="779983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放大镜</w:t>
            </w:r>
          </w:p>
        </w:tc>
        <w:tc>
          <w:tcPr>
            <w:tcW w:w="1425" w:type="dxa"/>
            <w:tcBorders>
              <w:tl2br w:val="nil"/>
              <w:tr2bl w:val="nil"/>
            </w:tcBorders>
            <w:noWrap w:val="0"/>
            <w:vAlign w:val="center"/>
          </w:tcPr>
          <w:p w14:paraId="60FAEFF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5788C2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5倍（焦距≈50mm，误差≤8%），通光孔径30mm</w:t>
            </w:r>
          </w:p>
        </w:tc>
        <w:tc>
          <w:tcPr>
            <w:tcW w:w="771" w:type="dxa"/>
            <w:tcBorders>
              <w:tl2br w:val="nil"/>
              <w:tr2bl w:val="nil"/>
            </w:tcBorders>
            <w:noWrap w:val="0"/>
            <w:vAlign w:val="center"/>
          </w:tcPr>
          <w:p w14:paraId="64193D2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7749BB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DE274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2F38CF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23</w:t>
            </w:r>
          </w:p>
        </w:tc>
        <w:tc>
          <w:tcPr>
            <w:tcW w:w="1470" w:type="dxa"/>
            <w:tcBorders>
              <w:tl2br w:val="nil"/>
              <w:tr2bl w:val="nil"/>
            </w:tcBorders>
            <w:noWrap w:val="0"/>
            <w:vAlign w:val="center"/>
          </w:tcPr>
          <w:p w14:paraId="6F7C03B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天文望远镜</w:t>
            </w:r>
          </w:p>
        </w:tc>
        <w:tc>
          <w:tcPr>
            <w:tcW w:w="1425" w:type="dxa"/>
            <w:tcBorders>
              <w:tl2br w:val="nil"/>
              <w:tr2bl w:val="nil"/>
            </w:tcBorders>
            <w:noWrap w:val="0"/>
            <w:vAlign w:val="center"/>
          </w:tcPr>
          <w:p w14:paraId="2E9BDD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CB514F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折射式，口径60mm，光学增透膜，放大倍数：3×增倍镜后最大240×，带寻星镜、跟踪系统</w:t>
            </w:r>
          </w:p>
        </w:tc>
        <w:tc>
          <w:tcPr>
            <w:tcW w:w="771" w:type="dxa"/>
            <w:tcBorders>
              <w:tl2br w:val="nil"/>
              <w:tr2bl w:val="nil"/>
            </w:tcBorders>
            <w:noWrap w:val="0"/>
            <w:vAlign w:val="center"/>
          </w:tcPr>
          <w:p w14:paraId="1F92ABC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E74F5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3F453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E147E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24</w:t>
            </w:r>
          </w:p>
        </w:tc>
        <w:tc>
          <w:tcPr>
            <w:tcW w:w="1470" w:type="dxa"/>
            <w:tcBorders>
              <w:tl2br w:val="nil"/>
              <w:tr2bl w:val="nil"/>
            </w:tcBorders>
            <w:noWrap w:val="0"/>
            <w:vAlign w:val="center"/>
          </w:tcPr>
          <w:p w14:paraId="30ED01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酒精喷灯</w:t>
            </w:r>
          </w:p>
        </w:tc>
        <w:tc>
          <w:tcPr>
            <w:tcW w:w="1425" w:type="dxa"/>
            <w:tcBorders>
              <w:tl2br w:val="nil"/>
              <w:tr2bl w:val="nil"/>
            </w:tcBorders>
            <w:noWrap w:val="0"/>
            <w:vAlign w:val="center"/>
          </w:tcPr>
          <w:p w14:paraId="58C8EB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2A5E4C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坐式，容积≥300mL，火焰高150mm～180mm</w:t>
            </w:r>
          </w:p>
        </w:tc>
        <w:tc>
          <w:tcPr>
            <w:tcW w:w="771" w:type="dxa"/>
            <w:tcBorders>
              <w:tl2br w:val="nil"/>
              <w:tr2bl w:val="nil"/>
            </w:tcBorders>
            <w:noWrap w:val="0"/>
            <w:vAlign w:val="center"/>
          </w:tcPr>
          <w:p w14:paraId="6C0BBC3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00E4B7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7499D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DDE185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25</w:t>
            </w:r>
          </w:p>
        </w:tc>
        <w:tc>
          <w:tcPr>
            <w:tcW w:w="1470" w:type="dxa"/>
            <w:tcBorders>
              <w:tl2br w:val="nil"/>
              <w:tr2bl w:val="nil"/>
            </w:tcBorders>
            <w:noWrap w:val="0"/>
            <w:vAlign w:val="center"/>
          </w:tcPr>
          <w:p w14:paraId="1FDCA1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电炉</w:t>
            </w:r>
          </w:p>
        </w:tc>
        <w:tc>
          <w:tcPr>
            <w:tcW w:w="1425" w:type="dxa"/>
            <w:tcBorders>
              <w:tl2br w:val="nil"/>
              <w:tr2bl w:val="nil"/>
            </w:tcBorders>
            <w:noWrap w:val="0"/>
            <w:vAlign w:val="center"/>
          </w:tcPr>
          <w:p w14:paraId="50B7FF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EA79C3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1000W，密封式，加热盘面直径≥15cm</w:t>
            </w:r>
          </w:p>
        </w:tc>
        <w:tc>
          <w:tcPr>
            <w:tcW w:w="771" w:type="dxa"/>
            <w:tcBorders>
              <w:tl2br w:val="nil"/>
              <w:tr2bl w:val="nil"/>
            </w:tcBorders>
            <w:noWrap w:val="0"/>
            <w:vAlign w:val="center"/>
          </w:tcPr>
          <w:p w14:paraId="41AB02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5238CAC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F68A0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BE443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26</w:t>
            </w:r>
          </w:p>
        </w:tc>
        <w:tc>
          <w:tcPr>
            <w:tcW w:w="1470" w:type="dxa"/>
            <w:tcBorders>
              <w:tl2br w:val="nil"/>
              <w:tr2bl w:val="nil"/>
            </w:tcBorders>
            <w:noWrap w:val="0"/>
            <w:vAlign w:val="center"/>
          </w:tcPr>
          <w:p w14:paraId="5BD079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注射器</w:t>
            </w:r>
          </w:p>
        </w:tc>
        <w:tc>
          <w:tcPr>
            <w:tcW w:w="1425" w:type="dxa"/>
            <w:tcBorders>
              <w:tl2br w:val="nil"/>
              <w:tr2bl w:val="nil"/>
            </w:tcBorders>
            <w:noWrap w:val="0"/>
            <w:vAlign w:val="center"/>
          </w:tcPr>
          <w:p w14:paraId="36CF71D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52BED5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一次性注射器，10ml，最小分度值1mL，带原包装。</w:t>
            </w:r>
          </w:p>
        </w:tc>
        <w:tc>
          <w:tcPr>
            <w:tcW w:w="771" w:type="dxa"/>
            <w:tcBorders>
              <w:tl2br w:val="nil"/>
              <w:tr2bl w:val="nil"/>
            </w:tcBorders>
            <w:noWrap w:val="0"/>
            <w:vAlign w:val="center"/>
          </w:tcPr>
          <w:p w14:paraId="46C9C11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668A9E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96535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BBF60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27</w:t>
            </w:r>
          </w:p>
        </w:tc>
        <w:tc>
          <w:tcPr>
            <w:tcW w:w="1470" w:type="dxa"/>
            <w:tcBorders>
              <w:tl2br w:val="nil"/>
              <w:tr2bl w:val="nil"/>
            </w:tcBorders>
            <w:noWrap w:val="0"/>
            <w:vAlign w:val="center"/>
          </w:tcPr>
          <w:p w14:paraId="7BF8DA0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注射器</w:t>
            </w:r>
          </w:p>
        </w:tc>
        <w:tc>
          <w:tcPr>
            <w:tcW w:w="1425" w:type="dxa"/>
            <w:tcBorders>
              <w:tl2br w:val="nil"/>
              <w:tr2bl w:val="nil"/>
            </w:tcBorders>
            <w:noWrap w:val="0"/>
            <w:vAlign w:val="center"/>
          </w:tcPr>
          <w:p w14:paraId="32AE3C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7EB891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一次性注射器，100ml，最小分度值5ml，带原包装。</w:t>
            </w:r>
          </w:p>
        </w:tc>
        <w:tc>
          <w:tcPr>
            <w:tcW w:w="771" w:type="dxa"/>
            <w:tcBorders>
              <w:tl2br w:val="nil"/>
              <w:tr2bl w:val="nil"/>
            </w:tcBorders>
            <w:noWrap w:val="0"/>
            <w:vAlign w:val="center"/>
          </w:tcPr>
          <w:p w14:paraId="1AB7751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1CCDB9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242F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293" w:hRule="atLeast"/>
        </w:trPr>
        <w:tc>
          <w:tcPr>
            <w:tcW w:w="686" w:type="dxa"/>
            <w:tcBorders>
              <w:tl2br w:val="nil"/>
              <w:tr2bl w:val="nil"/>
            </w:tcBorders>
            <w:shd w:val="clear" w:color="auto" w:fill="auto"/>
            <w:noWrap w:val="0"/>
            <w:vAlign w:val="center"/>
          </w:tcPr>
          <w:p w14:paraId="63198B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28</w:t>
            </w:r>
          </w:p>
        </w:tc>
        <w:tc>
          <w:tcPr>
            <w:tcW w:w="1470" w:type="dxa"/>
            <w:tcBorders>
              <w:tl2br w:val="nil"/>
              <w:tr2bl w:val="nil"/>
            </w:tcBorders>
            <w:noWrap w:val="0"/>
            <w:vAlign w:val="center"/>
          </w:tcPr>
          <w:p w14:paraId="71899C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透明盛液筒</w:t>
            </w:r>
          </w:p>
        </w:tc>
        <w:tc>
          <w:tcPr>
            <w:tcW w:w="1425" w:type="dxa"/>
            <w:tcBorders>
              <w:tl2br w:val="nil"/>
              <w:tr2bl w:val="nil"/>
            </w:tcBorders>
            <w:noWrap w:val="0"/>
            <w:vAlign w:val="center"/>
          </w:tcPr>
          <w:p w14:paraId="2A7C4A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D9DEF2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无色透明塑料，Φ110mm×300mm，脱模斜度≤1°，壁厚≥1.5mm，透光率应≥90％。标尺零位在开口下20mm～30mm处</w:t>
            </w:r>
          </w:p>
        </w:tc>
        <w:tc>
          <w:tcPr>
            <w:tcW w:w="771" w:type="dxa"/>
            <w:tcBorders>
              <w:tl2br w:val="nil"/>
              <w:tr2bl w:val="nil"/>
            </w:tcBorders>
            <w:noWrap w:val="0"/>
            <w:vAlign w:val="center"/>
          </w:tcPr>
          <w:p w14:paraId="7E344BE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77974E7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0F5AE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5E23D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29</w:t>
            </w:r>
          </w:p>
        </w:tc>
        <w:tc>
          <w:tcPr>
            <w:tcW w:w="1470" w:type="dxa"/>
            <w:tcBorders>
              <w:tl2br w:val="nil"/>
              <w:tr2bl w:val="nil"/>
            </w:tcBorders>
            <w:noWrap w:val="0"/>
            <w:vAlign w:val="center"/>
          </w:tcPr>
          <w:p w14:paraId="61131E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透明水槽(方形)</w:t>
            </w:r>
          </w:p>
        </w:tc>
        <w:tc>
          <w:tcPr>
            <w:tcW w:w="1425" w:type="dxa"/>
            <w:tcBorders>
              <w:tl2br w:val="nil"/>
              <w:tr2bl w:val="nil"/>
            </w:tcBorders>
            <w:noWrap w:val="0"/>
            <w:vAlign w:val="center"/>
          </w:tcPr>
          <w:p w14:paraId="2248C65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BBCAF7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无色透明塑料，透光率≥85％，250mm×180mm×100mm，厚≥2mm。附无色透明塑料制集气架，圆孔Φ25mm，孔距190mm</w:t>
            </w:r>
          </w:p>
        </w:tc>
        <w:tc>
          <w:tcPr>
            <w:tcW w:w="771" w:type="dxa"/>
            <w:tcBorders>
              <w:tl2br w:val="nil"/>
              <w:tr2bl w:val="nil"/>
            </w:tcBorders>
            <w:noWrap w:val="0"/>
            <w:vAlign w:val="center"/>
          </w:tcPr>
          <w:p w14:paraId="1FCE96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3F77D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8DCD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4B6A1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30</w:t>
            </w:r>
          </w:p>
        </w:tc>
        <w:tc>
          <w:tcPr>
            <w:tcW w:w="1470" w:type="dxa"/>
            <w:tcBorders>
              <w:tl2br w:val="nil"/>
              <w:tr2bl w:val="nil"/>
            </w:tcBorders>
            <w:noWrap w:val="0"/>
            <w:vAlign w:val="center"/>
          </w:tcPr>
          <w:p w14:paraId="7B8F6E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透明水槽(圆形)</w:t>
            </w:r>
          </w:p>
        </w:tc>
        <w:tc>
          <w:tcPr>
            <w:tcW w:w="1425" w:type="dxa"/>
            <w:tcBorders>
              <w:tl2br w:val="nil"/>
              <w:tr2bl w:val="nil"/>
            </w:tcBorders>
            <w:noWrap w:val="0"/>
            <w:vAlign w:val="center"/>
          </w:tcPr>
          <w:p w14:paraId="288827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203E00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无色透明塑料，透光率≥85％，Φ200×100，厚≥2mm，上口边缘平面度≤2mm。</w:t>
            </w:r>
          </w:p>
        </w:tc>
        <w:tc>
          <w:tcPr>
            <w:tcW w:w="771" w:type="dxa"/>
            <w:tcBorders>
              <w:tl2br w:val="nil"/>
              <w:tr2bl w:val="nil"/>
            </w:tcBorders>
            <w:noWrap w:val="0"/>
            <w:vAlign w:val="center"/>
          </w:tcPr>
          <w:p w14:paraId="75B56BD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085C730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CE63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A80087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31</w:t>
            </w:r>
          </w:p>
        </w:tc>
        <w:tc>
          <w:tcPr>
            <w:tcW w:w="1470" w:type="dxa"/>
            <w:tcBorders>
              <w:tl2br w:val="nil"/>
              <w:tr2bl w:val="nil"/>
            </w:tcBorders>
            <w:noWrap w:val="0"/>
            <w:vAlign w:val="center"/>
          </w:tcPr>
          <w:p w14:paraId="712D2C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整理箱</w:t>
            </w:r>
          </w:p>
        </w:tc>
        <w:tc>
          <w:tcPr>
            <w:tcW w:w="1425" w:type="dxa"/>
            <w:tcBorders>
              <w:tl2br w:val="nil"/>
              <w:tr2bl w:val="nil"/>
            </w:tcBorders>
            <w:noWrap w:val="0"/>
            <w:vAlign w:val="center"/>
          </w:tcPr>
          <w:p w14:paraId="3C66653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2DB9FD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矮型，340mm×290mm，高120mm带盖和手提环；装满水手提不变形</w:t>
            </w:r>
          </w:p>
        </w:tc>
        <w:tc>
          <w:tcPr>
            <w:tcW w:w="771" w:type="dxa"/>
            <w:tcBorders>
              <w:tl2br w:val="nil"/>
              <w:tr2bl w:val="nil"/>
            </w:tcBorders>
            <w:noWrap w:val="0"/>
            <w:vAlign w:val="center"/>
          </w:tcPr>
          <w:p w14:paraId="4CFB7AA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550438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EBA6E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E02D1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32</w:t>
            </w:r>
          </w:p>
        </w:tc>
        <w:tc>
          <w:tcPr>
            <w:tcW w:w="1470" w:type="dxa"/>
            <w:tcBorders>
              <w:tl2br w:val="nil"/>
              <w:tr2bl w:val="nil"/>
            </w:tcBorders>
            <w:noWrap w:val="0"/>
            <w:vAlign w:val="center"/>
          </w:tcPr>
          <w:p w14:paraId="1C7D7D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塑料洗瓶</w:t>
            </w:r>
          </w:p>
        </w:tc>
        <w:tc>
          <w:tcPr>
            <w:tcW w:w="1425" w:type="dxa"/>
            <w:tcBorders>
              <w:tl2br w:val="nil"/>
              <w:tr2bl w:val="nil"/>
            </w:tcBorders>
            <w:noWrap w:val="0"/>
            <w:vAlign w:val="center"/>
          </w:tcPr>
          <w:p w14:paraId="23E24B0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65280A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挤压型塑料洗瓶，250mL，带刻度</w:t>
            </w:r>
          </w:p>
        </w:tc>
        <w:tc>
          <w:tcPr>
            <w:tcW w:w="771" w:type="dxa"/>
            <w:tcBorders>
              <w:tl2br w:val="nil"/>
              <w:tr2bl w:val="nil"/>
            </w:tcBorders>
            <w:noWrap w:val="0"/>
            <w:vAlign w:val="center"/>
          </w:tcPr>
          <w:p w14:paraId="592C2A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772" w:type="dxa"/>
            <w:tcBorders>
              <w:tl2br w:val="nil"/>
              <w:tr2bl w:val="nil"/>
            </w:tcBorders>
            <w:noWrap w:val="0"/>
            <w:vAlign w:val="center"/>
          </w:tcPr>
          <w:p w14:paraId="0636982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CF392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BAF91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33</w:t>
            </w:r>
          </w:p>
        </w:tc>
        <w:tc>
          <w:tcPr>
            <w:tcW w:w="1470" w:type="dxa"/>
            <w:tcBorders>
              <w:tl2br w:val="nil"/>
              <w:tr2bl w:val="nil"/>
            </w:tcBorders>
            <w:noWrap w:val="0"/>
            <w:vAlign w:val="center"/>
          </w:tcPr>
          <w:p w14:paraId="688576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试剂瓶托盘</w:t>
            </w:r>
          </w:p>
        </w:tc>
        <w:tc>
          <w:tcPr>
            <w:tcW w:w="1425" w:type="dxa"/>
            <w:tcBorders>
              <w:tl2br w:val="nil"/>
              <w:tr2bl w:val="nil"/>
            </w:tcBorders>
            <w:noWrap w:val="0"/>
            <w:vAlign w:val="center"/>
          </w:tcPr>
          <w:p w14:paraId="7776305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785E78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尺寸（内）300mm×250mm×70mm，四边有护边，厚≥2mm，底部加强</w:t>
            </w:r>
          </w:p>
        </w:tc>
        <w:tc>
          <w:tcPr>
            <w:tcW w:w="771" w:type="dxa"/>
            <w:tcBorders>
              <w:tl2br w:val="nil"/>
              <w:tr2bl w:val="nil"/>
            </w:tcBorders>
            <w:noWrap w:val="0"/>
            <w:vAlign w:val="center"/>
          </w:tcPr>
          <w:p w14:paraId="7B99D83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w:t>
            </w:r>
          </w:p>
        </w:tc>
        <w:tc>
          <w:tcPr>
            <w:tcW w:w="772" w:type="dxa"/>
            <w:tcBorders>
              <w:tl2br w:val="nil"/>
              <w:tr2bl w:val="nil"/>
            </w:tcBorders>
            <w:noWrap w:val="0"/>
            <w:vAlign w:val="center"/>
          </w:tcPr>
          <w:p w14:paraId="60773C8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8F131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10BED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34</w:t>
            </w:r>
          </w:p>
        </w:tc>
        <w:tc>
          <w:tcPr>
            <w:tcW w:w="1470" w:type="dxa"/>
            <w:tcBorders>
              <w:tl2br w:val="nil"/>
              <w:tr2bl w:val="nil"/>
            </w:tcBorders>
            <w:noWrap w:val="0"/>
            <w:vAlign w:val="center"/>
          </w:tcPr>
          <w:p w14:paraId="321597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碘升华凝华管</w:t>
            </w:r>
          </w:p>
        </w:tc>
        <w:tc>
          <w:tcPr>
            <w:tcW w:w="1425" w:type="dxa"/>
            <w:tcBorders>
              <w:tl2br w:val="nil"/>
              <w:tr2bl w:val="nil"/>
            </w:tcBorders>
            <w:noWrap w:val="0"/>
            <w:vAlign w:val="center"/>
          </w:tcPr>
          <w:p w14:paraId="2BD9BFC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67E384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无色透明硼硅玻璃，28mm×34mm，两端面应为凹面，玻璃手柄长90mm</w:t>
            </w:r>
          </w:p>
        </w:tc>
        <w:tc>
          <w:tcPr>
            <w:tcW w:w="771" w:type="dxa"/>
            <w:tcBorders>
              <w:tl2br w:val="nil"/>
              <w:tr2bl w:val="nil"/>
            </w:tcBorders>
            <w:noWrap w:val="0"/>
            <w:vAlign w:val="center"/>
          </w:tcPr>
          <w:p w14:paraId="22857A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26</w:t>
            </w:r>
          </w:p>
        </w:tc>
        <w:tc>
          <w:tcPr>
            <w:tcW w:w="772" w:type="dxa"/>
            <w:tcBorders>
              <w:tl2br w:val="nil"/>
              <w:tr2bl w:val="nil"/>
            </w:tcBorders>
            <w:noWrap w:val="0"/>
            <w:vAlign w:val="center"/>
          </w:tcPr>
          <w:p w14:paraId="009BB0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A916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21F4E2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35</w:t>
            </w:r>
          </w:p>
        </w:tc>
        <w:tc>
          <w:tcPr>
            <w:tcW w:w="1470" w:type="dxa"/>
            <w:tcBorders>
              <w:tl2br w:val="nil"/>
              <w:tr2bl w:val="nil"/>
            </w:tcBorders>
            <w:noWrap w:val="0"/>
            <w:vAlign w:val="center"/>
          </w:tcPr>
          <w:p w14:paraId="396B258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玻璃注射器</w:t>
            </w:r>
          </w:p>
        </w:tc>
        <w:tc>
          <w:tcPr>
            <w:tcW w:w="1425" w:type="dxa"/>
            <w:tcBorders>
              <w:tl2br w:val="nil"/>
              <w:tr2bl w:val="nil"/>
            </w:tcBorders>
            <w:noWrap w:val="0"/>
            <w:vAlign w:val="center"/>
          </w:tcPr>
          <w:p w14:paraId="523428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0DCB81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全玻璃注射器，30ml，分度值1mL或2ml</w:t>
            </w:r>
          </w:p>
        </w:tc>
        <w:tc>
          <w:tcPr>
            <w:tcW w:w="771" w:type="dxa"/>
            <w:tcBorders>
              <w:tl2br w:val="nil"/>
              <w:tr2bl w:val="nil"/>
            </w:tcBorders>
            <w:noWrap w:val="0"/>
            <w:vAlign w:val="center"/>
          </w:tcPr>
          <w:p w14:paraId="6D08B5A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67A4EE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743CE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E04C32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36</w:t>
            </w:r>
          </w:p>
        </w:tc>
        <w:tc>
          <w:tcPr>
            <w:tcW w:w="1470" w:type="dxa"/>
            <w:tcBorders>
              <w:tl2br w:val="nil"/>
              <w:tr2bl w:val="nil"/>
            </w:tcBorders>
            <w:noWrap w:val="0"/>
            <w:vAlign w:val="center"/>
          </w:tcPr>
          <w:p w14:paraId="17EA80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物理支架</w:t>
            </w:r>
          </w:p>
        </w:tc>
        <w:tc>
          <w:tcPr>
            <w:tcW w:w="1425" w:type="dxa"/>
            <w:tcBorders>
              <w:tl2br w:val="nil"/>
              <w:tr2bl w:val="nil"/>
            </w:tcBorders>
            <w:noWrap w:val="0"/>
            <w:vAlign w:val="center"/>
          </w:tcPr>
          <w:p w14:paraId="5B5C6F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391BBD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立杆2，A形座2，部件2套：平行夹2、垂直夹2，烧瓶夹、万向夹、台边夹、大铁环、圆托盘、绝缘杆、吊杆各1，吊钩4</w:t>
            </w:r>
          </w:p>
        </w:tc>
        <w:tc>
          <w:tcPr>
            <w:tcW w:w="771" w:type="dxa"/>
            <w:tcBorders>
              <w:tl2br w:val="nil"/>
              <w:tr2bl w:val="nil"/>
            </w:tcBorders>
            <w:noWrap w:val="0"/>
            <w:vAlign w:val="center"/>
          </w:tcPr>
          <w:p w14:paraId="147849C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221ECD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39BE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13EA0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37</w:t>
            </w:r>
          </w:p>
        </w:tc>
        <w:tc>
          <w:tcPr>
            <w:tcW w:w="1470" w:type="dxa"/>
            <w:tcBorders>
              <w:tl2br w:val="nil"/>
              <w:tr2bl w:val="nil"/>
            </w:tcBorders>
            <w:noWrap w:val="0"/>
            <w:vAlign w:val="center"/>
          </w:tcPr>
          <w:p w14:paraId="133025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方座支架</w:t>
            </w:r>
          </w:p>
        </w:tc>
        <w:tc>
          <w:tcPr>
            <w:tcW w:w="1425" w:type="dxa"/>
            <w:tcBorders>
              <w:tl2br w:val="nil"/>
              <w:tr2bl w:val="nil"/>
            </w:tcBorders>
            <w:noWrap w:val="0"/>
            <w:vAlign w:val="center"/>
          </w:tcPr>
          <w:p w14:paraId="308844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9D5AAC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方形座1，质量≥1.5kg，立杆1，垂直夹2，平行夹、烧瓶夹、大铁环、小铁环、吊杆各1</w:t>
            </w:r>
          </w:p>
        </w:tc>
        <w:tc>
          <w:tcPr>
            <w:tcW w:w="771" w:type="dxa"/>
            <w:tcBorders>
              <w:tl2br w:val="nil"/>
              <w:tr2bl w:val="nil"/>
            </w:tcBorders>
            <w:noWrap w:val="0"/>
            <w:vAlign w:val="center"/>
          </w:tcPr>
          <w:p w14:paraId="351926A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772" w:type="dxa"/>
            <w:tcBorders>
              <w:tl2br w:val="nil"/>
              <w:tr2bl w:val="nil"/>
            </w:tcBorders>
            <w:noWrap w:val="0"/>
            <w:vAlign w:val="center"/>
          </w:tcPr>
          <w:p w14:paraId="2607DC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A319D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87A97A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38</w:t>
            </w:r>
          </w:p>
        </w:tc>
        <w:tc>
          <w:tcPr>
            <w:tcW w:w="1470" w:type="dxa"/>
            <w:tcBorders>
              <w:tl2br w:val="nil"/>
              <w:tr2bl w:val="nil"/>
            </w:tcBorders>
            <w:noWrap w:val="0"/>
            <w:vAlign w:val="center"/>
          </w:tcPr>
          <w:p w14:paraId="13B525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多功能实验支架</w:t>
            </w:r>
          </w:p>
        </w:tc>
        <w:tc>
          <w:tcPr>
            <w:tcW w:w="1425" w:type="dxa"/>
            <w:tcBorders>
              <w:tl2br w:val="nil"/>
              <w:tr2bl w:val="nil"/>
            </w:tcBorders>
            <w:noWrap w:val="0"/>
            <w:vAlign w:val="center"/>
          </w:tcPr>
          <w:p w14:paraId="5A087F9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D823F1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组合座架1，滑块式垂直夹5，绝缘环2，吊钩4，烧瓶夹、万向夹、大铁环、方托盘各1</w:t>
            </w:r>
          </w:p>
        </w:tc>
        <w:tc>
          <w:tcPr>
            <w:tcW w:w="771" w:type="dxa"/>
            <w:tcBorders>
              <w:tl2br w:val="nil"/>
              <w:tr2bl w:val="nil"/>
            </w:tcBorders>
            <w:noWrap w:val="0"/>
            <w:vAlign w:val="center"/>
          </w:tcPr>
          <w:p w14:paraId="694191C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6EC193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119C0E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437B1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39</w:t>
            </w:r>
          </w:p>
        </w:tc>
        <w:tc>
          <w:tcPr>
            <w:tcW w:w="1470" w:type="dxa"/>
            <w:tcBorders>
              <w:tl2br w:val="nil"/>
              <w:tr2bl w:val="nil"/>
            </w:tcBorders>
            <w:noWrap w:val="0"/>
            <w:vAlign w:val="center"/>
          </w:tcPr>
          <w:p w14:paraId="2857A4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升降台</w:t>
            </w:r>
          </w:p>
        </w:tc>
        <w:tc>
          <w:tcPr>
            <w:tcW w:w="1425" w:type="dxa"/>
            <w:tcBorders>
              <w:tl2br w:val="nil"/>
              <w:tr2bl w:val="nil"/>
            </w:tcBorders>
            <w:noWrap w:val="0"/>
            <w:vAlign w:val="center"/>
          </w:tcPr>
          <w:p w14:paraId="27C8C3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92CFFB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85mm～235mm连续可调。上、下台面≥140mm×140mm、160mm×160mm。钢板厚度不小于1mm</w:t>
            </w:r>
          </w:p>
        </w:tc>
        <w:tc>
          <w:tcPr>
            <w:tcW w:w="771" w:type="dxa"/>
            <w:tcBorders>
              <w:tl2br w:val="nil"/>
              <w:tr2bl w:val="nil"/>
            </w:tcBorders>
            <w:noWrap w:val="0"/>
            <w:vAlign w:val="center"/>
          </w:tcPr>
          <w:p w14:paraId="27C3A6C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4B8BD0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2649C0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FC3A3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40</w:t>
            </w:r>
          </w:p>
        </w:tc>
        <w:tc>
          <w:tcPr>
            <w:tcW w:w="1470" w:type="dxa"/>
            <w:tcBorders>
              <w:tl2br w:val="nil"/>
              <w:tr2bl w:val="nil"/>
            </w:tcBorders>
            <w:noWrap w:val="0"/>
            <w:vAlign w:val="center"/>
          </w:tcPr>
          <w:p w14:paraId="125A8E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万能夹</w:t>
            </w:r>
          </w:p>
        </w:tc>
        <w:tc>
          <w:tcPr>
            <w:tcW w:w="1425" w:type="dxa"/>
            <w:tcBorders>
              <w:tl2br w:val="nil"/>
              <w:tr2bl w:val="nil"/>
            </w:tcBorders>
            <w:noWrap w:val="0"/>
            <w:vAlign w:val="center"/>
          </w:tcPr>
          <w:p w14:paraId="2D116AC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D9309D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配方座支架用，万向夹，带球形万向接头</w:t>
            </w:r>
          </w:p>
        </w:tc>
        <w:tc>
          <w:tcPr>
            <w:tcW w:w="771" w:type="dxa"/>
            <w:tcBorders>
              <w:tl2br w:val="nil"/>
              <w:tr2bl w:val="nil"/>
            </w:tcBorders>
            <w:noWrap w:val="0"/>
            <w:vAlign w:val="center"/>
          </w:tcPr>
          <w:p w14:paraId="480221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00FB062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5324C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66753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41</w:t>
            </w:r>
          </w:p>
        </w:tc>
        <w:tc>
          <w:tcPr>
            <w:tcW w:w="1470" w:type="dxa"/>
            <w:tcBorders>
              <w:tl2br w:val="nil"/>
              <w:tr2bl w:val="nil"/>
            </w:tcBorders>
            <w:noWrap w:val="0"/>
            <w:vAlign w:val="center"/>
          </w:tcPr>
          <w:p w14:paraId="4FC0C5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三脚架</w:t>
            </w:r>
          </w:p>
        </w:tc>
        <w:tc>
          <w:tcPr>
            <w:tcW w:w="1425" w:type="dxa"/>
            <w:tcBorders>
              <w:tl2br w:val="nil"/>
              <w:tr2bl w:val="nil"/>
            </w:tcBorders>
            <w:noWrap w:val="0"/>
            <w:vAlign w:val="center"/>
          </w:tcPr>
          <w:p w14:paraId="1E67DE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0C7265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环内径75mm±5mm，宽16mm±1mm，厚度5mm～11mm；脚φ6mm，脚高150mm±5mm</w:t>
            </w:r>
          </w:p>
        </w:tc>
        <w:tc>
          <w:tcPr>
            <w:tcW w:w="771" w:type="dxa"/>
            <w:tcBorders>
              <w:tl2br w:val="nil"/>
              <w:tr2bl w:val="nil"/>
            </w:tcBorders>
            <w:noWrap w:val="0"/>
            <w:vAlign w:val="center"/>
          </w:tcPr>
          <w:p w14:paraId="42CF61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5C629F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9776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39AC3E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42</w:t>
            </w:r>
          </w:p>
        </w:tc>
        <w:tc>
          <w:tcPr>
            <w:tcW w:w="1470" w:type="dxa"/>
            <w:tcBorders>
              <w:tl2br w:val="nil"/>
              <w:tr2bl w:val="nil"/>
            </w:tcBorders>
            <w:noWrap w:val="0"/>
            <w:vAlign w:val="center"/>
          </w:tcPr>
          <w:p w14:paraId="0C805F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泥三角</w:t>
            </w:r>
          </w:p>
        </w:tc>
        <w:tc>
          <w:tcPr>
            <w:tcW w:w="1425" w:type="dxa"/>
            <w:tcBorders>
              <w:tl2br w:val="nil"/>
              <w:tr2bl w:val="nil"/>
            </w:tcBorders>
            <w:noWrap w:val="0"/>
            <w:vAlign w:val="center"/>
          </w:tcPr>
          <w:p w14:paraId="23BEDF0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BE9761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陶瓷，75mm</w:t>
            </w:r>
          </w:p>
        </w:tc>
        <w:tc>
          <w:tcPr>
            <w:tcW w:w="771" w:type="dxa"/>
            <w:tcBorders>
              <w:tl2br w:val="nil"/>
              <w:tr2bl w:val="nil"/>
            </w:tcBorders>
            <w:noWrap w:val="0"/>
            <w:vAlign w:val="center"/>
          </w:tcPr>
          <w:p w14:paraId="7ED7D5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3FC50F8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0E16E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13F23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43</w:t>
            </w:r>
          </w:p>
        </w:tc>
        <w:tc>
          <w:tcPr>
            <w:tcW w:w="1470" w:type="dxa"/>
            <w:tcBorders>
              <w:tl2br w:val="nil"/>
              <w:tr2bl w:val="nil"/>
            </w:tcBorders>
            <w:noWrap w:val="0"/>
            <w:vAlign w:val="center"/>
          </w:tcPr>
          <w:p w14:paraId="678968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试管架</w:t>
            </w:r>
          </w:p>
        </w:tc>
        <w:tc>
          <w:tcPr>
            <w:tcW w:w="1425" w:type="dxa"/>
            <w:tcBorders>
              <w:tl2br w:val="nil"/>
              <w:tr2bl w:val="nil"/>
            </w:tcBorders>
            <w:noWrap w:val="0"/>
            <w:vAlign w:val="center"/>
          </w:tcPr>
          <w:p w14:paraId="25E64FD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835BAA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木质，8孔，孔径21mm</w:t>
            </w:r>
          </w:p>
        </w:tc>
        <w:tc>
          <w:tcPr>
            <w:tcW w:w="771" w:type="dxa"/>
            <w:tcBorders>
              <w:tl2br w:val="nil"/>
              <w:tr2bl w:val="nil"/>
            </w:tcBorders>
            <w:noWrap w:val="0"/>
            <w:vAlign w:val="center"/>
          </w:tcPr>
          <w:p w14:paraId="26C14E4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772" w:type="dxa"/>
            <w:tcBorders>
              <w:tl2br w:val="nil"/>
              <w:tr2bl w:val="nil"/>
            </w:tcBorders>
            <w:noWrap w:val="0"/>
            <w:vAlign w:val="center"/>
          </w:tcPr>
          <w:p w14:paraId="4BEFE2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952AD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D328E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44</w:t>
            </w:r>
          </w:p>
        </w:tc>
        <w:tc>
          <w:tcPr>
            <w:tcW w:w="1470" w:type="dxa"/>
            <w:tcBorders>
              <w:tl2br w:val="nil"/>
              <w:tr2bl w:val="nil"/>
            </w:tcBorders>
            <w:noWrap w:val="0"/>
            <w:vAlign w:val="center"/>
          </w:tcPr>
          <w:p w14:paraId="1FD277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试管架</w:t>
            </w:r>
          </w:p>
        </w:tc>
        <w:tc>
          <w:tcPr>
            <w:tcW w:w="1425" w:type="dxa"/>
            <w:tcBorders>
              <w:tl2br w:val="nil"/>
              <w:tr2bl w:val="nil"/>
            </w:tcBorders>
            <w:noWrap w:val="0"/>
            <w:vAlign w:val="center"/>
          </w:tcPr>
          <w:p w14:paraId="4F790C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0E009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木质，8孔，孔径25mm4个，35mm4个</w:t>
            </w:r>
          </w:p>
        </w:tc>
        <w:tc>
          <w:tcPr>
            <w:tcW w:w="771" w:type="dxa"/>
            <w:tcBorders>
              <w:tl2br w:val="nil"/>
              <w:tr2bl w:val="nil"/>
            </w:tcBorders>
            <w:noWrap w:val="0"/>
            <w:vAlign w:val="center"/>
          </w:tcPr>
          <w:p w14:paraId="101056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3270BF2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03B14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F4C82E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45</w:t>
            </w:r>
          </w:p>
        </w:tc>
        <w:tc>
          <w:tcPr>
            <w:tcW w:w="1470" w:type="dxa"/>
            <w:tcBorders>
              <w:tl2br w:val="nil"/>
              <w:tr2bl w:val="nil"/>
            </w:tcBorders>
            <w:noWrap w:val="0"/>
            <w:vAlign w:val="center"/>
          </w:tcPr>
          <w:p w14:paraId="42762EF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漏斗架</w:t>
            </w:r>
          </w:p>
        </w:tc>
        <w:tc>
          <w:tcPr>
            <w:tcW w:w="1425" w:type="dxa"/>
            <w:tcBorders>
              <w:tl2br w:val="nil"/>
              <w:tr2bl w:val="nil"/>
            </w:tcBorders>
            <w:noWrap w:val="0"/>
            <w:vAlign w:val="center"/>
          </w:tcPr>
          <w:p w14:paraId="780222E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877688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木质两孔漏斗架，高350mm，孔径25mm</w:t>
            </w:r>
          </w:p>
        </w:tc>
        <w:tc>
          <w:tcPr>
            <w:tcW w:w="771" w:type="dxa"/>
            <w:tcBorders>
              <w:tl2br w:val="nil"/>
              <w:tr2bl w:val="nil"/>
            </w:tcBorders>
            <w:noWrap w:val="0"/>
            <w:vAlign w:val="center"/>
          </w:tcPr>
          <w:p w14:paraId="07896F0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AD9303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C270D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216318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46</w:t>
            </w:r>
          </w:p>
        </w:tc>
        <w:tc>
          <w:tcPr>
            <w:tcW w:w="1470" w:type="dxa"/>
            <w:tcBorders>
              <w:tl2br w:val="nil"/>
              <w:tr2bl w:val="nil"/>
            </w:tcBorders>
            <w:noWrap w:val="0"/>
            <w:vAlign w:val="center"/>
          </w:tcPr>
          <w:p w14:paraId="605E9DC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滴定台</w:t>
            </w:r>
          </w:p>
        </w:tc>
        <w:tc>
          <w:tcPr>
            <w:tcW w:w="1425" w:type="dxa"/>
            <w:tcBorders>
              <w:tl2br w:val="nil"/>
              <w:tr2bl w:val="nil"/>
            </w:tcBorders>
            <w:noWrap w:val="0"/>
            <w:vAlign w:val="center"/>
          </w:tcPr>
          <w:p w14:paraId="00DE5FC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B9DF45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滴定夹口间距176mm，一侧夹口跨度110mm，硅橡胶护套，耐腐蚀底座，重≥1kg，面积300mm×150mm，圆钢立杆φ10×600mm。</w:t>
            </w:r>
          </w:p>
        </w:tc>
        <w:tc>
          <w:tcPr>
            <w:tcW w:w="771" w:type="dxa"/>
            <w:tcBorders>
              <w:tl2br w:val="nil"/>
              <w:tr2bl w:val="nil"/>
            </w:tcBorders>
            <w:noWrap w:val="0"/>
            <w:vAlign w:val="center"/>
          </w:tcPr>
          <w:p w14:paraId="56FD8C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FB9B8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7C6AC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8C9B9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47</w:t>
            </w:r>
          </w:p>
        </w:tc>
        <w:tc>
          <w:tcPr>
            <w:tcW w:w="1470" w:type="dxa"/>
            <w:tcBorders>
              <w:tl2br w:val="nil"/>
              <w:tr2bl w:val="nil"/>
            </w:tcBorders>
            <w:noWrap w:val="0"/>
            <w:vAlign w:val="center"/>
          </w:tcPr>
          <w:p w14:paraId="31D1251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滴定夹</w:t>
            </w:r>
          </w:p>
        </w:tc>
        <w:tc>
          <w:tcPr>
            <w:tcW w:w="1425" w:type="dxa"/>
            <w:tcBorders>
              <w:tl2br w:val="nil"/>
              <w:tr2bl w:val="nil"/>
            </w:tcBorders>
            <w:noWrap w:val="0"/>
            <w:vAlign w:val="center"/>
          </w:tcPr>
          <w:p w14:paraId="00772F6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31FD9D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柱形或V形，滴定夹口间距176mm，一侧夹口跨度110mm，硅橡胶护套，夹持500mm平行度≤2mm，弹力7N～9N</w:t>
            </w:r>
          </w:p>
        </w:tc>
        <w:tc>
          <w:tcPr>
            <w:tcW w:w="771" w:type="dxa"/>
            <w:tcBorders>
              <w:tl2br w:val="nil"/>
              <w:tr2bl w:val="nil"/>
            </w:tcBorders>
            <w:noWrap w:val="0"/>
            <w:vAlign w:val="center"/>
          </w:tcPr>
          <w:p w14:paraId="11F9BE2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59C220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94537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6862F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48</w:t>
            </w:r>
          </w:p>
        </w:tc>
        <w:tc>
          <w:tcPr>
            <w:tcW w:w="1470" w:type="dxa"/>
            <w:tcBorders>
              <w:tl2br w:val="nil"/>
              <w:tr2bl w:val="nil"/>
            </w:tcBorders>
            <w:noWrap w:val="0"/>
            <w:vAlign w:val="center"/>
          </w:tcPr>
          <w:p w14:paraId="0ECB60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多用滴管架</w:t>
            </w:r>
          </w:p>
        </w:tc>
        <w:tc>
          <w:tcPr>
            <w:tcW w:w="1425" w:type="dxa"/>
            <w:tcBorders>
              <w:tl2br w:val="nil"/>
              <w:tr2bl w:val="nil"/>
            </w:tcBorders>
            <w:noWrap w:val="0"/>
            <w:vAlign w:val="center"/>
          </w:tcPr>
          <w:p w14:paraId="7B8920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42729D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塑料，上下两排各10孔，孔径</w:t>
            </w:r>
            <w:r>
              <w:rPr>
                <w:rFonts w:hint="eastAsia" w:ascii="仿宋" w:hAnsi="仿宋" w:eastAsia="仿宋" w:cs="仿宋"/>
                <w:b w:val="0"/>
                <w:bCs w:val="0"/>
                <w:i w:val="0"/>
                <w:iCs w:val="0"/>
                <w:color w:val="auto"/>
                <w:kern w:val="0"/>
                <w:sz w:val="20"/>
                <w:szCs w:val="20"/>
                <w:highlight w:val="none"/>
                <w:u w:val="none"/>
                <w:lang w:val="en-US" w:eastAsia="zh-CN" w:bidi="ar"/>
              </w:rPr>
              <w:t>16</w:t>
            </w:r>
            <w:r>
              <w:rPr>
                <w:rFonts w:hint="eastAsia" w:ascii="仿宋" w:hAnsi="仿宋" w:eastAsia="仿宋" w:cs="仿宋"/>
                <w:b w:val="0"/>
                <w:bCs w:val="0"/>
                <w:i w:val="0"/>
                <w:iCs w:val="0"/>
                <w:color w:val="auto"/>
                <w:kern w:val="0"/>
                <w:sz w:val="20"/>
                <w:szCs w:val="20"/>
                <w:u w:val="none"/>
                <w:lang w:val="en-US" w:eastAsia="zh-CN" w:bidi="ar"/>
              </w:rPr>
              <w:t>Mm</w:t>
            </w:r>
          </w:p>
        </w:tc>
        <w:tc>
          <w:tcPr>
            <w:tcW w:w="771" w:type="dxa"/>
            <w:tcBorders>
              <w:tl2br w:val="nil"/>
              <w:tr2bl w:val="nil"/>
            </w:tcBorders>
            <w:noWrap w:val="0"/>
            <w:vAlign w:val="center"/>
          </w:tcPr>
          <w:p w14:paraId="1C9561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735BEE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8B6EC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0EF6C0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49</w:t>
            </w:r>
          </w:p>
        </w:tc>
        <w:tc>
          <w:tcPr>
            <w:tcW w:w="1470" w:type="dxa"/>
            <w:tcBorders>
              <w:tl2br w:val="nil"/>
              <w:tr2bl w:val="nil"/>
            </w:tcBorders>
            <w:noWrap w:val="0"/>
            <w:vAlign w:val="center"/>
          </w:tcPr>
          <w:p w14:paraId="387E360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百叶箱</w:t>
            </w:r>
          </w:p>
        </w:tc>
        <w:tc>
          <w:tcPr>
            <w:tcW w:w="1425" w:type="dxa"/>
            <w:tcBorders>
              <w:tl2br w:val="nil"/>
              <w:tr2bl w:val="nil"/>
            </w:tcBorders>
            <w:noWrap w:val="0"/>
            <w:vAlign w:val="center"/>
          </w:tcPr>
          <w:p w14:paraId="1BD732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738225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木质，箱内460mm×290mm×537mm，箱顶盖板720mm×610mm；附百叶箱支架，百叶箱底部距离地面高125cm；附温度表支架，挂干300mm×100mm湿球温度计，下部水平放最高温度计、最低温度计不挡住干湿球温度计</w:t>
            </w:r>
          </w:p>
        </w:tc>
        <w:tc>
          <w:tcPr>
            <w:tcW w:w="771" w:type="dxa"/>
            <w:tcBorders>
              <w:tl2br w:val="nil"/>
              <w:tr2bl w:val="nil"/>
            </w:tcBorders>
            <w:noWrap w:val="0"/>
            <w:vAlign w:val="center"/>
          </w:tcPr>
          <w:p w14:paraId="0A183DE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98F34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7BF5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F3382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50</w:t>
            </w:r>
          </w:p>
        </w:tc>
        <w:tc>
          <w:tcPr>
            <w:tcW w:w="1470" w:type="dxa"/>
            <w:tcBorders>
              <w:tl2br w:val="nil"/>
              <w:tr2bl w:val="nil"/>
            </w:tcBorders>
            <w:noWrap w:val="0"/>
            <w:vAlign w:val="center"/>
          </w:tcPr>
          <w:p w14:paraId="398A18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水电解演示器</w:t>
            </w:r>
          </w:p>
        </w:tc>
        <w:tc>
          <w:tcPr>
            <w:tcW w:w="1425" w:type="dxa"/>
            <w:tcBorders>
              <w:tl2br w:val="nil"/>
              <w:tr2bl w:val="nil"/>
            </w:tcBorders>
            <w:noWrap w:val="0"/>
            <w:vAlign w:val="center"/>
          </w:tcPr>
          <w:p w14:paraId="665EC1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0BE1C3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霍夫曼式，厚壁毛细管尖嘴导管氢气出口，（与阀门间总容积≤1mL）。容积10mL贮气漏斗氧气出口，加液漏斗容积≥80mL。碱式用玻璃－乳胶管球阀门，不锈钢电极；酸式用旋转式玻璃阀门，铅电极。电极面积≥200mm2</w:t>
            </w:r>
          </w:p>
        </w:tc>
        <w:tc>
          <w:tcPr>
            <w:tcW w:w="771" w:type="dxa"/>
            <w:tcBorders>
              <w:tl2br w:val="nil"/>
              <w:tr2bl w:val="nil"/>
            </w:tcBorders>
            <w:noWrap w:val="0"/>
            <w:vAlign w:val="center"/>
          </w:tcPr>
          <w:p w14:paraId="60AF9A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72" w:type="dxa"/>
            <w:tcBorders>
              <w:tl2br w:val="nil"/>
              <w:tr2bl w:val="nil"/>
            </w:tcBorders>
            <w:noWrap w:val="0"/>
            <w:vAlign w:val="center"/>
          </w:tcPr>
          <w:p w14:paraId="434DB6E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62CA6C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EA5DD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51</w:t>
            </w:r>
          </w:p>
        </w:tc>
        <w:tc>
          <w:tcPr>
            <w:tcW w:w="1470" w:type="dxa"/>
            <w:tcBorders>
              <w:tl2br w:val="nil"/>
              <w:tr2bl w:val="nil"/>
            </w:tcBorders>
            <w:noWrap w:val="0"/>
            <w:vAlign w:val="center"/>
          </w:tcPr>
          <w:p w14:paraId="16691F0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原电池实验器</w:t>
            </w:r>
          </w:p>
        </w:tc>
        <w:tc>
          <w:tcPr>
            <w:tcW w:w="1425" w:type="dxa"/>
            <w:tcBorders>
              <w:tl2br w:val="nil"/>
              <w:tr2bl w:val="nil"/>
            </w:tcBorders>
            <w:noWrap w:val="0"/>
            <w:vAlign w:val="center"/>
          </w:tcPr>
          <w:p w14:paraId="2B2D53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4037DC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透明塑料容器及盖、铜、锌、铝极板各1块、电极卡和接线柱。电极板≥20mm×40mm×1mm</w:t>
            </w:r>
          </w:p>
        </w:tc>
        <w:tc>
          <w:tcPr>
            <w:tcW w:w="771" w:type="dxa"/>
            <w:tcBorders>
              <w:tl2br w:val="nil"/>
              <w:tr2bl w:val="nil"/>
            </w:tcBorders>
            <w:noWrap w:val="0"/>
            <w:vAlign w:val="center"/>
          </w:tcPr>
          <w:p w14:paraId="5081A0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72" w:type="dxa"/>
            <w:tcBorders>
              <w:tl2br w:val="nil"/>
              <w:tr2bl w:val="nil"/>
            </w:tcBorders>
            <w:noWrap w:val="0"/>
            <w:vAlign w:val="center"/>
          </w:tcPr>
          <w:p w14:paraId="3D5211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4033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BC60D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52</w:t>
            </w:r>
          </w:p>
        </w:tc>
        <w:tc>
          <w:tcPr>
            <w:tcW w:w="1470" w:type="dxa"/>
            <w:tcBorders>
              <w:tl2br w:val="nil"/>
              <w:tr2bl w:val="nil"/>
            </w:tcBorders>
            <w:noWrap w:val="0"/>
            <w:vAlign w:val="center"/>
          </w:tcPr>
          <w:p w14:paraId="1FE102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贮气装置</w:t>
            </w:r>
          </w:p>
        </w:tc>
        <w:tc>
          <w:tcPr>
            <w:tcW w:w="1425" w:type="dxa"/>
            <w:tcBorders>
              <w:tl2br w:val="nil"/>
              <w:tr2bl w:val="nil"/>
            </w:tcBorders>
            <w:noWrap w:val="0"/>
            <w:vAlign w:val="center"/>
          </w:tcPr>
          <w:p w14:paraId="175278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801800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整体Ф164mm高225mm，贮气室3000mL，贮水室约1000mL，透明372材料，底座ABS塑料。含导气阀、橡胶塞、玻璃管、进排水口、密封圈</w:t>
            </w:r>
          </w:p>
        </w:tc>
        <w:tc>
          <w:tcPr>
            <w:tcW w:w="771" w:type="dxa"/>
            <w:tcBorders>
              <w:tl2br w:val="nil"/>
              <w:tr2bl w:val="nil"/>
            </w:tcBorders>
            <w:noWrap w:val="0"/>
            <w:vAlign w:val="center"/>
          </w:tcPr>
          <w:p w14:paraId="15FE5A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72" w:type="dxa"/>
            <w:tcBorders>
              <w:tl2br w:val="nil"/>
              <w:tr2bl w:val="nil"/>
            </w:tcBorders>
            <w:noWrap w:val="0"/>
            <w:vAlign w:val="center"/>
          </w:tcPr>
          <w:p w14:paraId="6FA5BB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5CC546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A9E495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53</w:t>
            </w:r>
          </w:p>
        </w:tc>
        <w:tc>
          <w:tcPr>
            <w:tcW w:w="1470" w:type="dxa"/>
            <w:tcBorders>
              <w:tl2br w:val="nil"/>
              <w:tr2bl w:val="nil"/>
            </w:tcBorders>
            <w:noWrap w:val="0"/>
            <w:vAlign w:val="center"/>
          </w:tcPr>
          <w:p w14:paraId="6430441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溶液导电演示器</w:t>
            </w:r>
          </w:p>
        </w:tc>
        <w:tc>
          <w:tcPr>
            <w:tcW w:w="1425" w:type="dxa"/>
            <w:tcBorders>
              <w:tl2br w:val="nil"/>
              <w:tr2bl w:val="nil"/>
            </w:tcBorders>
            <w:noWrap w:val="0"/>
            <w:vAlign w:val="center"/>
          </w:tcPr>
          <w:p w14:paraId="5E28E3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54026F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电表式，10mA，DC6V，串联1kΩ电位器，560Ω电阻。五组溶液同时比较，1×7开关（其中一档校准），石墨电极</w:t>
            </w:r>
          </w:p>
        </w:tc>
        <w:tc>
          <w:tcPr>
            <w:tcW w:w="771" w:type="dxa"/>
            <w:tcBorders>
              <w:tl2br w:val="nil"/>
              <w:tr2bl w:val="nil"/>
            </w:tcBorders>
            <w:noWrap w:val="0"/>
            <w:vAlign w:val="center"/>
          </w:tcPr>
          <w:p w14:paraId="645CDFA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72" w:type="dxa"/>
            <w:tcBorders>
              <w:tl2br w:val="nil"/>
              <w:tr2bl w:val="nil"/>
            </w:tcBorders>
            <w:noWrap w:val="0"/>
            <w:vAlign w:val="center"/>
          </w:tcPr>
          <w:p w14:paraId="4A08C1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0E2DC2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9BEE94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54</w:t>
            </w:r>
          </w:p>
        </w:tc>
        <w:tc>
          <w:tcPr>
            <w:tcW w:w="1470" w:type="dxa"/>
            <w:tcBorders>
              <w:tl2br w:val="nil"/>
              <w:tr2bl w:val="nil"/>
            </w:tcBorders>
            <w:noWrap w:val="0"/>
            <w:vAlign w:val="center"/>
          </w:tcPr>
          <w:p w14:paraId="3CBE63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微型溶液导电实验器</w:t>
            </w:r>
          </w:p>
        </w:tc>
        <w:tc>
          <w:tcPr>
            <w:tcW w:w="1425" w:type="dxa"/>
            <w:tcBorders>
              <w:tl2br w:val="nil"/>
              <w:tr2bl w:val="nil"/>
            </w:tcBorders>
            <w:noWrap w:val="0"/>
            <w:vAlign w:val="center"/>
          </w:tcPr>
          <w:p w14:paraId="714A3A6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D48DA5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电表式，10mA，DC3V，串联560Ω电位器，270Ω电阻。不锈钢电极。附微型容器五个</w:t>
            </w:r>
          </w:p>
        </w:tc>
        <w:tc>
          <w:tcPr>
            <w:tcW w:w="771" w:type="dxa"/>
            <w:tcBorders>
              <w:tl2br w:val="nil"/>
              <w:tr2bl w:val="nil"/>
            </w:tcBorders>
            <w:noWrap w:val="0"/>
            <w:vAlign w:val="center"/>
          </w:tcPr>
          <w:p w14:paraId="537239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31A2AF2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4F4D1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444B9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55</w:t>
            </w:r>
          </w:p>
        </w:tc>
        <w:tc>
          <w:tcPr>
            <w:tcW w:w="1470" w:type="dxa"/>
            <w:tcBorders>
              <w:tl2br w:val="nil"/>
              <w:tr2bl w:val="nil"/>
            </w:tcBorders>
            <w:noWrap w:val="0"/>
            <w:vAlign w:val="center"/>
          </w:tcPr>
          <w:p w14:paraId="42E1FE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化学实验装置磁性教具</w:t>
            </w:r>
          </w:p>
        </w:tc>
        <w:tc>
          <w:tcPr>
            <w:tcW w:w="1425" w:type="dxa"/>
            <w:tcBorders>
              <w:tl2br w:val="nil"/>
              <w:tr2bl w:val="nil"/>
            </w:tcBorders>
            <w:noWrap w:val="0"/>
            <w:vAlign w:val="center"/>
          </w:tcPr>
          <w:p w14:paraId="19EAE4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A4861F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初中化学教学用仪器图，可拼成所有实验，带磁性橡胶，单张图A4幅面</w:t>
            </w:r>
          </w:p>
        </w:tc>
        <w:tc>
          <w:tcPr>
            <w:tcW w:w="771" w:type="dxa"/>
            <w:tcBorders>
              <w:tl2br w:val="nil"/>
              <w:tr2bl w:val="nil"/>
            </w:tcBorders>
            <w:noWrap w:val="0"/>
            <w:vAlign w:val="center"/>
          </w:tcPr>
          <w:p w14:paraId="3D866A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E5C9A4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559C11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F3DF0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56</w:t>
            </w:r>
          </w:p>
        </w:tc>
        <w:tc>
          <w:tcPr>
            <w:tcW w:w="1470" w:type="dxa"/>
            <w:tcBorders>
              <w:tl2br w:val="nil"/>
              <w:tr2bl w:val="nil"/>
            </w:tcBorders>
            <w:noWrap w:val="0"/>
            <w:vAlign w:val="center"/>
          </w:tcPr>
          <w:p w14:paraId="4CD66D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化学实验废水处理装置</w:t>
            </w:r>
          </w:p>
        </w:tc>
        <w:tc>
          <w:tcPr>
            <w:tcW w:w="1425" w:type="dxa"/>
            <w:tcBorders>
              <w:tl2br w:val="nil"/>
              <w:tr2bl w:val="nil"/>
            </w:tcBorders>
            <w:noWrap w:val="0"/>
            <w:vAlign w:val="center"/>
          </w:tcPr>
          <w:p w14:paraId="4E45F21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237A79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主体透明，pH值测试、酸碱废液中和、重金属凝聚和过滤</w:t>
            </w:r>
          </w:p>
        </w:tc>
        <w:tc>
          <w:tcPr>
            <w:tcW w:w="771" w:type="dxa"/>
            <w:tcBorders>
              <w:tl2br w:val="nil"/>
              <w:tr2bl w:val="nil"/>
            </w:tcBorders>
            <w:noWrap w:val="0"/>
            <w:vAlign w:val="center"/>
          </w:tcPr>
          <w:p w14:paraId="782B61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3E83C0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2CA0F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90AA52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57</w:t>
            </w:r>
          </w:p>
        </w:tc>
        <w:tc>
          <w:tcPr>
            <w:tcW w:w="1470" w:type="dxa"/>
            <w:tcBorders>
              <w:tl2br w:val="nil"/>
              <w:tr2bl w:val="nil"/>
            </w:tcBorders>
            <w:noWrap w:val="0"/>
            <w:vAlign w:val="center"/>
          </w:tcPr>
          <w:p w14:paraId="0D7122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元素学习卡</w:t>
            </w:r>
          </w:p>
        </w:tc>
        <w:tc>
          <w:tcPr>
            <w:tcW w:w="1425" w:type="dxa"/>
            <w:tcBorders>
              <w:tl2br w:val="nil"/>
              <w:tr2bl w:val="nil"/>
            </w:tcBorders>
            <w:noWrap w:val="0"/>
            <w:vAlign w:val="center"/>
          </w:tcPr>
          <w:p w14:paraId="504596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A178DA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印有原子序数、元素符号、元素名称、外围电子层排布、相对原子质量，白板纸印，幅面30mm×50mm，共114张，塑料盒包装</w:t>
            </w:r>
          </w:p>
        </w:tc>
        <w:tc>
          <w:tcPr>
            <w:tcW w:w="771" w:type="dxa"/>
            <w:tcBorders>
              <w:tl2br w:val="nil"/>
              <w:tr2bl w:val="nil"/>
            </w:tcBorders>
            <w:noWrap w:val="0"/>
            <w:vAlign w:val="center"/>
          </w:tcPr>
          <w:p w14:paraId="28EA1C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4F779CD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335011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70587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58</w:t>
            </w:r>
          </w:p>
        </w:tc>
        <w:tc>
          <w:tcPr>
            <w:tcW w:w="1470" w:type="dxa"/>
            <w:tcBorders>
              <w:tl2br w:val="nil"/>
              <w:tr2bl w:val="nil"/>
            </w:tcBorders>
            <w:noWrap w:val="0"/>
            <w:vAlign w:val="center"/>
          </w:tcPr>
          <w:p w14:paraId="23E6460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金属矿物、金属及合金标本</w:t>
            </w:r>
          </w:p>
        </w:tc>
        <w:tc>
          <w:tcPr>
            <w:tcW w:w="1425" w:type="dxa"/>
            <w:tcBorders>
              <w:tl2br w:val="nil"/>
              <w:tr2bl w:val="nil"/>
            </w:tcBorders>
            <w:noWrap w:val="0"/>
            <w:vAlign w:val="center"/>
          </w:tcPr>
          <w:p w14:paraId="2471B41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C311AF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金属矿物11种，金属（纯）6种，合金8种</w:t>
            </w:r>
          </w:p>
        </w:tc>
        <w:tc>
          <w:tcPr>
            <w:tcW w:w="771" w:type="dxa"/>
            <w:tcBorders>
              <w:tl2br w:val="nil"/>
              <w:tr2bl w:val="nil"/>
            </w:tcBorders>
            <w:noWrap w:val="0"/>
            <w:vAlign w:val="center"/>
          </w:tcPr>
          <w:p w14:paraId="7B4136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18FACA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31FCE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BD8E1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59</w:t>
            </w:r>
          </w:p>
        </w:tc>
        <w:tc>
          <w:tcPr>
            <w:tcW w:w="1470" w:type="dxa"/>
            <w:tcBorders>
              <w:tl2br w:val="nil"/>
              <w:tr2bl w:val="nil"/>
            </w:tcBorders>
            <w:noWrap w:val="0"/>
            <w:vAlign w:val="center"/>
          </w:tcPr>
          <w:p w14:paraId="0D7E68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合成有机高分子材料标本</w:t>
            </w:r>
          </w:p>
        </w:tc>
        <w:tc>
          <w:tcPr>
            <w:tcW w:w="1425" w:type="dxa"/>
            <w:tcBorders>
              <w:tl2br w:val="nil"/>
              <w:tr2bl w:val="nil"/>
            </w:tcBorders>
            <w:noWrap w:val="0"/>
            <w:vAlign w:val="center"/>
          </w:tcPr>
          <w:p w14:paraId="0E96C4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FCA55B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无色透明面的标本盒，180mm×150mm，塑料、合成纤维、合成橡胶，有标本标签</w:t>
            </w:r>
          </w:p>
        </w:tc>
        <w:tc>
          <w:tcPr>
            <w:tcW w:w="771" w:type="dxa"/>
            <w:tcBorders>
              <w:tl2br w:val="nil"/>
              <w:tr2bl w:val="nil"/>
            </w:tcBorders>
            <w:noWrap w:val="0"/>
            <w:vAlign w:val="center"/>
          </w:tcPr>
          <w:p w14:paraId="621AD5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26822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盒</w:t>
            </w:r>
          </w:p>
        </w:tc>
      </w:tr>
      <w:tr w14:paraId="00796A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3F56D8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60</w:t>
            </w:r>
          </w:p>
        </w:tc>
        <w:tc>
          <w:tcPr>
            <w:tcW w:w="1470" w:type="dxa"/>
            <w:tcBorders>
              <w:tl2br w:val="nil"/>
              <w:tr2bl w:val="nil"/>
            </w:tcBorders>
            <w:noWrap w:val="0"/>
            <w:vAlign w:val="center"/>
          </w:tcPr>
          <w:p w14:paraId="493725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新型无机非金属材料标本</w:t>
            </w:r>
          </w:p>
        </w:tc>
        <w:tc>
          <w:tcPr>
            <w:tcW w:w="1425" w:type="dxa"/>
            <w:tcBorders>
              <w:tl2br w:val="nil"/>
              <w:tr2bl w:val="nil"/>
            </w:tcBorders>
            <w:noWrap w:val="0"/>
            <w:vAlign w:val="center"/>
          </w:tcPr>
          <w:p w14:paraId="5EF408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FB13DD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氧化铝陶瓷、氮化硅陶瓷、光导纤维、碳化硅、碳纤维增强材料、液晶。标明名称和主要用途。  </w:t>
            </w:r>
          </w:p>
        </w:tc>
        <w:tc>
          <w:tcPr>
            <w:tcW w:w="771" w:type="dxa"/>
            <w:tcBorders>
              <w:tl2br w:val="nil"/>
              <w:tr2bl w:val="nil"/>
            </w:tcBorders>
            <w:noWrap w:val="0"/>
            <w:vAlign w:val="center"/>
          </w:tcPr>
          <w:p w14:paraId="1AF8ED4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CC66E2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盒</w:t>
            </w:r>
          </w:p>
        </w:tc>
      </w:tr>
      <w:tr w14:paraId="57546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4D046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61</w:t>
            </w:r>
          </w:p>
        </w:tc>
        <w:tc>
          <w:tcPr>
            <w:tcW w:w="1470" w:type="dxa"/>
            <w:tcBorders>
              <w:tl2br w:val="nil"/>
              <w:tr2bl w:val="nil"/>
            </w:tcBorders>
            <w:noWrap w:val="0"/>
            <w:vAlign w:val="center"/>
          </w:tcPr>
          <w:p w14:paraId="57A4970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复合材料标本</w:t>
            </w:r>
          </w:p>
        </w:tc>
        <w:tc>
          <w:tcPr>
            <w:tcW w:w="1425" w:type="dxa"/>
            <w:tcBorders>
              <w:tl2br w:val="nil"/>
              <w:tr2bl w:val="nil"/>
            </w:tcBorders>
            <w:noWrap w:val="0"/>
            <w:vAlign w:val="center"/>
          </w:tcPr>
          <w:p w14:paraId="1C155AF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ACC311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金属复合材料、钛-钢复合板、纳米钨铜复合材料、碳纤维增强塑料、碳化硅纤维－陶瓷、氧化铝系列陶瓷、碳纤维增强碳复合材料、纤维－水泥基复合材料、玻璃纤维增强聚合物基复合材料</w:t>
            </w:r>
          </w:p>
        </w:tc>
        <w:tc>
          <w:tcPr>
            <w:tcW w:w="771" w:type="dxa"/>
            <w:tcBorders>
              <w:tl2br w:val="nil"/>
              <w:tr2bl w:val="nil"/>
            </w:tcBorders>
            <w:noWrap w:val="0"/>
            <w:vAlign w:val="center"/>
          </w:tcPr>
          <w:p w14:paraId="187ED7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41830F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盒</w:t>
            </w:r>
          </w:p>
        </w:tc>
      </w:tr>
      <w:tr w14:paraId="74E36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1B5AD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62</w:t>
            </w:r>
          </w:p>
        </w:tc>
        <w:tc>
          <w:tcPr>
            <w:tcW w:w="1470" w:type="dxa"/>
            <w:tcBorders>
              <w:tl2br w:val="nil"/>
              <w:tr2bl w:val="nil"/>
            </w:tcBorders>
            <w:noWrap w:val="0"/>
            <w:vAlign w:val="center"/>
          </w:tcPr>
          <w:p w14:paraId="7026838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新型玻璃</w:t>
            </w:r>
          </w:p>
        </w:tc>
        <w:tc>
          <w:tcPr>
            <w:tcW w:w="1425" w:type="dxa"/>
            <w:tcBorders>
              <w:tl2br w:val="nil"/>
              <w:tr2bl w:val="nil"/>
            </w:tcBorders>
            <w:noWrap w:val="0"/>
            <w:vAlign w:val="center"/>
          </w:tcPr>
          <w:p w14:paraId="3A54ED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B5E546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钢化玻璃、夹层玻璃、吸热玻璃、热反射玻璃（镜面玻璃）、调光玻璃、超薄柔性玻璃、导电玻璃、光色玻璃</w:t>
            </w:r>
          </w:p>
        </w:tc>
        <w:tc>
          <w:tcPr>
            <w:tcW w:w="771" w:type="dxa"/>
            <w:tcBorders>
              <w:tl2br w:val="nil"/>
              <w:tr2bl w:val="nil"/>
            </w:tcBorders>
            <w:noWrap w:val="0"/>
            <w:vAlign w:val="center"/>
          </w:tcPr>
          <w:p w14:paraId="2A9F7C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476F6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r w14:paraId="7EE4F7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CABE25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63</w:t>
            </w:r>
          </w:p>
        </w:tc>
        <w:tc>
          <w:tcPr>
            <w:tcW w:w="1470" w:type="dxa"/>
            <w:tcBorders>
              <w:tl2br w:val="nil"/>
              <w:tr2bl w:val="nil"/>
            </w:tcBorders>
            <w:noWrap w:val="0"/>
            <w:vAlign w:val="center"/>
          </w:tcPr>
          <w:p w14:paraId="5101AE7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形状记忆合金标本</w:t>
            </w:r>
          </w:p>
        </w:tc>
        <w:tc>
          <w:tcPr>
            <w:tcW w:w="1425" w:type="dxa"/>
            <w:tcBorders>
              <w:tl2br w:val="nil"/>
              <w:tr2bl w:val="nil"/>
            </w:tcBorders>
            <w:noWrap w:val="0"/>
            <w:vAlign w:val="center"/>
          </w:tcPr>
          <w:p w14:paraId="05679BD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DD8661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形状记忆合金标本外形不少于4种，配收纳盒</w:t>
            </w:r>
          </w:p>
        </w:tc>
        <w:tc>
          <w:tcPr>
            <w:tcW w:w="771" w:type="dxa"/>
            <w:tcBorders>
              <w:tl2br w:val="nil"/>
              <w:tr2bl w:val="nil"/>
            </w:tcBorders>
            <w:noWrap w:val="0"/>
            <w:vAlign w:val="center"/>
          </w:tcPr>
          <w:p w14:paraId="0C4A20A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CD2C2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件</w:t>
            </w:r>
          </w:p>
        </w:tc>
      </w:tr>
      <w:tr w14:paraId="032A30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D041F8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64</w:t>
            </w:r>
          </w:p>
        </w:tc>
        <w:tc>
          <w:tcPr>
            <w:tcW w:w="1470" w:type="dxa"/>
            <w:tcBorders>
              <w:tl2br w:val="nil"/>
              <w:tr2bl w:val="nil"/>
            </w:tcBorders>
            <w:noWrap w:val="0"/>
            <w:vAlign w:val="center"/>
          </w:tcPr>
          <w:p w14:paraId="0A5AAC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量筒</w:t>
            </w:r>
          </w:p>
        </w:tc>
        <w:tc>
          <w:tcPr>
            <w:tcW w:w="1425" w:type="dxa"/>
            <w:tcBorders>
              <w:tl2br w:val="nil"/>
              <w:tr2bl w:val="nil"/>
            </w:tcBorders>
            <w:noWrap w:val="0"/>
            <w:vAlign w:val="center"/>
          </w:tcPr>
          <w:p w14:paraId="565FCE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EBB72F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无色透明玻璃，标称容量10mL，最小分度0.2mL，壁厚≥1.0mm</w:t>
            </w:r>
          </w:p>
        </w:tc>
        <w:tc>
          <w:tcPr>
            <w:tcW w:w="771" w:type="dxa"/>
            <w:tcBorders>
              <w:tl2br w:val="nil"/>
              <w:tr2bl w:val="nil"/>
            </w:tcBorders>
            <w:noWrap w:val="0"/>
            <w:vAlign w:val="center"/>
          </w:tcPr>
          <w:p w14:paraId="0BFB33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110</w:t>
            </w:r>
          </w:p>
        </w:tc>
        <w:tc>
          <w:tcPr>
            <w:tcW w:w="772" w:type="dxa"/>
            <w:tcBorders>
              <w:tl2br w:val="nil"/>
              <w:tr2bl w:val="nil"/>
            </w:tcBorders>
            <w:noWrap w:val="0"/>
            <w:vAlign w:val="center"/>
          </w:tcPr>
          <w:p w14:paraId="383926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7DA39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582E54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65</w:t>
            </w:r>
          </w:p>
        </w:tc>
        <w:tc>
          <w:tcPr>
            <w:tcW w:w="1470" w:type="dxa"/>
            <w:tcBorders>
              <w:tl2br w:val="nil"/>
              <w:tr2bl w:val="nil"/>
            </w:tcBorders>
            <w:noWrap w:val="0"/>
            <w:vAlign w:val="center"/>
          </w:tcPr>
          <w:p w14:paraId="43C1BB2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量筒</w:t>
            </w:r>
          </w:p>
        </w:tc>
        <w:tc>
          <w:tcPr>
            <w:tcW w:w="1425" w:type="dxa"/>
            <w:tcBorders>
              <w:tl2br w:val="nil"/>
              <w:tr2bl w:val="nil"/>
            </w:tcBorders>
            <w:noWrap w:val="0"/>
            <w:vAlign w:val="center"/>
          </w:tcPr>
          <w:p w14:paraId="4B58C56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2E416E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无色透明玻璃，标称容量50mL，最小分度1mL，壁厚≥1.0mm</w:t>
            </w:r>
          </w:p>
        </w:tc>
        <w:tc>
          <w:tcPr>
            <w:tcW w:w="771" w:type="dxa"/>
            <w:tcBorders>
              <w:tl2br w:val="nil"/>
              <w:tr2bl w:val="nil"/>
            </w:tcBorders>
            <w:noWrap w:val="0"/>
            <w:vAlign w:val="center"/>
          </w:tcPr>
          <w:p w14:paraId="35C2E8A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55</w:t>
            </w:r>
          </w:p>
        </w:tc>
        <w:tc>
          <w:tcPr>
            <w:tcW w:w="772" w:type="dxa"/>
            <w:tcBorders>
              <w:tl2br w:val="nil"/>
              <w:tr2bl w:val="nil"/>
            </w:tcBorders>
            <w:noWrap w:val="0"/>
            <w:vAlign w:val="center"/>
          </w:tcPr>
          <w:p w14:paraId="2270602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46AB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9E977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66</w:t>
            </w:r>
          </w:p>
        </w:tc>
        <w:tc>
          <w:tcPr>
            <w:tcW w:w="1470" w:type="dxa"/>
            <w:tcBorders>
              <w:tl2br w:val="nil"/>
              <w:tr2bl w:val="nil"/>
            </w:tcBorders>
            <w:noWrap w:val="0"/>
            <w:vAlign w:val="center"/>
          </w:tcPr>
          <w:p w14:paraId="330BE3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量筒</w:t>
            </w:r>
          </w:p>
        </w:tc>
        <w:tc>
          <w:tcPr>
            <w:tcW w:w="1425" w:type="dxa"/>
            <w:tcBorders>
              <w:tl2br w:val="nil"/>
              <w:tr2bl w:val="nil"/>
            </w:tcBorders>
            <w:noWrap w:val="0"/>
            <w:vAlign w:val="center"/>
          </w:tcPr>
          <w:p w14:paraId="38CFBE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ECA7B5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无色透明玻璃，标称容量100mL，最小分度1mL，壁厚≥1.0mm</w:t>
            </w:r>
          </w:p>
        </w:tc>
        <w:tc>
          <w:tcPr>
            <w:tcW w:w="771" w:type="dxa"/>
            <w:tcBorders>
              <w:tl2br w:val="nil"/>
              <w:tr2bl w:val="nil"/>
            </w:tcBorders>
            <w:noWrap w:val="0"/>
            <w:vAlign w:val="center"/>
          </w:tcPr>
          <w:p w14:paraId="6B70DB3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92</w:t>
            </w:r>
          </w:p>
        </w:tc>
        <w:tc>
          <w:tcPr>
            <w:tcW w:w="772" w:type="dxa"/>
            <w:tcBorders>
              <w:tl2br w:val="nil"/>
              <w:tr2bl w:val="nil"/>
            </w:tcBorders>
            <w:noWrap w:val="0"/>
            <w:vAlign w:val="center"/>
          </w:tcPr>
          <w:p w14:paraId="54913A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5C6E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6D2EA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67</w:t>
            </w:r>
          </w:p>
        </w:tc>
        <w:tc>
          <w:tcPr>
            <w:tcW w:w="1470" w:type="dxa"/>
            <w:tcBorders>
              <w:tl2br w:val="nil"/>
              <w:tr2bl w:val="nil"/>
            </w:tcBorders>
            <w:noWrap w:val="0"/>
            <w:vAlign w:val="center"/>
          </w:tcPr>
          <w:p w14:paraId="189730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量筒</w:t>
            </w:r>
          </w:p>
        </w:tc>
        <w:tc>
          <w:tcPr>
            <w:tcW w:w="1425" w:type="dxa"/>
            <w:tcBorders>
              <w:tl2br w:val="nil"/>
              <w:tr2bl w:val="nil"/>
            </w:tcBorders>
            <w:noWrap w:val="0"/>
            <w:vAlign w:val="center"/>
          </w:tcPr>
          <w:p w14:paraId="382F7A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DF46FA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无色透明玻璃，标称容量500mL，最小分度5mL，壁厚≥1.2mm</w:t>
            </w:r>
          </w:p>
        </w:tc>
        <w:tc>
          <w:tcPr>
            <w:tcW w:w="771" w:type="dxa"/>
            <w:tcBorders>
              <w:tl2br w:val="nil"/>
              <w:tr2bl w:val="nil"/>
            </w:tcBorders>
            <w:noWrap w:val="0"/>
            <w:vAlign w:val="center"/>
          </w:tcPr>
          <w:p w14:paraId="2CF19B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32</w:t>
            </w:r>
          </w:p>
        </w:tc>
        <w:tc>
          <w:tcPr>
            <w:tcW w:w="772" w:type="dxa"/>
            <w:tcBorders>
              <w:tl2br w:val="nil"/>
              <w:tr2bl w:val="nil"/>
            </w:tcBorders>
            <w:noWrap w:val="0"/>
            <w:vAlign w:val="center"/>
          </w:tcPr>
          <w:p w14:paraId="03213B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90BE8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55F9C9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68</w:t>
            </w:r>
          </w:p>
        </w:tc>
        <w:tc>
          <w:tcPr>
            <w:tcW w:w="1470" w:type="dxa"/>
            <w:tcBorders>
              <w:tl2br w:val="nil"/>
              <w:tr2bl w:val="nil"/>
            </w:tcBorders>
            <w:noWrap w:val="0"/>
            <w:vAlign w:val="center"/>
          </w:tcPr>
          <w:p w14:paraId="771D43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量杯</w:t>
            </w:r>
          </w:p>
        </w:tc>
        <w:tc>
          <w:tcPr>
            <w:tcW w:w="1425" w:type="dxa"/>
            <w:tcBorders>
              <w:tl2br w:val="nil"/>
              <w:tr2bl w:val="nil"/>
            </w:tcBorders>
            <w:noWrap w:val="0"/>
            <w:vAlign w:val="center"/>
          </w:tcPr>
          <w:p w14:paraId="27888B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DCB011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无色透明玻璃，标称容量250mL，最小分度25mL，壁厚≥1.2mm</w:t>
            </w:r>
          </w:p>
        </w:tc>
        <w:tc>
          <w:tcPr>
            <w:tcW w:w="771" w:type="dxa"/>
            <w:tcBorders>
              <w:tl2br w:val="nil"/>
              <w:tr2bl w:val="nil"/>
            </w:tcBorders>
            <w:noWrap w:val="0"/>
            <w:vAlign w:val="center"/>
          </w:tcPr>
          <w:p w14:paraId="466BBB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2CFFF9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1F0E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28A57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69</w:t>
            </w:r>
          </w:p>
        </w:tc>
        <w:tc>
          <w:tcPr>
            <w:tcW w:w="1470" w:type="dxa"/>
            <w:tcBorders>
              <w:tl2br w:val="nil"/>
              <w:tr2bl w:val="nil"/>
            </w:tcBorders>
            <w:noWrap w:val="0"/>
            <w:vAlign w:val="center"/>
          </w:tcPr>
          <w:p w14:paraId="4DB7752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容量瓶</w:t>
            </w:r>
          </w:p>
        </w:tc>
        <w:tc>
          <w:tcPr>
            <w:tcW w:w="1425" w:type="dxa"/>
            <w:tcBorders>
              <w:tl2br w:val="nil"/>
              <w:tr2bl w:val="nil"/>
            </w:tcBorders>
            <w:noWrap w:val="0"/>
            <w:vAlign w:val="center"/>
          </w:tcPr>
          <w:p w14:paraId="01C8C9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CC24CC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无色透明硅硼玻璃，单标线容量瓶，标称容量250mL，标准磨口，磨口号不小于14，B级</w:t>
            </w:r>
          </w:p>
        </w:tc>
        <w:tc>
          <w:tcPr>
            <w:tcW w:w="771" w:type="dxa"/>
            <w:tcBorders>
              <w:tl2br w:val="nil"/>
              <w:tr2bl w:val="nil"/>
            </w:tcBorders>
            <w:noWrap w:val="0"/>
            <w:vAlign w:val="center"/>
          </w:tcPr>
          <w:p w14:paraId="4618D3A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C7FBC1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1BFF2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8CD7B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70</w:t>
            </w:r>
          </w:p>
        </w:tc>
        <w:tc>
          <w:tcPr>
            <w:tcW w:w="1470" w:type="dxa"/>
            <w:tcBorders>
              <w:tl2br w:val="nil"/>
              <w:tr2bl w:val="nil"/>
            </w:tcBorders>
            <w:noWrap w:val="0"/>
            <w:vAlign w:val="center"/>
          </w:tcPr>
          <w:p w14:paraId="0324FAF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容量瓶</w:t>
            </w:r>
          </w:p>
        </w:tc>
        <w:tc>
          <w:tcPr>
            <w:tcW w:w="1425" w:type="dxa"/>
            <w:tcBorders>
              <w:tl2br w:val="nil"/>
              <w:tr2bl w:val="nil"/>
            </w:tcBorders>
            <w:noWrap w:val="0"/>
            <w:vAlign w:val="center"/>
          </w:tcPr>
          <w:p w14:paraId="2D5AB0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E924FE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无色透明硅硼玻璃，单标线容量瓶，标称容量500mL，标准磨口，磨口内径标号不小于16,B级</w:t>
            </w:r>
          </w:p>
        </w:tc>
        <w:tc>
          <w:tcPr>
            <w:tcW w:w="771" w:type="dxa"/>
            <w:tcBorders>
              <w:tl2br w:val="nil"/>
              <w:tr2bl w:val="nil"/>
            </w:tcBorders>
            <w:noWrap w:val="0"/>
            <w:vAlign w:val="center"/>
          </w:tcPr>
          <w:p w14:paraId="301AE5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14896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1E85E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33F51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71</w:t>
            </w:r>
          </w:p>
        </w:tc>
        <w:tc>
          <w:tcPr>
            <w:tcW w:w="1470" w:type="dxa"/>
            <w:tcBorders>
              <w:tl2br w:val="nil"/>
              <w:tr2bl w:val="nil"/>
            </w:tcBorders>
            <w:noWrap w:val="0"/>
            <w:vAlign w:val="center"/>
          </w:tcPr>
          <w:p w14:paraId="6EAAA4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滴定管</w:t>
            </w:r>
          </w:p>
        </w:tc>
        <w:tc>
          <w:tcPr>
            <w:tcW w:w="1425" w:type="dxa"/>
            <w:tcBorders>
              <w:tl2br w:val="nil"/>
              <w:tr2bl w:val="nil"/>
            </w:tcBorders>
            <w:noWrap w:val="0"/>
            <w:vAlign w:val="center"/>
          </w:tcPr>
          <w:p w14:paraId="176946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CEA51E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酸式，具塞滴定管，标称容量25mL，最小分度值0.1mL，壁厚1.3±0.3mm。标准磨口34/35</w:t>
            </w:r>
          </w:p>
        </w:tc>
        <w:tc>
          <w:tcPr>
            <w:tcW w:w="771" w:type="dxa"/>
            <w:tcBorders>
              <w:tl2br w:val="nil"/>
              <w:tr2bl w:val="nil"/>
            </w:tcBorders>
            <w:noWrap w:val="0"/>
            <w:vAlign w:val="center"/>
          </w:tcPr>
          <w:p w14:paraId="23A3A3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89718D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46942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91523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72</w:t>
            </w:r>
          </w:p>
        </w:tc>
        <w:tc>
          <w:tcPr>
            <w:tcW w:w="1470" w:type="dxa"/>
            <w:tcBorders>
              <w:tl2br w:val="nil"/>
              <w:tr2bl w:val="nil"/>
            </w:tcBorders>
            <w:noWrap w:val="0"/>
            <w:vAlign w:val="center"/>
          </w:tcPr>
          <w:p w14:paraId="4A95C2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滴定管</w:t>
            </w:r>
          </w:p>
        </w:tc>
        <w:tc>
          <w:tcPr>
            <w:tcW w:w="1425" w:type="dxa"/>
            <w:tcBorders>
              <w:tl2br w:val="nil"/>
              <w:tr2bl w:val="nil"/>
            </w:tcBorders>
            <w:noWrap w:val="0"/>
            <w:vAlign w:val="center"/>
          </w:tcPr>
          <w:p w14:paraId="4942E9C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147281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碱式，无塞滴定管，标称容量25mL，最小分度值0.1mL，壁厚1.3±0.3mm</w:t>
            </w:r>
          </w:p>
        </w:tc>
        <w:tc>
          <w:tcPr>
            <w:tcW w:w="771" w:type="dxa"/>
            <w:tcBorders>
              <w:tl2br w:val="nil"/>
              <w:tr2bl w:val="nil"/>
            </w:tcBorders>
            <w:noWrap w:val="0"/>
            <w:vAlign w:val="center"/>
          </w:tcPr>
          <w:p w14:paraId="7B08874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B0979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1D353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C3AB8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73</w:t>
            </w:r>
          </w:p>
        </w:tc>
        <w:tc>
          <w:tcPr>
            <w:tcW w:w="1470" w:type="dxa"/>
            <w:tcBorders>
              <w:tl2br w:val="nil"/>
              <w:tr2bl w:val="nil"/>
            </w:tcBorders>
            <w:noWrap w:val="0"/>
            <w:vAlign w:val="center"/>
          </w:tcPr>
          <w:p w14:paraId="618F98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w:t>
            </w:r>
          </w:p>
        </w:tc>
        <w:tc>
          <w:tcPr>
            <w:tcW w:w="1425" w:type="dxa"/>
            <w:tcBorders>
              <w:tl2br w:val="nil"/>
              <w:tr2bl w:val="nil"/>
            </w:tcBorders>
            <w:noWrap w:val="0"/>
            <w:vAlign w:val="center"/>
          </w:tcPr>
          <w:p w14:paraId="4AC7CE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E17470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3.3硼硅玻璃，口部应做卷边处理，Φ12mm×75mm，壁厚1.0mm</w:t>
            </w:r>
          </w:p>
        </w:tc>
        <w:tc>
          <w:tcPr>
            <w:tcW w:w="771" w:type="dxa"/>
            <w:tcBorders>
              <w:tl2br w:val="nil"/>
              <w:tr2bl w:val="nil"/>
            </w:tcBorders>
            <w:noWrap w:val="0"/>
            <w:vAlign w:val="center"/>
          </w:tcPr>
          <w:p w14:paraId="35B304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560</w:t>
            </w:r>
          </w:p>
        </w:tc>
        <w:tc>
          <w:tcPr>
            <w:tcW w:w="772" w:type="dxa"/>
            <w:tcBorders>
              <w:tl2br w:val="nil"/>
              <w:tr2bl w:val="nil"/>
            </w:tcBorders>
            <w:noWrap w:val="0"/>
            <w:vAlign w:val="center"/>
          </w:tcPr>
          <w:p w14:paraId="2ED5A75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49A70A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3C5B5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74</w:t>
            </w:r>
          </w:p>
        </w:tc>
        <w:tc>
          <w:tcPr>
            <w:tcW w:w="1470" w:type="dxa"/>
            <w:tcBorders>
              <w:tl2br w:val="nil"/>
              <w:tr2bl w:val="nil"/>
            </w:tcBorders>
            <w:noWrap w:val="0"/>
            <w:vAlign w:val="center"/>
          </w:tcPr>
          <w:p w14:paraId="60BCD2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w:t>
            </w:r>
          </w:p>
        </w:tc>
        <w:tc>
          <w:tcPr>
            <w:tcW w:w="1425" w:type="dxa"/>
            <w:tcBorders>
              <w:tl2br w:val="nil"/>
              <w:tr2bl w:val="nil"/>
            </w:tcBorders>
            <w:noWrap w:val="0"/>
            <w:vAlign w:val="center"/>
          </w:tcPr>
          <w:p w14:paraId="7ED9B5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FF6636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3.3硼硅玻璃，口部应做卷边处理，Φ16mm×150mm，壁厚1.2mm</w:t>
            </w:r>
          </w:p>
        </w:tc>
        <w:tc>
          <w:tcPr>
            <w:tcW w:w="771" w:type="dxa"/>
            <w:tcBorders>
              <w:tl2br w:val="nil"/>
              <w:tr2bl w:val="nil"/>
            </w:tcBorders>
            <w:noWrap w:val="0"/>
            <w:vAlign w:val="center"/>
          </w:tcPr>
          <w:p w14:paraId="206222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680</w:t>
            </w:r>
          </w:p>
        </w:tc>
        <w:tc>
          <w:tcPr>
            <w:tcW w:w="772" w:type="dxa"/>
            <w:tcBorders>
              <w:tl2br w:val="nil"/>
              <w:tr2bl w:val="nil"/>
            </w:tcBorders>
            <w:noWrap w:val="0"/>
            <w:vAlign w:val="center"/>
          </w:tcPr>
          <w:p w14:paraId="551BE6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5775EA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D9613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75</w:t>
            </w:r>
          </w:p>
        </w:tc>
        <w:tc>
          <w:tcPr>
            <w:tcW w:w="1470" w:type="dxa"/>
            <w:tcBorders>
              <w:tl2br w:val="nil"/>
              <w:tr2bl w:val="nil"/>
            </w:tcBorders>
            <w:noWrap w:val="0"/>
            <w:vAlign w:val="center"/>
          </w:tcPr>
          <w:p w14:paraId="3F7BF92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w:t>
            </w:r>
          </w:p>
        </w:tc>
        <w:tc>
          <w:tcPr>
            <w:tcW w:w="1425" w:type="dxa"/>
            <w:tcBorders>
              <w:tl2br w:val="nil"/>
              <w:tr2bl w:val="nil"/>
            </w:tcBorders>
            <w:noWrap w:val="0"/>
            <w:vAlign w:val="center"/>
          </w:tcPr>
          <w:p w14:paraId="5A66CCB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81E131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3.3硼硅玻璃，口部应做卷边处理，Φ18mm×180mm，壁厚1.2mm</w:t>
            </w:r>
          </w:p>
        </w:tc>
        <w:tc>
          <w:tcPr>
            <w:tcW w:w="771" w:type="dxa"/>
            <w:tcBorders>
              <w:tl2br w:val="nil"/>
              <w:tr2bl w:val="nil"/>
            </w:tcBorders>
            <w:noWrap w:val="0"/>
            <w:vAlign w:val="center"/>
          </w:tcPr>
          <w:p w14:paraId="542B2D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150</w:t>
            </w:r>
          </w:p>
        </w:tc>
        <w:tc>
          <w:tcPr>
            <w:tcW w:w="772" w:type="dxa"/>
            <w:tcBorders>
              <w:tl2br w:val="nil"/>
              <w:tr2bl w:val="nil"/>
            </w:tcBorders>
            <w:noWrap w:val="0"/>
            <w:vAlign w:val="center"/>
          </w:tcPr>
          <w:p w14:paraId="2B35D7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682E2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CD150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76</w:t>
            </w:r>
          </w:p>
        </w:tc>
        <w:tc>
          <w:tcPr>
            <w:tcW w:w="1470" w:type="dxa"/>
            <w:tcBorders>
              <w:tl2br w:val="nil"/>
              <w:tr2bl w:val="nil"/>
            </w:tcBorders>
            <w:noWrap w:val="0"/>
            <w:vAlign w:val="center"/>
          </w:tcPr>
          <w:p w14:paraId="132EDB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w:t>
            </w:r>
          </w:p>
        </w:tc>
        <w:tc>
          <w:tcPr>
            <w:tcW w:w="1425" w:type="dxa"/>
            <w:tcBorders>
              <w:tl2br w:val="nil"/>
              <w:tr2bl w:val="nil"/>
            </w:tcBorders>
            <w:noWrap w:val="0"/>
            <w:vAlign w:val="center"/>
          </w:tcPr>
          <w:p w14:paraId="0CC7B85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41D28A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无色透明低硼钠钙玻璃，口部应做卷边处理，Φ21mm×200mm，壁厚1.2mm</w:t>
            </w:r>
          </w:p>
        </w:tc>
        <w:tc>
          <w:tcPr>
            <w:tcW w:w="771" w:type="dxa"/>
            <w:tcBorders>
              <w:tl2br w:val="nil"/>
              <w:tr2bl w:val="nil"/>
            </w:tcBorders>
            <w:noWrap w:val="0"/>
            <w:vAlign w:val="center"/>
          </w:tcPr>
          <w:p w14:paraId="1375A5B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155</w:t>
            </w:r>
          </w:p>
        </w:tc>
        <w:tc>
          <w:tcPr>
            <w:tcW w:w="772" w:type="dxa"/>
            <w:tcBorders>
              <w:tl2br w:val="nil"/>
              <w:tr2bl w:val="nil"/>
            </w:tcBorders>
            <w:noWrap w:val="0"/>
            <w:vAlign w:val="center"/>
          </w:tcPr>
          <w:p w14:paraId="77A9528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7FDFC5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6C27C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77</w:t>
            </w:r>
          </w:p>
        </w:tc>
        <w:tc>
          <w:tcPr>
            <w:tcW w:w="1470" w:type="dxa"/>
            <w:tcBorders>
              <w:tl2br w:val="nil"/>
              <w:tr2bl w:val="nil"/>
            </w:tcBorders>
            <w:noWrap w:val="0"/>
            <w:vAlign w:val="center"/>
          </w:tcPr>
          <w:p w14:paraId="5F6AD3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w:t>
            </w:r>
          </w:p>
        </w:tc>
        <w:tc>
          <w:tcPr>
            <w:tcW w:w="1425" w:type="dxa"/>
            <w:tcBorders>
              <w:tl2br w:val="nil"/>
              <w:tr2bl w:val="nil"/>
            </w:tcBorders>
            <w:noWrap w:val="0"/>
            <w:vAlign w:val="center"/>
          </w:tcPr>
          <w:p w14:paraId="02F91AF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2518EC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无色透明低硼钠钙玻璃，口部应做卷边处理，Φ30mm×200mm，壁厚1.5mm</w:t>
            </w:r>
          </w:p>
        </w:tc>
        <w:tc>
          <w:tcPr>
            <w:tcW w:w="771" w:type="dxa"/>
            <w:tcBorders>
              <w:tl2br w:val="nil"/>
              <w:tr2bl w:val="nil"/>
            </w:tcBorders>
            <w:noWrap w:val="0"/>
            <w:vAlign w:val="center"/>
          </w:tcPr>
          <w:p w14:paraId="038629B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150</w:t>
            </w:r>
          </w:p>
        </w:tc>
        <w:tc>
          <w:tcPr>
            <w:tcW w:w="772" w:type="dxa"/>
            <w:tcBorders>
              <w:tl2br w:val="nil"/>
              <w:tr2bl w:val="nil"/>
            </w:tcBorders>
            <w:noWrap w:val="0"/>
            <w:vAlign w:val="center"/>
          </w:tcPr>
          <w:p w14:paraId="6A2DD7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14C0A6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B3449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78</w:t>
            </w:r>
          </w:p>
        </w:tc>
        <w:tc>
          <w:tcPr>
            <w:tcW w:w="1470" w:type="dxa"/>
            <w:tcBorders>
              <w:tl2br w:val="nil"/>
              <w:tr2bl w:val="nil"/>
            </w:tcBorders>
            <w:noWrap w:val="0"/>
            <w:vAlign w:val="center"/>
          </w:tcPr>
          <w:p w14:paraId="338E11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w:t>
            </w:r>
          </w:p>
        </w:tc>
        <w:tc>
          <w:tcPr>
            <w:tcW w:w="1425" w:type="dxa"/>
            <w:tcBorders>
              <w:tl2br w:val="nil"/>
              <w:tr2bl w:val="nil"/>
            </w:tcBorders>
            <w:noWrap w:val="0"/>
            <w:vAlign w:val="center"/>
          </w:tcPr>
          <w:p w14:paraId="127F6C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A84360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无色透明低硼钠钙玻璃，口部应做卷边处理，Φ32mm×200mm，壁厚1.5mm</w:t>
            </w:r>
          </w:p>
        </w:tc>
        <w:tc>
          <w:tcPr>
            <w:tcW w:w="771" w:type="dxa"/>
            <w:tcBorders>
              <w:tl2br w:val="nil"/>
              <w:tr2bl w:val="nil"/>
            </w:tcBorders>
            <w:noWrap w:val="0"/>
            <w:vAlign w:val="center"/>
          </w:tcPr>
          <w:p w14:paraId="0766A8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772" w:type="dxa"/>
            <w:tcBorders>
              <w:tl2br w:val="nil"/>
              <w:tr2bl w:val="nil"/>
            </w:tcBorders>
            <w:noWrap w:val="0"/>
            <w:vAlign w:val="center"/>
          </w:tcPr>
          <w:p w14:paraId="7D55D06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4A7CFF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ABB3C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79</w:t>
            </w:r>
          </w:p>
        </w:tc>
        <w:tc>
          <w:tcPr>
            <w:tcW w:w="1470" w:type="dxa"/>
            <w:tcBorders>
              <w:tl2br w:val="nil"/>
              <w:tr2bl w:val="nil"/>
            </w:tcBorders>
            <w:noWrap w:val="0"/>
            <w:vAlign w:val="center"/>
          </w:tcPr>
          <w:p w14:paraId="7E3CDA2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具支试管</w:t>
            </w:r>
          </w:p>
        </w:tc>
        <w:tc>
          <w:tcPr>
            <w:tcW w:w="1425" w:type="dxa"/>
            <w:tcBorders>
              <w:tl2br w:val="nil"/>
              <w:tr2bl w:val="nil"/>
            </w:tcBorders>
            <w:noWrap w:val="0"/>
            <w:vAlign w:val="center"/>
          </w:tcPr>
          <w:p w14:paraId="4CDEC1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F8632E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高硼硅玻璃，口部应做卷边处理，口部具支试管，Φ20mm×200mm，支管外径8±1mm，长度40mm±5mm</w:t>
            </w:r>
          </w:p>
        </w:tc>
        <w:tc>
          <w:tcPr>
            <w:tcW w:w="771" w:type="dxa"/>
            <w:tcBorders>
              <w:tl2br w:val="nil"/>
              <w:tr2bl w:val="nil"/>
            </w:tcBorders>
            <w:noWrap w:val="0"/>
            <w:vAlign w:val="center"/>
          </w:tcPr>
          <w:p w14:paraId="7B839A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5AF283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7779A2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FD4E66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80</w:t>
            </w:r>
          </w:p>
        </w:tc>
        <w:tc>
          <w:tcPr>
            <w:tcW w:w="1470" w:type="dxa"/>
            <w:tcBorders>
              <w:tl2br w:val="nil"/>
              <w:tr2bl w:val="nil"/>
            </w:tcBorders>
            <w:noWrap w:val="0"/>
            <w:vAlign w:val="center"/>
          </w:tcPr>
          <w:p w14:paraId="190F1C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硬质玻璃管</w:t>
            </w:r>
          </w:p>
        </w:tc>
        <w:tc>
          <w:tcPr>
            <w:tcW w:w="1425" w:type="dxa"/>
            <w:tcBorders>
              <w:tl2br w:val="nil"/>
              <w:tr2bl w:val="nil"/>
            </w:tcBorders>
            <w:noWrap w:val="0"/>
            <w:vAlign w:val="center"/>
          </w:tcPr>
          <w:p w14:paraId="58666E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62BAE6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高硼硅玻璃，口部应做卷边处理，Φ15mm×150mm，壁厚1mm，试管两端口部卷口</w:t>
            </w:r>
          </w:p>
        </w:tc>
        <w:tc>
          <w:tcPr>
            <w:tcW w:w="771" w:type="dxa"/>
            <w:tcBorders>
              <w:tl2br w:val="nil"/>
              <w:tr2bl w:val="nil"/>
            </w:tcBorders>
            <w:noWrap w:val="0"/>
            <w:vAlign w:val="center"/>
          </w:tcPr>
          <w:p w14:paraId="2A75AF2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063FFD0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3AA30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622953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81</w:t>
            </w:r>
          </w:p>
        </w:tc>
        <w:tc>
          <w:tcPr>
            <w:tcW w:w="1470" w:type="dxa"/>
            <w:tcBorders>
              <w:tl2br w:val="nil"/>
              <w:tr2bl w:val="nil"/>
            </w:tcBorders>
            <w:noWrap w:val="0"/>
            <w:vAlign w:val="center"/>
          </w:tcPr>
          <w:p w14:paraId="27C1DF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硬质玻璃管</w:t>
            </w:r>
          </w:p>
        </w:tc>
        <w:tc>
          <w:tcPr>
            <w:tcW w:w="1425" w:type="dxa"/>
            <w:tcBorders>
              <w:tl2br w:val="nil"/>
              <w:tr2bl w:val="nil"/>
            </w:tcBorders>
            <w:noWrap w:val="0"/>
            <w:vAlign w:val="center"/>
          </w:tcPr>
          <w:p w14:paraId="6738A0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1BFB40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高硼硅玻璃，口部应做卷边处理，Φ20mm×250mm，壁厚1.2mm，试管两端口部卷口</w:t>
            </w:r>
          </w:p>
        </w:tc>
        <w:tc>
          <w:tcPr>
            <w:tcW w:w="771" w:type="dxa"/>
            <w:tcBorders>
              <w:tl2br w:val="nil"/>
              <w:tr2bl w:val="nil"/>
            </w:tcBorders>
            <w:noWrap w:val="0"/>
            <w:vAlign w:val="center"/>
          </w:tcPr>
          <w:p w14:paraId="5245EB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0CB2B9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7DF6E6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C3F098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82</w:t>
            </w:r>
          </w:p>
        </w:tc>
        <w:tc>
          <w:tcPr>
            <w:tcW w:w="1470" w:type="dxa"/>
            <w:tcBorders>
              <w:tl2br w:val="nil"/>
              <w:tr2bl w:val="nil"/>
            </w:tcBorders>
            <w:noWrap w:val="0"/>
            <w:vAlign w:val="center"/>
          </w:tcPr>
          <w:p w14:paraId="26AD12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烧杯</w:t>
            </w:r>
          </w:p>
        </w:tc>
        <w:tc>
          <w:tcPr>
            <w:tcW w:w="1425" w:type="dxa"/>
            <w:tcBorders>
              <w:tl2br w:val="nil"/>
              <w:tr2bl w:val="nil"/>
            </w:tcBorders>
            <w:noWrap w:val="0"/>
            <w:vAlign w:val="center"/>
          </w:tcPr>
          <w:p w14:paraId="790C86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3D8DCA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3.3硼硅酸盐玻璃，口部应做熔口处理，标称容量25ml，Φ34mm×50mm，壁厚0.7mm</w:t>
            </w:r>
          </w:p>
        </w:tc>
        <w:tc>
          <w:tcPr>
            <w:tcW w:w="771" w:type="dxa"/>
            <w:tcBorders>
              <w:tl2br w:val="nil"/>
              <w:tr2bl w:val="nil"/>
            </w:tcBorders>
            <w:noWrap w:val="0"/>
            <w:vAlign w:val="center"/>
          </w:tcPr>
          <w:p w14:paraId="3C90B9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150</w:t>
            </w:r>
          </w:p>
        </w:tc>
        <w:tc>
          <w:tcPr>
            <w:tcW w:w="772" w:type="dxa"/>
            <w:tcBorders>
              <w:tl2br w:val="nil"/>
              <w:tr2bl w:val="nil"/>
            </w:tcBorders>
            <w:noWrap w:val="0"/>
            <w:vAlign w:val="center"/>
          </w:tcPr>
          <w:p w14:paraId="72EFC24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C1D42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1273C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83</w:t>
            </w:r>
          </w:p>
        </w:tc>
        <w:tc>
          <w:tcPr>
            <w:tcW w:w="1470" w:type="dxa"/>
            <w:tcBorders>
              <w:tl2br w:val="nil"/>
              <w:tr2bl w:val="nil"/>
            </w:tcBorders>
            <w:noWrap w:val="0"/>
            <w:vAlign w:val="center"/>
          </w:tcPr>
          <w:p w14:paraId="2B8E302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烧杯</w:t>
            </w:r>
          </w:p>
        </w:tc>
        <w:tc>
          <w:tcPr>
            <w:tcW w:w="1425" w:type="dxa"/>
            <w:tcBorders>
              <w:tl2br w:val="nil"/>
              <w:tr2bl w:val="nil"/>
            </w:tcBorders>
            <w:noWrap w:val="0"/>
            <w:vAlign w:val="center"/>
          </w:tcPr>
          <w:p w14:paraId="638E04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2FAA68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3.3硼硅酸盐玻璃，高硼硅玻璃制，口部应做熔口处理，标称容量50ml，Φ42mm×60mm，壁厚0.8mm</w:t>
            </w:r>
          </w:p>
        </w:tc>
        <w:tc>
          <w:tcPr>
            <w:tcW w:w="771" w:type="dxa"/>
            <w:tcBorders>
              <w:tl2br w:val="nil"/>
              <w:tr2bl w:val="nil"/>
            </w:tcBorders>
            <w:noWrap w:val="0"/>
            <w:vAlign w:val="center"/>
          </w:tcPr>
          <w:p w14:paraId="2842B14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210</w:t>
            </w:r>
          </w:p>
        </w:tc>
        <w:tc>
          <w:tcPr>
            <w:tcW w:w="772" w:type="dxa"/>
            <w:tcBorders>
              <w:tl2br w:val="nil"/>
              <w:tr2bl w:val="nil"/>
            </w:tcBorders>
            <w:noWrap w:val="0"/>
            <w:vAlign w:val="center"/>
          </w:tcPr>
          <w:p w14:paraId="0B1E47C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EFE16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6CF1A0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84</w:t>
            </w:r>
          </w:p>
        </w:tc>
        <w:tc>
          <w:tcPr>
            <w:tcW w:w="1470" w:type="dxa"/>
            <w:tcBorders>
              <w:tl2br w:val="nil"/>
              <w:tr2bl w:val="nil"/>
            </w:tcBorders>
            <w:noWrap w:val="0"/>
            <w:vAlign w:val="center"/>
          </w:tcPr>
          <w:p w14:paraId="4022E6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烧杯</w:t>
            </w:r>
          </w:p>
        </w:tc>
        <w:tc>
          <w:tcPr>
            <w:tcW w:w="1425" w:type="dxa"/>
            <w:tcBorders>
              <w:tl2br w:val="nil"/>
              <w:tr2bl w:val="nil"/>
            </w:tcBorders>
            <w:noWrap w:val="0"/>
            <w:vAlign w:val="center"/>
          </w:tcPr>
          <w:p w14:paraId="19EA60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F24E55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3.3硼硅酸盐玻璃，口部应做熔口处理，标称容量100ml，Φ50mm×70mm，壁厚0.9mm</w:t>
            </w:r>
          </w:p>
        </w:tc>
        <w:tc>
          <w:tcPr>
            <w:tcW w:w="771" w:type="dxa"/>
            <w:tcBorders>
              <w:tl2br w:val="nil"/>
              <w:tr2bl w:val="nil"/>
            </w:tcBorders>
            <w:noWrap w:val="0"/>
            <w:vAlign w:val="center"/>
          </w:tcPr>
          <w:p w14:paraId="3B7343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210</w:t>
            </w:r>
          </w:p>
        </w:tc>
        <w:tc>
          <w:tcPr>
            <w:tcW w:w="772" w:type="dxa"/>
            <w:tcBorders>
              <w:tl2br w:val="nil"/>
              <w:tr2bl w:val="nil"/>
            </w:tcBorders>
            <w:noWrap w:val="0"/>
            <w:vAlign w:val="center"/>
          </w:tcPr>
          <w:p w14:paraId="1EF79A7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08ED5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911F3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85</w:t>
            </w:r>
          </w:p>
        </w:tc>
        <w:tc>
          <w:tcPr>
            <w:tcW w:w="1470" w:type="dxa"/>
            <w:tcBorders>
              <w:tl2br w:val="nil"/>
              <w:tr2bl w:val="nil"/>
            </w:tcBorders>
            <w:noWrap w:val="0"/>
            <w:vAlign w:val="center"/>
          </w:tcPr>
          <w:p w14:paraId="129534A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烧杯</w:t>
            </w:r>
          </w:p>
        </w:tc>
        <w:tc>
          <w:tcPr>
            <w:tcW w:w="1425" w:type="dxa"/>
            <w:tcBorders>
              <w:tl2br w:val="nil"/>
              <w:tr2bl w:val="nil"/>
            </w:tcBorders>
            <w:noWrap w:val="0"/>
            <w:vAlign w:val="center"/>
          </w:tcPr>
          <w:p w14:paraId="434B0C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6658E2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3.3硼硅酸盐玻璃，口部应做熔口处理，标称容量250ml，Φ70mm×95mm，壁厚1.1mm</w:t>
            </w:r>
          </w:p>
        </w:tc>
        <w:tc>
          <w:tcPr>
            <w:tcW w:w="771" w:type="dxa"/>
            <w:tcBorders>
              <w:tl2br w:val="nil"/>
              <w:tr2bl w:val="nil"/>
            </w:tcBorders>
            <w:noWrap w:val="0"/>
            <w:vAlign w:val="center"/>
          </w:tcPr>
          <w:p w14:paraId="73FE5DA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220</w:t>
            </w:r>
          </w:p>
        </w:tc>
        <w:tc>
          <w:tcPr>
            <w:tcW w:w="772" w:type="dxa"/>
            <w:tcBorders>
              <w:tl2br w:val="nil"/>
              <w:tr2bl w:val="nil"/>
            </w:tcBorders>
            <w:noWrap w:val="0"/>
            <w:vAlign w:val="center"/>
          </w:tcPr>
          <w:p w14:paraId="52DCF1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34CEE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9AC6D2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86</w:t>
            </w:r>
          </w:p>
        </w:tc>
        <w:tc>
          <w:tcPr>
            <w:tcW w:w="1470" w:type="dxa"/>
            <w:tcBorders>
              <w:tl2br w:val="nil"/>
              <w:tr2bl w:val="nil"/>
            </w:tcBorders>
            <w:noWrap w:val="0"/>
            <w:vAlign w:val="center"/>
          </w:tcPr>
          <w:p w14:paraId="4ADC821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烧杯</w:t>
            </w:r>
          </w:p>
        </w:tc>
        <w:tc>
          <w:tcPr>
            <w:tcW w:w="1425" w:type="dxa"/>
            <w:tcBorders>
              <w:tl2br w:val="nil"/>
              <w:tr2bl w:val="nil"/>
            </w:tcBorders>
            <w:noWrap w:val="0"/>
            <w:vAlign w:val="center"/>
          </w:tcPr>
          <w:p w14:paraId="69FD09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3842E6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3.3硼硅玻璃，口部应做熔口处理，标称容量500ml，Φ85mm×120mm，壁厚1.2mm</w:t>
            </w:r>
          </w:p>
        </w:tc>
        <w:tc>
          <w:tcPr>
            <w:tcW w:w="771" w:type="dxa"/>
            <w:tcBorders>
              <w:tl2br w:val="nil"/>
              <w:tr2bl w:val="nil"/>
            </w:tcBorders>
            <w:noWrap w:val="0"/>
            <w:vAlign w:val="center"/>
          </w:tcPr>
          <w:p w14:paraId="34CC04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3B1DB1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69825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69A4F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87</w:t>
            </w:r>
          </w:p>
        </w:tc>
        <w:tc>
          <w:tcPr>
            <w:tcW w:w="1470" w:type="dxa"/>
            <w:tcBorders>
              <w:tl2br w:val="nil"/>
              <w:tr2bl w:val="nil"/>
            </w:tcBorders>
            <w:noWrap w:val="0"/>
            <w:vAlign w:val="center"/>
          </w:tcPr>
          <w:p w14:paraId="38123B4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烧杯</w:t>
            </w:r>
          </w:p>
        </w:tc>
        <w:tc>
          <w:tcPr>
            <w:tcW w:w="1425" w:type="dxa"/>
            <w:tcBorders>
              <w:tl2br w:val="nil"/>
              <w:tr2bl w:val="nil"/>
            </w:tcBorders>
            <w:noWrap w:val="0"/>
            <w:vAlign w:val="center"/>
          </w:tcPr>
          <w:p w14:paraId="7DF5272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E5D1B6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3.3硼硅玻璃，口部应做熔口处理，标称容量1000ml，Φ105mm×145mm，壁厚1.3mm</w:t>
            </w:r>
          </w:p>
        </w:tc>
        <w:tc>
          <w:tcPr>
            <w:tcW w:w="771" w:type="dxa"/>
            <w:tcBorders>
              <w:tl2br w:val="nil"/>
              <w:tr2bl w:val="nil"/>
            </w:tcBorders>
            <w:noWrap w:val="0"/>
            <w:vAlign w:val="center"/>
          </w:tcPr>
          <w:p w14:paraId="144AFBF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620576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42ACA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CC04E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88</w:t>
            </w:r>
          </w:p>
        </w:tc>
        <w:tc>
          <w:tcPr>
            <w:tcW w:w="1470" w:type="dxa"/>
            <w:tcBorders>
              <w:tl2br w:val="nil"/>
              <w:tr2bl w:val="nil"/>
            </w:tcBorders>
            <w:noWrap w:val="0"/>
            <w:vAlign w:val="center"/>
          </w:tcPr>
          <w:p w14:paraId="666FBE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烧瓶</w:t>
            </w:r>
          </w:p>
        </w:tc>
        <w:tc>
          <w:tcPr>
            <w:tcW w:w="1425" w:type="dxa"/>
            <w:tcBorders>
              <w:tl2br w:val="nil"/>
              <w:tr2bl w:val="nil"/>
            </w:tcBorders>
            <w:noWrap w:val="0"/>
            <w:vAlign w:val="center"/>
          </w:tcPr>
          <w:p w14:paraId="7FB774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10F0D8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3.3硼硅玻璃，细口圆底烧瓶，标称容量250ml，全高145mm，壁厚0.9mm</w:t>
            </w:r>
          </w:p>
        </w:tc>
        <w:tc>
          <w:tcPr>
            <w:tcW w:w="771" w:type="dxa"/>
            <w:tcBorders>
              <w:tl2br w:val="nil"/>
              <w:tr2bl w:val="nil"/>
            </w:tcBorders>
            <w:noWrap w:val="0"/>
            <w:vAlign w:val="center"/>
          </w:tcPr>
          <w:p w14:paraId="33C0AF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55</w:t>
            </w:r>
          </w:p>
        </w:tc>
        <w:tc>
          <w:tcPr>
            <w:tcW w:w="772" w:type="dxa"/>
            <w:tcBorders>
              <w:tl2br w:val="nil"/>
              <w:tr2bl w:val="nil"/>
            </w:tcBorders>
            <w:noWrap w:val="0"/>
            <w:vAlign w:val="center"/>
          </w:tcPr>
          <w:p w14:paraId="4721BA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A23C4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2D4B3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89</w:t>
            </w:r>
          </w:p>
        </w:tc>
        <w:tc>
          <w:tcPr>
            <w:tcW w:w="1470" w:type="dxa"/>
            <w:tcBorders>
              <w:tl2br w:val="nil"/>
              <w:tr2bl w:val="nil"/>
            </w:tcBorders>
            <w:noWrap w:val="0"/>
            <w:vAlign w:val="center"/>
          </w:tcPr>
          <w:p w14:paraId="199222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烧瓶</w:t>
            </w:r>
          </w:p>
        </w:tc>
        <w:tc>
          <w:tcPr>
            <w:tcW w:w="1425" w:type="dxa"/>
            <w:tcBorders>
              <w:tl2br w:val="nil"/>
              <w:tr2bl w:val="nil"/>
            </w:tcBorders>
            <w:noWrap w:val="0"/>
            <w:vAlign w:val="center"/>
          </w:tcPr>
          <w:p w14:paraId="457062D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872B68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3.3硼硅玻璃，细口圆底烧瓶，标称容量500ml，全高175mm，壁厚0.9mm</w:t>
            </w:r>
          </w:p>
        </w:tc>
        <w:tc>
          <w:tcPr>
            <w:tcW w:w="771" w:type="dxa"/>
            <w:tcBorders>
              <w:tl2br w:val="nil"/>
              <w:tr2bl w:val="nil"/>
            </w:tcBorders>
            <w:noWrap w:val="0"/>
            <w:vAlign w:val="center"/>
          </w:tcPr>
          <w:p w14:paraId="060560E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688C67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380F5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606387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90</w:t>
            </w:r>
          </w:p>
        </w:tc>
        <w:tc>
          <w:tcPr>
            <w:tcW w:w="1470" w:type="dxa"/>
            <w:tcBorders>
              <w:tl2br w:val="nil"/>
              <w:tr2bl w:val="nil"/>
            </w:tcBorders>
            <w:noWrap w:val="0"/>
            <w:vAlign w:val="center"/>
          </w:tcPr>
          <w:p w14:paraId="3643F3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烧瓶</w:t>
            </w:r>
          </w:p>
        </w:tc>
        <w:tc>
          <w:tcPr>
            <w:tcW w:w="1425" w:type="dxa"/>
            <w:tcBorders>
              <w:tl2br w:val="nil"/>
              <w:tr2bl w:val="nil"/>
            </w:tcBorders>
            <w:noWrap w:val="0"/>
            <w:vAlign w:val="center"/>
          </w:tcPr>
          <w:p w14:paraId="386731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EABF53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3.3硼硅玻璃，细口平底烧瓶，标称容量250ml，全高140mm，壁厚0.9mm</w:t>
            </w:r>
          </w:p>
        </w:tc>
        <w:tc>
          <w:tcPr>
            <w:tcW w:w="771" w:type="dxa"/>
            <w:tcBorders>
              <w:tl2br w:val="nil"/>
              <w:tr2bl w:val="nil"/>
            </w:tcBorders>
            <w:noWrap w:val="0"/>
            <w:vAlign w:val="center"/>
          </w:tcPr>
          <w:p w14:paraId="317718D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10159B3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9242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8E7AA6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91</w:t>
            </w:r>
          </w:p>
        </w:tc>
        <w:tc>
          <w:tcPr>
            <w:tcW w:w="1470" w:type="dxa"/>
            <w:tcBorders>
              <w:tl2br w:val="nil"/>
              <w:tr2bl w:val="nil"/>
            </w:tcBorders>
            <w:noWrap w:val="0"/>
            <w:vAlign w:val="center"/>
          </w:tcPr>
          <w:p w14:paraId="440130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锥形瓶</w:t>
            </w:r>
          </w:p>
        </w:tc>
        <w:tc>
          <w:tcPr>
            <w:tcW w:w="1425" w:type="dxa"/>
            <w:tcBorders>
              <w:tl2br w:val="nil"/>
              <w:tr2bl w:val="nil"/>
            </w:tcBorders>
            <w:noWrap w:val="0"/>
            <w:vAlign w:val="center"/>
          </w:tcPr>
          <w:p w14:paraId="37808C4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6BF062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3.3硼硅玻璃，标称容量100ml，瓶颈外径22mm，全高105mm，壁厚0.8mm</w:t>
            </w:r>
          </w:p>
        </w:tc>
        <w:tc>
          <w:tcPr>
            <w:tcW w:w="771" w:type="dxa"/>
            <w:tcBorders>
              <w:tl2br w:val="nil"/>
              <w:tr2bl w:val="nil"/>
            </w:tcBorders>
            <w:noWrap w:val="0"/>
            <w:vAlign w:val="center"/>
          </w:tcPr>
          <w:p w14:paraId="0C0636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40</w:t>
            </w:r>
          </w:p>
        </w:tc>
        <w:tc>
          <w:tcPr>
            <w:tcW w:w="772" w:type="dxa"/>
            <w:tcBorders>
              <w:tl2br w:val="nil"/>
              <w:tr2bl w:val="nil"/>
            </w:tcBorders>
            <w:noWrap w:val="0"/>
            <w:vAlign w:val="center"/>
          </w:tcPr>
          <w:p w14:paraId="74FFCC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14DE6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5E0B68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92</w:t>
            </w:r>
          </w:p>
        </w:tc>
        <w:tc>
          <w:tcPr>
            <w:tcW w:w="1470" w:type="dxa"/>
            <w:tcBorders>
              <w:tl2br w:val="nil"/>
              <w:tr2bl w:val="nil"/>
            </w:tcBorders>
            <w:noWrap w:val="0"/>
            <w:vAlign w:val="center"/>
          </w:tcPr>
          <w:p w14:paraId="263C91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锥形瓶</w:t>
            </w:r>
          </w:p>
        </w:tc>
        <w:tc>
          <w:tcPr>
            <w:tcW w:w="1425" w:type="dxa"/>
            <w:tcBorders>
              <w:tl2br w:val="nil"/>
              <w:tr2bl w:val="nil"/>
            </w:tcBorders>
            <w:noWrap w:val="0"/>
            <w:vAlign w:val="center"/>
          </w:tcPr>
          <w:p w14:paraId="5AFE63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547498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3.3硼硅玻璃，标称容量250ml，瓶颈外径34mm，全高145mm，壁厚0.9mm</w:t>
            </w:r>
          </w:p>
        </w:tc>
        <w:tc>
          <w:tcPr>
            <w:tcW w:w="771" w:type="dxa"/>
            <w:tcBorders>
              <w:tl2br w:val="nil"/>
              <w:tr2bl w:val="nil"/>
            </w:tcBorders>
            <w:noWrap w:val="0"/>
            <w:vAlign w:val="center"/>
          </w:tcPr>
          <w:p w14:paraId="122B06F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70</w:t>
            </w:r>
          </w:p>
        </w:tc>
        <w:tc>
          <w:tcPr>
            <w:tcW w:w="772" w:type="dxa"/>
            <w:tcBorders>
              <w:tl2br w:val="nil"/>
              <w:tr2bl w:val="nil"/>
            </w:tcBorders>
            <w:noWrap w:val="0"/>
            <w:vAlign w:val="center"/>
          </w:tcPr>
          <w:p w14:paraId="2E47B0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3859A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27C93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93</w:t>
            </w:r>
          </w:p>
        </w:tc>
        <w:tc>
          <w:tcPr>
            <w:tcW w:w="1470" w:type="dxa"/>
            <w:tcBorders>
              <w:tl2br w:val="nil"/>
              <w:tr2bl w:val="nil"/>
            </w:tcBorders>
            <w:noWrap w:val="0"/>
            <w:vAlign w:val="center"/>
          </w:tcPr>
          <w:p w14:paraId="2BB7EE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蒸馏烧瓶</w:t>
            </w:r>
          </w:p>
        </w:tc>
        <w:tc>
          <w:tcPr>
            <w:tcW w:w="1425" w:type="dxa"/>
            <w:tcBorders>
              <w:tl2br w:val="nil"/>
              <w:tr2bl w:val="nil"/>
            </w:tcBorders>
            <w:noWrap w:val="0"/>
            <w:vAlign w:val="center"/>
          </w:tcPr>
          <w:p w14:paraId="68ADEA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61C078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3.3硼硅玻璃，蒸馏烧瓶，标称容量250ml，瓶球外径85mm，瓶颈外径34mm</w:t>
            </w:r>
          </w:p>
        </w:tc>
        <w:tc>
          <w:tcPr>
            <w:tcW w:w="771" w:type="dxa"/>
            <w:tcBorders>
              <w:tl2br w:val="nil"/>
              <w:tr2bl w:val="nil"/>
            </w:tcBorders>
            <w:noWrap w:val="0"/>
            <w:vAlign w:val="center"/>
          </w:tcPr>
          <w:p w14:paraId="518AEB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14B4B3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623D3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4AACF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94</w:t>
            </w:r>
          </w:p>
        </w:tc>
        <w:tc>
          <w:tcPr>
            <w:tcW w:w="1470" w:type="dxa"/>
            <w:tcBorders>
              <w:tl2br w:val="nil"/>
              <w:tr2bl w:val="nil"/>
            </w:tcBorders>
            <w:noWrap w:val="0"/>
            <w:vAlign w:val="center"/>
          </w:tcPr>
          <w:p w14:paraId="1ED73C7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酒精灯</w:t>
            </w:r>
          </w:p>
        </w:tc>
        <w:tc>
          <w:tcPr>
            <w:tcW w:w="1425" w:type="dxa"/>
            <w:tcBorders>
              <w:tl2br w:val="nil"/>
              <w:tr2bl w:val="nil"/>
            </w:tcBorders>
            <w:noWrap w:val="0"/>
            <w:vAlign w:val="center"/>
          </w:tcPr>
          <w:p w14:paraId="1DB4D4D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98538D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透明钠钙玻璃制，单口酒精灯150mL，全高95mm，壁厚1.5mm，灯体直径84mm，瓷灯头与灯口平面间隙不应超过1.5mm。配塑料灯罩，棉线灯芯</w:t>
            </w:r>
          </w:p>
        </w:tc>
        <w:tc>
          <w:tcPr>
            <w:tcW w:w="771" w:type="dxa"/>
            <w:tcBorders>
              <w:tl2br w:val="nil"/>
              <w:tr2bl w:val="nil"/>
            </w:tcBorders>
            <w:noWrap w:val="0"/>
            <w:vAlign w:val="center"/>
          </w:tcPr>
          <w:p w14:paraId="7523391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110</w:t>
            </w:r>
          </w:p>
        </w:tc>
        <w:tc>
          <w:tcPr>
            <w:tcW w:w="772" w:type="dxa"/>
            <w:tcBorders>
              <w:tl2br w:val="nil"/>
              <w:tr2bl w:val="nil"/>
            </w:tcBorders>
            <w:noWrap w:val="0"/>
            <w:vAlign w:val="center"/>
          </w:tcPr>
          <w:p w14:paraId="28C107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4C93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89077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95</w:t>
            </w:r>
          </w:p>
        </w:tc>
        <w:tc>
          <w:tcPr>
            <w:tcW w:w="1470" w:type="dxa"/>
            <w:tcBorders>
              <w:tl2br w:val="nil"/>
              <w:tr2bl w:val="nil"/>
            </w:tcBorders>
            <w:noWrap w:val="0"/>
            <w:vAlign w:val="center"/>
          </w:tcPr>
          <w:p w14:paraId="1FA481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干燥器</w:t>
            </w:r>
          </w:p>
        </w:tc>
        <w:tc>
          <w:tcPr>
            <w:tcW w:w="1425" w:type="dxa"/>
            <w:tcBorders>
              <w:tl2br w:val="nil"/>
              <w:tr2bl w:val="nil"/>
            </w:tcBorders>
            <w:noWrap w:val="0"/>
            <w:vAlign w:val="center"/>
          </w:tcPr>
          <w:p w14:paraId="7FCB3B2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B5DE15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常压干燥器，内径150mm，壁厚5mm，配瓷板</w:t>
            </w:r>
          </w:p>
        </w:tc>
        <w:tc>
          <w:tcPr>
            <w:tcW w:w="771" w:type="dxa"/>
            <w:tcBorders>
              <w:tl2br w:val="nil"/>
              <w:tr2bl w:val="nil"/>
            </w:tcBorders>
            <w:noWrap w:val="0"/>
            <w:vAlign w:val="center"/>
          </w:tcPr>
          <w:p w14:paraId="74576B4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511F014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CA56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1E899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96</w:t>
            </w:r>
          </w:p>
        </w:tc>
        <w:tc>
          <w:tcPr>
            <w:tcW w:w="1470" w:type="dxa"/>
            <w:tcBorders>
              <w:tl2br w:val="nil"/>
              <w:tr2bl w:val="nil"/>
            </w:tcBorders>
            <w:noWrap w:val="0"/>
            <w:vAlign w:val="center"/>
          </w:tcPr>
          <w:p w14:paraId="043F74C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气体发生器</w:t>
            </w:r>
          </w:p>
        </w:tc>
        <w:tc>
          <w:tcPr>
            <w:tcW w:w="1425" w:type="dxa"/>
            <w:tcBorders>
              <w:tl2br w:val="nil"/>
              <w:tr2bl w:val="nil"/>
            </w:tcBorders>
            <w:noWrap w:val="0"/>
            <w:vAlign w:val="center"/>
          </w:tcPr>
          <w:p w14:paraId="5C4B68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DE89EC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透明钠钙玻璃制，容量250mL，全高306mm，上球壁厚＞1.5mm，球体、半球体壁厚＞2mm，底座厚＞2mm，口部磨砂</w:t>
            </w:r>
          </w:p>
        </w:tc>
        <w:tc>
          <w:tcPr>
            <w:tcW w:w="771" w:type="dxa"/>
            <w:tcBorders>
              <w:tl2br w:val="nil"/>
              <w:tr2bl w:val="nil"/>
            </w:tcBorders>
            <w:noWrap w:val="0"/>
            <w:vAlign w:val="center"/>
          </w:tcPr>
          <w:p w14:paraId="363D221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7DD21D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66DE0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FE82A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97</w:t>
            </w:r>
          </w:p>
        </w:tc>
        <w:tc>
          <w:tcPr>
            <w:tcW w:w="1470" w:type="dxa"/>
            <w:tcBorders>
              <w:tl2br w:val="nil"/>
              <w:tr2bl w:val="nil"/>
            </w:tcBorders>
            <w:noWrap w:val="0"/>
            <w:vAlign w:val="center"/>
          </w:tcPr>
          <w:p w14:paraId="0C1C362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冷凝器</w:t>
            </w:r>
          </w:p>
        </w:tc>
        <w:tc>
          <w:tcPr>
            <w:tcW w:w="1425" w:type="dxa"/>
            <w:tcBorders>
              <w:tl2br w:val="nil"/>
              <w:tr2bl w:val="nil"/>
            </w:tcBorders>
            <w:noWrap w:val="0"/>
            <w:vAlign w:val="center"/>
          </w:tcPr>
          <w:p w14:paraId="4ABDA4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B0E7DD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直形固定型冷凝管，硼硅酸玻璃制，全长300mm，非磨砂接头上管口熔光。下端滴口30°角</w:t>
            </w:r>
          </w:p>
        </w:tc>
        <w:tc>
          <w:tcPr>
            <w:tcW w:w="771" w:type="dxa"/>
            <w:tcBorders>
              <w:tl2br w:val="nil"/>
              <w:tr2bl w:val="nil"/>
            </w:tcBorders>
            <w:noWrap w:val="0"/>
            <w:vAlign w:val="center"/>
          </w:tcPr>
          <w:p w14:paraId="644BFBB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72" w:type="dxa"/>
            <w:tcBorders>
              <w:tl2br w:val="nil"/>
              <w:tr2bl w:val="nil"/>
            </w:tcBorders>
            <w:noWrap w:val="0"/>
            <w:vAlign w:val="center"/>
          </w:tcPr>
          <w:p w14:paraId="13D5B12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79CB0B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EC0CFD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98</w:t>
            </w:r>
          </w:p>
        </w:tc>
        <w:tc>
          <w:tcPr>
            <w:tcW w:w="1470" w:type="dxa"/>
            <w:tcBorders>
              <w:tl2br w:val="nil"/>
              <w:tr2bl w:val="nil"/>
            </w:tcBorders>
            <w:noWrap w:val="0"/>
            <w:vAlign w:val="center"/>
          </w:tcPr>
          <w:p w14:paraId="1348886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牛角管</w:t>
            </w:r>
          </w:p>
        </w:tc>
        <w:tc>
          <w:tcPr>
            <w:tcW w:w="1425" w:type="dxa"/>
            <w:tcBorders>
              <w:tl2br w:val="nil"/>
              <w:tr2bl w:val="nil"/>
            </w:tcBorders>
            <w:noWrap w:val="0"/>
            <w:vAlign w:val="center"/>
          </w:tcPr>
          <w:p w14:paraId="02768AF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B03C71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无色透明硼硅玻璃应接管，φ18mm×150mm，直形管长80mm，锥形管长70mm，壁厚1.5mm</w:t>
            </w:r>
          </w:p>
        </w:tc>
        <w:tc>
          <w:tcPr>
            <w:tcW w:w="771" w:type="dxa"/>
            <w:tcBorders>
              <w:tl2br w:val="nil"/>
              <w:tr2bl w:val="nil"/>
            </w:tcBorders>
            <w:noWrap w:val="0"/>
            <w:vAlign w:val="center"/>
          </w:tcPr>
          <w:p w14:paraId="5DED54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72" w:type="dxa"/>
            <w:tcBorders>
              <w:tl2br w:val="nil"/>
              <w:tr2bl w:val="nil"/>
            </w:tcBorders>
            <w:noWrap w:val="0"/>
            <w:vAlign w:val="center"/>
          </w:tcPr>
          <w:p w14:paraId="0EC5669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518E11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6091B9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color w:val="auto"/>
                <w:kern w:val="0"/>
                <w:sz w:val="22"/>
                <w:szCs w:val="22"/>
                <w:vertAlign w:val="baseline"/>
                <w:lang w:val="en-US" w:eastAsia="zh-CN" w:bidi="ar"/>
              </w:rPr>
              <w:t>99</w:t>
            </w:r>
          </w:p>
        </w:tc>
        <w:tc>
          <w:tcPr>
            <w:tcW w:w="1470" w:type="dxa"/>
            <w:tcBorders>
              <w:tl2br w:val="nil"/>
              <w:tr2bl w:val="nil"/>
            </w:tcBorders>
            <w:noWrap w:val="0"/>
            <w:vAlign w:val="center"/>
          </w:tcPr>
          <w:p w14:paraId="0FBCCA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漏斗</w:t>
            </w:r>
          </w:p>
        </w:tc>
        <w:tc>
          <w:tcPr>
            <w:tcW w:w="1425" w:type="dxa"/>
            <w:tcBorders>
              <w:tl2br w:val="nil"/>
              <w:tr2bl w:val="nil"/>
            </w:tcBorders>
            <w:noWrap w:val="0"/>
            <w:vAlign w:val="center"/>
          </w:tcPr>
          <w:p w14:paraId="36E3FF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A9DFC4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硼硅玻璃，漏斗口径60mm，斗茎长60mm，下口45º角，斜口边口倒角或熔光</w:t>
            </w:r>
          </w:p>
        </w:tc>
        <w:tc>
          <w:tcPr>
            <w:tcW w:w="771" w:type="dxa"/>
            <w:tcBorders>
              <w:tl2br w:val="nil"/>
              <w:tr2bl w:val="nil"/>
            </w:tcBorders>
            <w:noWrap w:val="0"/>
            <w:vAlign w:val="center"/>
          </w:tcPr>
          <w:p w14:paraId="02698B4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80</w:t>
            </w:r>
          </w:p>
        </w:tc>
        <w:tc>
          <w:tcPr>
            <w:tcW w:w="772" w:type="dxa"/>
            <w:tcBorders>
              <w:tl2br w:val="nil"/>
              <w:tr2bl w:val="nil"/>
            </w:tcBorders>
            <w:noWrap w:val="0"/>
            <w:vAlign w:val="center"/>
          </w:tcPr>
          <w:p w14:paraId="1465233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604D2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FD502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470" w:type="dxa"/>
            <w:tcBorders>
              <w:tl2br w:val="nil"/>
              <w:tr2bl w:val="nil"/>
            </w:tcBorders>
            <w:noWrap w:val="0"/>
            <w:vAlign w:val="center"/>
          </w:tcPr>
          <w:p w14:paraId="6AA638B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漏斗</w:t>
            </w:r>
          </w:p>
        </w:tc>
        <w:tc>
          <w:tcPr>
            <w:tcW w:w="1425" w:type="dxa"/>
            <w:tcBorders>
              <w:tl2br w:val="nil"/>
              <w:tr2bl w:val="nil"/>
            </w:tcBorders>
            <w:noWrap w:val="0"/>
            <w:vAlign w:val="center"/>
          </w:tcPr>
          <w:p w14:paraId="561AC9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606F7A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硼硅玻璃，漏斗口径90mm，斗茎长90mm，下口45º角，斜口边口倒角或熔光</w:t>
            </w:r>
          </w:p>
        </w:tc>
        <w:tc>
          <w:tcPr>
            <w:tcW w:w="771" w:type="dxa"/>
            <w:tcBorders>
              <w:tl2br w:val="nil"/>
              <w:tr2bl w:val="nil"/>
            </w:tcBorders>
            <w:noWrap w:val="0"/>
            <w:vAlign w:val="center"/>
          </w:tcPr>
          <w:p w14:paraId="32552F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28</w:t>
            </w:r>
          </w:p>
        </w:tc>
        <w:tc>
          <w:tcPr>
            <w:tcW w:w="772" w:type="dxa"/>
            <w:tcBorders>
              <w:tl2br w:val="nil"/>
              <w:tr2bl w:val="nil"/>
            </w:tcBorders>
            <w:noWrap w:val="0"/>
            <w:vAlign w:val="center"/>
          </w:tcPr>
          <w:p w14:paraId="256226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7D2D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8C154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w:t>
            </w:r>
          </w:p>
        </w:tc>
        <w:tc>
          <w:tcPr>
            <w:tcW w:w="1470" w:type="dxa"/>
            <w:tcBorders>
              <w:tl2br w:val="nil"/>
              <w:tr2bl w:val="nil"/>
            </w:tcBorders>
            <w:noWrap w:val="0"/>
            <w:vAlign w:val="center"/>
          </w:tcPr>
          <w:p w14:paraId="52195A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安全漏斗</w:t>
            </w:r>
          </w:p>
        </w:tc>
        <w:tc>
          <w:tcPr>
            <w:tcW w:w="1425" w:type="dxa"/>
            <w:tcBorders>
              <w:tl2br w:val="nil"/>
              <w:tr2bl w:val="nil"/>
            </w:tcBorders>
            <w:noWrap w:val="0"/>
            <w:vAlign w:val="center"/>
          </w:tcPr>
          <w:p w14:paraId="190915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D2468C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硼硅玻璃，直型，全高352mm，上口径40mm，下口径7mm～8mm</w:t>
            </w:r>
          </w:p>
        </w:tc>
        <w:tc>
          <w:tcPr>
            <w:tcW w:w="771" w:type="dxa"/>
            <w:tcBorders>
              <w:tl2br w:val="nil"/>
              <w:tr2bl w:val="nil"/>
            </w:tcBorders>
            <w:noWrap w:val="0"/>
            <w:vAlign w:val="center"/>
          </w:tcPr>
          <w:p w14:paraId="0C9D0BC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0DEF27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75FF1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8C1D9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1470" w:type="dxa"/>
            <w:tcBorders>
              <w:tl2br w:val="nil"/>
              <w:tr2bl w:val="nil"/>
            </w:tcBorders>
            <w:noWrap w:val="0"/>
            <w:vAlign w:val="center"/>
          </w:tcPr>
          <w:p w14:paraId="7365C6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安全漏斗</w:t>
            </w:r>
          </w:p>
        </w:tc>
        <w:tc>
          <w:tcPr>
            <w:tcW w:w="1425" w:type="dxa"/>
            <w:tcBorders>
              <w:tl2br w:val="nil"/>
              <w:tr2bl w:val="nil"/>
            </w:tcBorders>
            <w:noWrap w:val="0"/>
            <w:vAlign w:val="center"/>
          </w:tcPr>
          <w:p w14:paraId="408116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9AA59A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硼硅玻璃，双球，全高352mm，上口径40mm，下口径7mm～8mm，球径20mm</w:t>
            </w:r>
          </w:p>
        </w:tc>
        <w:tc>
          <w:tcPr>
            <w:tcW w:w="771" w:type="dxa"/>
            <w:tcBorders>
              <w:tl2br w:val="nil"/>
              <w:tr2bl w:val="nil"/>
            </w:tcBorders>
            <w:noWrap w:val="0"/>
            <w:vAlign w:val="center"/>
          </w:tcPr>
          <w:p w14:paraId="2E6E9F6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w:t>
            </w:r>
          </w:p>
        </w:tc>
        <w:tc>
          <w:tcPr>
            <w:tcW w:w="772" w:type="dxa"/>
            <w:tcBorders>
              <w:tl2br w:val="nil"/>
              <w:tr2bl w:val="nil"/>
            </w:tcBorders>
            <w:noWrap w:val="0"/>
            <w:vAlign w:val="center"/>
          </w:tcPr>
          <w:p w14:paraId="332DC5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C36D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6EFE0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103</w:t>
            </w:r>
          </w:p>
        </w:tc>
        <w:tc>
          <w:tcPr>
            <w:tcW w:w="1470" w:type="dxa"/>
            <w:tcBorders>
              <w:tl2br w:val="nil"/>
              <w:tr2bl w:val="nil"/>
            </w:tcBorders>
            <w:noWrap w:val="0"/>
            <w:vAlign w:val="center"/>
          </w:tcPr>
          <w:p w14:paraId="3602586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分液漏斗</w:t>
            </w:r>
          </w:p>
        </w:tc>
        <w:tc>
          <w:tcPr>
            <w:tcW w:w="1425" w:type="dxa"/>
            <w:tcBorders>
              <w:tl2br w:val="nil"/>
              <w:tr2bl w:val="nil"/>
            </w:tcBorders>
            <w:noWrap w:val="0"/>
            <w:vAlign w:val="center"/>
          </w:tcPr>
          <w:p w14:paraId="25D647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612B4A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硼硅玻璃，锥型分液漏斗，标称容量100mL，壁厚≥1mm</w:t>
            </w:r>
          </w:p>
        </w:tc>
        <w:tc>
          <w:tcPr>
            <w:tcW w:w="771" w:type="dxa"/>
            <w:tcBorders>
              <w:tl2br w:val="nil"/>
              <w:tr2bl w:val="nil"/>
            </w:tcBorders>
            <w:noWrap w:val="0"/>
            <w:vAlign w:val="center"/>
          </w:tcPr>
          <w:p w14:paraId="1F9E10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12938F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EE00B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FC18C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104</w:t>
            </w:r>
          </w:p>
        </w:tc>
        <w:tc>
          <w:tcPr>
            <w:tcW w:w="1470" w:type="dxa"/>
            <w:tcBorders>
              <w:tl2br w:val="nil"/>
              <w:tr2bl w:val="nil"/>
            </w:tcBorders>
            <w:noWrap w:val="0"/>
            <w:vAlign w:val="center"/>
          </w:tcPr>
          <w:p w14:paraId="38B07E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分液漏斗</w:t>
            </w:r>
          </w:p>
        </w:tc>
        <w:tc>
          <w:tcPr>
            <w:tcW w:w="1425" w:type="dxa"/>
            <w:tcBorders>
              <w:tl2br w:val="nil"/>
              <w:tr2bl w:val="nil"/>
            </w:tcBorders>
            <w:noWrap w:val="0"/>
            <w:vAlign w:val="center"/>
          </w:tcPr>
          <w:p w14:paraId="0EB93C4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4B9C67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硼硅玻璃，梨型分液漏斗，标称容量50mL,壁厚≥0.8mm</w:t>
            </w:r>
          </w:p>
        </w:tc>
        <w:tc>
          <w:tcPr>
            <w:tcW w:w="771" w:type="dxa"/>
            <w:tcBorders>
              <w:tl2br w:val="nil"/>
              <w:tr2bl w:val="nil"/>
            </w:tcBorders>
            <w:noWrap w:val="0"/>
            <w:vAlign w:val="center"/>
          </w:tcPr>
          <w:p w14:paraId="5335B5F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w:t>
            </w:r>
          </w:p>
        </w:tc>
        <w:tc>
          <w:tcPr>
            <w:tcW w:w="772" w:type="dxa"/>
            <w:tcBorders>
              <w:tl2br w:val="nil"/>
              <w:tr2bl w:val="nil"/>
            </w:tcBorders>
            <w:noWrap w:val="0"/>
            <w:vAlign w:val="center"/>
          </w:tcPr>
          <w:p w14:paraId="400DAF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48C59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C852F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w:t>
            </w:r>
          </w:p>
        </w:tc>
        <w:tc>
          <w:tcPr>
            <w:tcW w:w="1470" w:type="dxa"/>
            <w:tcBorders>
              <w:tl2br w:val="nil"/>
              <w:tr2bl w:val="nil"/>
            </w:tcBorders>
            <w:noWrap w:val="0"/>
            <w:vAlign w:val="center"/>
          </w:tcPr>
          <w:p w14:paraId="018E244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平底管</w:t>
            </w:r>
          </w:p>
        </w:tc>
        <w:tc>
          <w:tcPr>
            <w:tcW w:w="1425" w:type="dxa"/>
            <w:tcBorders>
              <w:tl2br w:val="nil"/>
              <w:tr2bl w:val="nil"/>
            </w:tcBorders>
            <w:noWrap w:val="0"/>
            <w:vAlign w:val="center"/>
          </w:tcPr>
          <w:p w14:paraId="6973898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180B9B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无色透明硼硅玻璃制，Φ15mm×150mm，壁厚1mm，试管两端口部卷口</w:t>
            </w:r>
          </w:p>
        </w:tc>
        <w:tc>
          <w:tcPr>
            <w:tcW w:w="771" w:type="dxa"/>
            <w:tcBorders>
              <w:tl2br w:val="nil"/>
              <w:tr2bl w:val="nil"/>
            </w:tcBorders>
            <w:noWrap w:val="0"/>
            <w:vAlign w:val="center"/>
          </w:tcPr>
          <w:p w14:paraId="64DED09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69BB61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7ED85D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A11A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106</w:t>
            </w:r>
          </w:p>
        </w:tc>
        <w:tc>
          <w:tcPr>
            <w:tcW w:w="1470" w:type="dxa"/>
            <w:tcBorders>
              <w:tl2br w:val="nil"/>
              <w:tr2bl w:val="nil"/>
            </w:tcBorders>
            <w:noWrap w:val="0"/>
            <w:vAlign w:val="center"/>
          </w:tcPr>
          <w:p w14:paraId="2E75704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T形管</w:t>
            </w:r>
          </w:p>
        </w:tc>
        <w:tc>
          <w:tcPr>
            <w:tcW w:w="1425" w:type="dxa"/>
            <w:tcBorders>
              <w:tl2br w:val="nil"/>
              <w:tr2bl w:val="nil"/>
            </w:tcBorders>
            <w:noWrap w:val="0"/>
            <w:vAlign w:val="center"/>
          </w:tcPr>
          <w:p w14:paraId="6232A2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8F886F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硼硅玻璃，Ф7mm～Ф8mm，支管长50mm，全长100mm，壁厚1mm～1.2mm。</w:t>
            </w:r>
          </w:p>
        </w:tc>
        <w:tc>
          <w:tcPr>
            <w:tcW w:w="771" w:type="dxa"/>
            <w:tcBorders>
              <w:tl2br w:val="nil"/>
              <w:tr2bl w:val="nil"/>
            </w:tcBorders>
            <w:noWrap w:val="0"/>
            <w:vAlign w:val="center"/>
          </w:tcPr>
          <w:p w14:paraId="6435E46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772" w:type="dxa"/>
            <w:tcBorders>
              <w:tl2br w:val="nil"/>
              <w:tr2bl w:val="nil"/>
            </w:tcBorders>
            <w:noWrap w:val="0"/>
            <w:vAlign w:val="center"/>
          </w:tcPr>
          <w:p w14:paraId="4275B5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2D86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2CA83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107</w:t>
            </w:r>
          </w:p>
        </w:tc>
        <w:tc>
          <w:tcPr>
            <w:tcW w:w="1470" w:type="dxa"/>
            <w:tcBorders>
              <w:tl2br w:val="nil"/>
              <w:tr2bl w:val="nil"/>
            </w:tcBorders>
            <w:noWrap w:val="0"/>
            <w:vAlign w:val="center"/>
          </w:tcPr>
          <w:p w14:paraId="3A02C2B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Y形管</w:t>
            </w:r>
          </w:p>
        </w:tc>
        <w:tc>
          <w:tcPr>
            <w:tcW w:w="1425" w:type="dxa"/>
            <w:tcBorders>
              <w:tl2br w:val="nil"/>
              <w:tr2bl w:val="nil"/>
            </w:tcBorders>
            <w:noWrap w:val="0"/>
            <w:vAlign w:val="center"/>
          </w:tcPr>
          <w:p w14:paraId="654018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1D7CE7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硼硅玻璃，Ф5mm～Ф6mm，支管斜高50mm，全长100mm，支管夹角60°壁厚1mm～1.2mm。</w:t>
            </w:r>
          </w:p>
        </w:tc>
        <w:tc>
          <w:tcPr>
            <w:tcW w:w="771" w:type="dxa"/>
            <w:tcBorders>
              <w:tl2br w:val="nil"/>
              <w:tr2bl w:val="nil"/>
            </w:tcBorders>
            <w:noWrap w:val="0"/>
            <w:vAlign w:val="center"/>
          </w:tcPr>
          <w:p w14:paraId="0F3B69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772" w:type="dxa"/>
            <w:tcBorders>
              <w:tl2br w:val="nil"/>
              <w:tr2bl w:val="nil"/>
            </w:tcBorders>
            <w:noWrap w:val="0"/>
            <w:vAlign w:val="center"/>
          </w:tcPr>
          <w:p w14:paraId="488A88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A385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8C9C3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108</w:t>
            </w:r>
          </w:p>
        </w:tc>
        <w:tc>
          <w:tcPr>
            <w:tcW w:w="1470" w:type="dxa"/>
            <w:tcBorders>
              <w:tl2br w:val="nil"/>
              <w:tr2bl w:val="nil"/>
            </w:tcBorders>
            <w:noWrap w:val="0"/>
            <w:vAlign w:val="center"/>
          </w:tcPr>
          <w:p w14:paraId="0DE6A5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滴管</w:t>
            </w:r>
          </w:p>
        </w:tc>
        <w:tc>
          <w:tcPr>
            <w:tcW w:w="1425" w:type="dxa"/>
            <w:tcBorders>
              <w:tl2br w:val="nil"/>
              <w:tr2bl w:val="nil"/>
            </w:tcBorders>
            <w:noWrap w:val="0"/>
            <w:vAlign w:val="center"/>
          </w:tcPr>
          <w:p w14:paraId="7C6639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90E7B5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无色透明硼硅玻璃，直型滴管φ8mm×150mm，管壁1mm±0.2mm，管尖径2mm～3mm，配乳胶头滴管</w:t>
            </w:r>
          </w:p>
        </w:tc>
        <w:tc>
          <w:tcPr>
            <w:tcW w:w="771" w:type="dxa"/>
            <w:tcBorders>
              <w:tl2br w:val="nil"/>
              <w:tr2bl w:val="nil"/>
            </w:tcBorders>
            <w:noWrap w:val="0"/>
            <w:vAlign w:val="center"/>
          </w:tcPr>
          <w:p w14:paraId="52DB38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300</w:t>
            </w:r>
          </w:p>
        </w:tc>
        <w:tc>
          <w:tcPr>
            <w:tcW w:w="772" w:type="dxa"/>
            <w:tcBorders>
              <w:tl2br w:val="nil"/>
              <w:tr2bl w:val="nil"/>
            </w:tcBorders>
            <w:noWrap w:val="0"/>
            <w:vAlign w:val="center"/>
          </w:tcPr>
          <w:p w14:paraId="174BCA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A24F8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4D47F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109</w:t>
            </w:r>
          </w:p>
        </w:tc>
        <w:tc>
          <w:tcPr>
            <w:tcW w:w="1470" w:type="dxa"/>
            <w:tcBorders>
              <w:tl2br w:val="nil"/>
              <w:tr2bl w:val="nil"/>
            </w:tcBorders>
            <w:noWrap w:val="0"/>
            <w:vAlign w:val="center"/>
          </w:tcPr>
          <w:p w14:paraId="505F71A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干燥管</w:t>
            </w:r>
          </w:p>
        </w:tc>
        <w:tc>
          <w:tcPr>
            <w:tcW w:w="1425" w:type="dxa"/>
            <w:tcBorders>
              <w:tl2br w:val="nil"/>
              <w:tr2bl w:val="nil"/>
            </w:tcBorders>
            <w:noWrap w:val="0"/>
            <w:vAlign w:val="center"/>
          </w:tcPr>
          <w:p w14:paraId="459D6C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7EA716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无色透明硼硅玻璃，直形单球，长145mm，球径35mm，上管直径17mm，下管直径6mm，壁厚1.3mm。</w:t>
            </w:r>
          </w:p>
        </w:tc>
        <w:tc>
          <w:tcPr>
            <w:tcW w:w="771" w:type="dxa"/>
            <w:tcBorders>
              <w:tl2br w:val="nil"/>
              <w:tr2bl w:val="nil"/>
            </w:tcBorders>
            <w:noWrap w:val="0"/>
            <w:vAlign w:val="center"/>
          </w:tcPr>
          <w:p w14:paraId="67F5F15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4FC460F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1A94E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76CD8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470" w:type="dxa"/>
            <w:tcBorders>
              <w:tl2br w:val="nil"/>
              <w:tr2bl w:val="nil"/>
            </w:tcBorders>
            <w:noWrap w:val="0"/>
            <w:vAlign w:val="center"/>
          </w:tcPr>
          <w:p w14:paraId="639F3E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干燥管</w:t>
            </w:r>
          </w:p>
        </w:tc>
        <w:tc>
          <w:tcPr>
            <w:tcW w:w="1425" w:type="dxa"/>
            <w:tcBorders>
              <w:tl2br w:val="nil"/>
              <w:tr2bl w:val="nil"/>
            </w:tcBorders>
            <w:noWrap w:val="0"/>
            <w:vAlign w:val="center"/>
          </w:tcPr>
          <w:p w14:paraId="63ED6B8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A02E6A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无色透明硼硅玻璃，U形干燥管，长150mm，宽60mm，管直径15mm，壁厚1.2mm</w:t>
            </w:r>
          </w:p>
        </w:tc>
        <w:tc>
          <w:tcPr>
            <w:tcW w:w="771" w:type="dxa"/>
            <w:tcBorders>
              <w:tl2br w:val="nil"/>
              <w:tr2bl w:val="nil"/>
            </w:tcBorders>
            <w:noWrap w:val="0"/>
            <w:vAlign w:val="center"/>
          </w:tcPr>
          <w:p w14:paraId="2ABA84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1C5F77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23543F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A0095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111</w:t>
            </w:r>
          </w:p>
        </w:tc>
        <w:tc>
          <w:tcPr>
            <w:tcW w:w="1470" w:type="dxa"/>
            <w:tcBorders>
              <w:tl2br w:val="nil"/>
              <w:tr2bl w:val="nil"/>
            </w:tcBorders>
            <w:noWrap w:val="0"/>
            <w:vAlign w:val="center"/>
          </w:tcPr>
          <w:p w14:paraId="67CB288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活塞</w:t>
            </w:r>
          </w:p>
        </w:tc>
        <w:tc>
          <w:tcPr>
            <w:tcW w:w="1425" w:type="dxa"/>
            <w:tcBorders>
              <w:tl2br w:val="nil"/>
              <w:tr2bl w:val="nil"/>
            </w:tcBorders>
            <w:noWrap w:val="0"/>
            <w:vAlign w:val="center"/>
          </w:tcPr>
          <w:p w14:paraId="1238DC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1894E7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无色硼硅玻璃制，直型二路活塞，玻璃管外径7mm～8mm。活塞代号：12/H或14/H</w:t>
            </w:r>
          </w:p>
        </w:tc>
        <w:tc>
          <w:tcPr>
            <w:tcW w:w="771" w:type="dxa"/>
            <w:tcBorders>
              <w:tl2br w:val="nil"/>
              <w:tr2bl w:val="nil"/>
            </w:tcBorders>
            <w:noWrap w:val="0"/>
            <w:vAlign w:val="center"/>
          </w:tcPr>
          <w:p w14:paraId="0934BC7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00B133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486C8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E5EB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1470" w:type="dxa"/>
            <w:tcBorders>
              <w:tl2br w:val="nil"/>
              <w:tr2bl w:val="nil"/>
            </w:tcBorders>
            <w:noWrap w:val="0"/>
            <w:vAlign w:val="center"/>
          </w:tcPr>
          <w:p w14:paraId="4E6C801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圆水槽</w:t>
            </w:r>
          </w:p>
        </w:tc>
        <w:tc>
          <w:tcPr>
            <w:tcW w:w="1425" w:type="dxa"/>
            <w:tcBorders>
              <w:tl2br w:val="nil"/>
              <w:tr2bl w:val="nil"/>
            </w:tcBorders>
            <w:noWrap w:val="0"/>
            <w:vAlign w:val="center"/>
          </w:tcPr>
          <w:p w14:paraId="692126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121840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透明钠钙玻璃制，无黄绿色，有边，外径210mm全高110mm，壁厚≥3mm，沿高10mm，沿径238mm</w:t>
            </w:r>
          </w:p>
        </w:tc>
        <w:tc>
          <w:tcPr>
            <w:tcW w:w="771" w:type="dxa"/>
            <w:tcBorders>
              <w:tl2br w:val="nil"/>
              <w:tr2bl w:val="nil"/>
            </w:tcBorders>
            <w:noWrap w:val="0"/>
            <w:vAlign w:val="center"/>
          </w:tcPr>
          <w:p w14:paraId="70B42AF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74F00EA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443D3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F2BFB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113</w:t>
            </w:r>
          </w:p>
        </w:tc>
        <w:tc>
          <w:tcPr>
            <w:tcW w:w="1470" w:type="dxa"/>
            <w:tcBorders>
              <w:tl2br w:val="nil"/>
              <w:tr2bl w:val="nil"/>
            </w:tcBorders>
            <w:noWrap w:val="0"/>
            <w:vAlign w:val="center"/>
          </w:tcPr>
          <w:p w14:paraId="686E39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圆水槽</w:t>
            </w:r>
          </w:p>
        </w:tc>
        <w:tc>
          <w:tcPr>
            <w:tcW w:w="1425" w:type="dxa"/>
            <w:tcBorders>
              <w:tl2br w:val="nil"/>
              <w:tr2bl w:val="nil"/>
            </w:tcBorders>
            <w:noWrap w:val="0"/>
            <w:vAlign w:val="center"/>
          </w:tcPr>
          <w:p w14:paraId="0FFAF47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A8B7B1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透明钠钙玻璃制，无黄绿色，有边，外径270mm全高140mm，壁厚≥3mm，沿高12mm，沿径315mm</w:t>
            </w:r>
          </w:p>
        </w:tc>
        <w:tc>
          <w:tcPr>
            <w:tcW w:w="771" w:type="dxa"/>
            <w:tcBorders>
              <w:tl2br w:val="nil"/>
              <w:tr2bl w:val="nil"/>
            </w:tcBorders>
            <w:noWrap w:val="0"/>
            <w:vAlign w:val="center"/>
          </w:tcPr>
          <w:p w14:paraId="01152EF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5B67E15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6C7E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BF7AD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114</w:t>
            </w:r>
          </w:p>
        </w:tc>
        <w:tc>
          <w:tcPr>
            <w:tcW w:w="1470" w:type="dxa"/>
            <w:tcBorders>
              <w:tl2br w:val="nil"/>
              <w:tr2bl w:val="nil"/>
            </w:tcBorders>
            <w:noWrap w:val="0"/>
            <w:vAlign w:val="center"/>
          </w:tcPr>
          <w:p w14:paraId="1271C4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玻璃钟罩</w:t>
            </w:r>
          </w:p>
        </w:tc>
        <w:tc>
          <w:tcPr>
            <w:tcW w:w="1425" w:type="dxa"/>
            <w:tcBorders>
              <w:tl2br w:val="nil"/>
              <w:tr2bl w:val="nil"/>
            </w:tcBorders>
            <w:noWrap w:val="0"/>
            <w:vAlign w:val="center"/>
          </w:tcPr>
          <w:p w14:paraId="5CA459E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1C4B2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透明钠钙玻璃制，无黄绿色，具口，尺寸为φ150mm×250mm，壁厚≥3mm。钟罩底边磨平，磨砂面宽＞10mm。口部三级磨合面</w:t>
            </w:r>
          </w:p>
        </w:tc>
        <w:tc>
          <w:tcPr>
            <w:tcW w:w="771" w:type="dxa"/>
            <w:tcBorders>
              <w:tl2br w:val="nil"/>
              <w:tr2bl w:val="nil"/>
            </w:tcBorders>
            <w:noWrap w:val="0"/>
            <w:vAlign w:val="center"/>
          </w:tcPr>
          <w:p w14:paraId="4D9B9D9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4DE67C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880B2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BFDD8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c>
          <w:tcPr>
            <w:tcW w:w="1470" w:type="dxa"/>
            <w:tcBorders>
              <w:tl2br w:val="nil"/>
              <w:tr2bl w:val="nil"/>
            </w:tcBorders>
            <w:noWrap w:val="0"/>
            <w:vAlign w:val="center"/>
          </w:tcPr>
          <w:p w14:paraId="04008D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可密封长玻璃管</w:t>
            </w:r>
          </w:p>
        </w:tc>
        <w:tc>
          <w:tcPr>
            <w:tcW w:w="1425" w:type="dxa"/>
            <w:tcBorders>
              <w:tl2br w:val="nil"/>
              <w:tr2bl w:val="nil"/>
            </w:tcBorders>
            <w:noWrap w:val="0"/>
            <w:vAlign w:val="center"/>
          </w:tcPr>
          <w:p w14:paraId="1EC8C5F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AB8AA6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内径Фl0mm×800mm，有胶塞，带刻度衬板</w:t>
            </w:r>
          </w:p>
        </w:tc>
        <w:tc>
          <w:tcPr>
            <w:tcW w:w="771" w:type="dxa"/>
            <w:tcBorders>
              <w:tl2br w:val="nil"/>
              <w:tr2bl w:val="nil"/>
            </w:tcBorders>
            <w:noWrap w:val="0"/>
            <w:vAlign w:val="center"/>
          </w:tcPr>
          <w:p w14:paraId="5F737E7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w:t>
            </w:r>
          </w:p>
        </w:tc>
        <w:tc>
          <w:tcPr>
            <w:tcW w:w="772" w:type="dxa"/>
            <w:tcBorders>
              <w:tl2br w:val="nil"/>
              <w:tr2bl w:val="nil"/>
            </w:tcBorders>
            <w:noWrap w:val="0"/>
            <w:vAlign w:val="center"/>
          </w:tcPr>
          <w:p w14:paraId="4003F6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736D2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D2DA2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116</w:t>
            </w:r>
          </w:p>
        </w:tc>
        <w:tc>
          <w:tcPr>
            <w:tcW w:w="1470" w:type="dxa"/>
            <w:tcBorders>
              <w:tl2br w:val="nil"/>
              <w:tr2bl w:val="nil"/>
            </w:tcBorders>
            <w:noWrap w:val="0"/>
            <w:vAlign w:val="center"/>
          </w:tcPr>
          <w:p w14:paraId="5F0689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玻璃弯管</w:t>
            </w:r>
          </w:p>
        </w:tc>
        <w:tc>
          <w:tcPr>
            <w:tcW w:w="1425" w:type="dxa"/>
            <w:tcBorders>
              <w:tl2br w:val="nil"/>
              <w:tr2bl w:val="nil"/>
            </w:tcBorders>
            <w:noWrap w:val="0"/>
            <w:vAlign w:val="center"/>
          </w:tcPr>
          <w:p w14:paraId="43D25D7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7873A8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玻璃管直径Φ5mm～Φ6mm，弯管90°，角边长80mm</w:t>
            </w:r>
          </w:p>
        </w:tc>
        <w:tc>
          <w:tcPr>
            <w:tcW w:w="771" w:type="dxa"/>
            <w:tcBorders>
              <w:tl2br w:val="nil"/>
              <w:tr2bl w:val="nil"/>
            </w:tcBorders>
            <w:noWrap w:val="0"/>
            <w:vAlign w:val="center"/>
          </w:tcPr>
          <w:p w14:paraId="54FDC8D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9B6AF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千克</w:t>
            </w:r>
          </w:p>
        </w:tc>
      </w:tr>
      <w:tr w14:paraId="31C92B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F5CB2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117</w:t>
            </w:r>
          </w:p>
        </w:tc>
        <w:tc>
          <w:tcPr>
            <w:tcW w:w="1470" w:type="dxa"/>
            <w:tcBorders>
              <w:tl2br w:val="nil"/>
              <w:tr2bl w:val="nil"/>
            </w:tcBorders>
            <w:noWrap w:val="0"/>
            <w:vAlign w:val="center"/>
          </w:tcPr>
          <w:p w14:paraId="609047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移液管</w:t>
            </w:r>
          </w:p>
        </w:tc>
        <w:tc>
          <w:tcPr>
            <w:tcW w:w="1425" w:type="dxa"/>
            <w:tcBorders>
              <w:tl2br w:val="nil"/>
              <w:tr2bl w:val="nil"/>
            </w:tcBorders>
            <w:noWrap w:val="0"/>
            <w:vAlign w:val="center"/>
          </w:tcPr>
          <w:p w14:paraId="751D0AC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EFAD80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10mL，可用一次性塑料移液管</w:t>
            </w:r>
          </w:p>
        </w:tc>
        <w:tc>
          <w:tcPr>
            <w:tcW w:w="771" w:type="dxa"/>
            <w:tcBorders>
              <w:tl2br w:val="nil"/>
              <w:tr2bl w:val="nil"/>
            </w:tcBorders>
            <w:noWrap w:val="0"/>
            <w:vAlign w:val="center"/>
          </w:tcPr>
          <w:p w14:paraId="75D5B33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64528A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3E1CE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76A2D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118</w:t>
            </w:r>
          </w:p>
        </w:tc>
        <w:tc>
          <w:tcPr>
            <w:tcW w:w="1470" w:type="dxa"/>
            <w:tcBorders>
              <w:tl2br w:val="nil"/>
              <w:tr2bl w:val="nil"/>
            </w:tcBorders>
            <w:noWrap w:val="0"/>
            <w:vAlign w:val="center"/>
          </w:tcPr>
          <w:p w14:paraId="74C7B3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集气瓶</w:t>
            </w:r>
          </w:p>
        </w:tc>
        <w:tc>
          <w:tcPr>
            <w:tcW w:w="1425" w:type="dxa"/>
            <w:tcBorders>
              <w:tl2br w:val="nil"/>
              <w:tr2bl w:val="nil"/>
            </w:tcBorders>
            <w:noWrap w:val="0"/>
            <w:vAlign w:val="center"/>
          </w:tcPr>
          <w:p w14:paraId="272E85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9D83EA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透明钠钙玻璃制，无明显黄绿色。125mL，高110mm，直径54mm，瓶身厚度≥1.2mm，瓶底厚≥1.8mm，正方形盖板65mm×65mm×2mm，瓶口与盖板磨砂</w:t>
            </w:r>
          </w:p>
        </w:tc>
        <w:tc>
          <w:tcPr>
            <w:tcW w:w="771" w:type="dxa"/>
            <w:tcBorders>
              <w:tl2br w:val="nil"/>
              <w:tr2bl w:val="nil"/>
            </w:tcBorders>
            <w:noWrap w:val="0"/>
            <w:vAlign w:val="center"/>
          </w:tcPr>
          <w:p w14:paraId="7A1916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200</w:t>
            </w:r>
          </w:p>
        </w:tc>
        <w:tc>
          <w:tcPr>
            <w:tcW w:w="772" w:type="dxa"/>
            <w:tcBorders>
              <w:tl2br w:val="nil"/>
              <w:tr2bl w:val="nil"/>
            </w:tcBorders>
            <w:noWrap w:val="0"/>
            <w:vAlign w:val="center"/>
          </w:tcPr>
          <w:p w14:paraId="097F93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023E3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D0479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119</w:t>
            </w:r>
          </w:p>
        </w:tc>
        <w:tc>
          <w:tcPr>
            <w:tcW w:w="1470" w:type="dxa"/>
            <w:tcBorders>
              <w:tl2br w:val="nil"/>
              <w:tr2bl w:val="nil"/>
            </w:tcBorders>
            <w:noWrap w:val="0"/>
            <w:vAlign w:val="center"/>
          </w:tcPr>
          <w:p w14:paraId="40E3343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集气瓶</w:t>
            </w:r>
          </w:p>
        </w:tc>
        <w:tc>
          <w:tcPr>
            <w:tcW w:w="1425" w:type="dxa"/>
            <w:tcBorders>
              <w:tl2br w:val="nil"/>
              <w:tr2bl w:val="nil"/>
            </w:tcBorders>
            <w:noWrap w:val="0"/>
            <w:vAlign w:val="center"/>
          </w:tcPr>
          <w:p w14:paraId="020E1E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E06A5A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透明钠钙玻璃制，无明显黄绿色。容量250mL，高130mm，直径68mm，瓶身厚度≥1.3mm，瓶底厚≥2.0mm，正方形盖板65mm×65mm×2mm。瓶口与盖板磨砂</w:t>
            </w:r>
          </w:p>
        </w:tc>
        <w:tc>
          <w:tcPr>
            <w:tcW w:w="771" w:type="dxa"/>
            <w:tcBorders>
              <w:tl2br w:val="nil"/>
              <w:tr2bl w:val="nil"/>
            </w:tcBorders>
            <w:noWrap w:val="0"/>
            <w:vAlign w:val="center"/>
          </w:tcPr>
          <w:p w14:paraId="6B32CE5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772" w:type="dxa"/>
            <w:tcBorders>
              <w:tl2br w:val="nil"/>
              <w:tr2bl w:val="nil"/>
            </w:tcBorders>
            <w:noWrap w:val="0"/>
            <w:vAlign w:val="center"/>
          </w:tcPr>
          <w:p w14:paraId="081314F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9FA8C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8B184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470" w:type="dxa"/>
            <w:tcBorders>
              <w:tl2br w:val="nil"/>
              <w:tr2bl w:val="nil"/>
            </w:tcBorders>
            <w:noWrap w:val="0"/>
            <w:vAlign w:val="center"/>
          </w:tcPr>
          <w:p w14:paraId="1593B7E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液封除毒气集气瓶</w:t>
            </w:r>
          </w:p>
        </w:tc>
        <w:tc>
          <w:tcPr>
            <w:tcW w:w="1425" w:type="dxa"/>
            <w:tcBorders>
              <w:tl2br w:val="nil"/>
              <w:tr2bl w:val="nil"/>
            </w:tcBorders>
            <w:noWrap w:val="0"/>
            <w:vAlign w:val="center"/>
          </w:tcPr>
          <w:p w14:paraId="2907F7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6E1C26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高硼硅玻璃制，250mL，包括钟式瓶盖、橡胶塞、铜制燃烧匙、毛玻片</w:t>
            </w:r>
          </w:p>
        </w:tc>
        <w:tc>
          <w:tcPr>
            <w:tcW w:w="771" w:type="dxa"/>
            <w:tcBorders>
              <w:tl2br w:val="nil"/>
              <w:tr2bl w:val="nil"/>
            </w:tcBorders>
            <w:noWrap w:val="0"/>
            <w:vAlign w:val="center"/>
          </w:tcPr>
          <w:p w14:paraId="483FFC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4F47869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3E9D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C8016B7">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121</w:t>
            </w:r>
          </w:p>
        </w:tc>
        <w:tc>
          <w:tcPr>
            <w:tcW w:w="1470" w:type="dxa"/>
            <w:tcBorders>
              <w:tl2br w:val="nil"/>
              <w:tr2bl w:val="nil"/>
            </w:tcBorders>
            <w:noWrap w:val="0"/>
            <w:vAlign w:val="center"/>
          </w:tcPr>
          <w:p w14:paraId="7E963F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广口瓶</w:t>
            </w:r>
          </w:p>
        </w:tc>
        <w:tc>
          <w:tcPr>
            <w:tcW w:w="1425" w:type="dxa"/>
            <w:tcBorders>
              <w:tl2br w:val="nil"/>
              <w:tr2bl w:val="nil"/>
            </w:tcBorders>
            <w:noWrap w:val="0"/>
            <w:vAlign w:val="center"/>
          </w:tcPr>
          <w:p w14:paraId="5767CB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DE4BF7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无色透明钠钙玻璃制，标称容量60mL，瓶体高76mm，瓶口大径24mm，瓶身厚≥1mm，瓶塞磨砂</w:t>
            </w:r>
          </w:p>
        </w:tc>
        <w:tc>
          <w:tcPr>
            <w:tcW w:w="771" w:type="dxa"/>
            <w:tcBorders>
              <w:tl2br w:val="nil"/>
              <w:tr2bl w:val="nil"/>
            </w:tcBorders>
            <w:noWrap w:val="0"/>
            <w:vAlign w:val="center"/>
          </w:tcPr>
          <w:p w14:paraId="26D5C6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7193600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DBB6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54F33A">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122</w:t>
            </w:r>
          </w:p>
        </w:tc>
        <w:tc>
          <w:tcPr>
            <w:tcW w:w="1470" w:type="dxa"/>
            <w:tcBorders>
              <w:tl2br w:val="nil"/>
              <w:tr2bl w:val="nil"/>
            </w:tcBorders>
            <w:noWrap w:val="0"/>
            <w:vAlign w:val="center"/>
          </w:tcPr>
          <w:p w14:paraId="7BED4E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广口瓶</w:t>
            </w:r>
          </w:p>
        </w:tc>
        <w:tc>
          <w:tcPr>
            <w:tcW w:w="1425" w:type="dxa"/>
            <w:tcBorders>
              <w:tl2br w:val="nil"/>
              <w:tr2bl w:val="nil"/>
            </w:tcBorders>
            <w:noWrap w:val="0"/>
            <w:vAlign w:val="center"/>
          </w:tcPr>
          <w:p w14:paraId="32B69FC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C3ECAE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无色透明钠钙玻璃制，标称容量125mL，瓶体高100mm，瓶口大径29mm，瓶身厚≥1.2mm，瓶塞磨砂</w:t>
            </w:r>
          </w:p>
        </w:tc>
        <w:tc>
          <w:tcPr>
            <w:tcW w:w="771" w:type="dxa"/>
            <w:tcBorders>
              <w:tl2br w:val="nil"/>
              <w:tr2bl w:val="nil"/>
            </w:tcBorders>
            <w:noWrap w:val="0"/>
            <w:vAlign w:val="center"/>
          </w:tcPr>
          <w:p w14:paraId="0D5BA7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300</w:t>
            </w:r>
          </w:p>
        </w:tc>
        <w:tc>
          <w:tcPr>
            <w:tcW w:w="772" w:type="dxa"/>
            <w:tcBorders>
              <w:tl2br w:val="nil"/>
              <w:tr2bl w:val="nil"/>
            </w:tcBorders>
            <w:noWrap w:val="0"/>
            <w:vAlign w:val="center"/>
          </w:tcPr>
          <w:p w14:paraId="575010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043DF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7509B9A">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123</w:t>
            </w:r>
          </w:p>
        </w:tc>
        <w:tc>
          <w:tcPr>
            <w:tcW w:w="1470" w:type="dxa"/>
            <w:tcBorders>
              <w:tl2br w:val="nil"/>
              <w:tr2bl w:val="nil"/>
            </w:tcBorders>
            <w:noWrap w:val="0"/>
            <w:vAlign w:val="center"/>
          </w:tcPr>
          <w:p w14:paraId="7A1778C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广口瓶</w:t>
            </w:r>
          </w:p>
        </w:tc>
        <w:tc>
          <w:tcPr>
            <w:tcW w:w="1425" w:type="dxa"/>
            <w:tcBorders>
              <w:tl2br w:val="nil"/>
              <w:tr2bl w:val="nil"/>
            </w:tcBorders>
            <w:noWrap w:val="0"/>
            <w:vAlign w:val="center"/>
          </w:tcPr>
          <w:p w14:paraId="6C93278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779557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无色透明钠钙玻璃制，标称容量250mL，瓶体高120mm，瓶口大径34mm，瓶身厚≥1.3mm，瓶塞磨砂</w:t>
            </w:r>
          </w:p>
        </w:tc>
        <w:tc>
          <w:tcPr>
            <w:tcW w:w="771" w:type="dxa"/>
            <w:tcBorders>
              <w:tl2br w:val="nil"/>
              <w:tr2bl w:val="nil"/>
            </w:tcBorders>
            <w:noWrap w:val="0"/>
            <w:vAlign w:val="center"/>
          </w:tcPr>
          <w:p w14:paraId="4F2F64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40</w:t>
            </w:r>
          </w:p>
        </w:tc>
        <w:tc>
          <w:tcPr>
            <w:tcW w:w="772" w:type="dxa"/>
            <w:tcBorders>
              <w:tl2br w:val="nil"/>
              <w:tr2bl w:val="nil"/>
            </w:tcBorders>
            <w:noWrap w:val="0"/>
            <w:vAlign w:val="center"/>
          </w:tcPr>
          <w:p w14:paraId="305EE19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18280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2BF5AE2">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124</w:t>
            </w:r>
          </w:p>
        </w:tc>
        <w:tc>
          <w:tcPr>
            <w:tcW w:w="1470" w:type="dxa"/>
            <w:tcBorders>
              <w:tl2br w:val="nil"/>
              <w:tr2bl w:val="nil"/>
            </w:tcBorders>
            <w:noWrap w:val="0"/>
            <w:vAlign w:val="center"/>
          </w:tcPr>
          <w:p w14:paraId="4D0CDA1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广口瓶</w:t>
            </w:r>
          </w:p>
        </w:tc>
        <w:tc>
          <w:tcPr>
            <w:tcW w:w="1425" w:type="dxa"/>
            <w:tcBorders>
              <w:tl2br w:val="nil"/>
              <w:tr2bl w:val="nil"/>
            </w:tcBorders>
            <w:noWrap w:val="0"/>
            <w:vAlign w:val="center"/>
          </w:tcPr>
          <w:p w14:paraId="1EEE59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EBAF70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无色透明钠钙玻璃制，标称容量500mL，瓶体高160mm，瓶口大径40mm，瓶身厚≥1.3mm，瓶塞磨砂</w:t>
            </w:r>
          </w:p>
        </w:tc>
        <w:tc>
          <w:tcPr>
            <w:tcW w:w="771" w:type="dxa"/>
            <w:tcBorders>
              <w:tl2br w:val="nil"/>
              <w:tr2bl w:val="nil"/>
            </w:tcBorders>
            <w:noWrap w:val="0"/>
            <w:vAlign w:val="center"/>
          </w:tcPr>
          <w:p w14:paraId="2AD47A1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7A038FA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08A2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323B6E3">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c>
          <w:tcPr>
            <w:tcW w:w="1470" w:type="dxa"/>
            <w:tcBorders>
              <w:tl2br w:val="nil"/>
              <w:tr2bl w:val="nil"/>
            </w:tcBorders>
            <w:noWrap w:val="0"/>
            <w:vAlign w:val="center"/>
          </w:tcPr>
          <w:p w14:paraId="17EF02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广口瓶</w:t>
            </w:r>
          </w:p>
        </w:tc>
        <w:tc>
          <w:tcPr>
            <w:tcW w:w="1425" w:type="dxa"/>
            <w:tcBorders>
              <w:tl2br w:val="nil"/>
              <w:tr2bl w:val="nil"/>
            </w:tcBorders>
            <w:noWrap w:val="0"/>
            <w:vAlign w:val="center"/>
          </w:tcPr>
          <w:p w14:paraId="5382F05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05E324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黄棕色钠钙玻璃制，标称容量60mL，瓶体高76mm，瓶口大径24mm，瓶身厚≥1mm，瓶塞磨砂</w:t>
            </w:r>
          </w:p>
        </w:tc>
        <w:tc>
          <w:tcPr>
            <w:tcW w:w="771" w:type="dxa"/>
            <w:tcBorders>
              <w:tl2br w:val="nil"/>
              <w:tr2bl w:val="nil"/>
            </w:tcBorders>
            <w:noWrap w:val="0"/>
            <w:vAlign w:val="center"/>
          </w:tcPr>
          <w:p w14:paraId="0168244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3BA7EE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93E8A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39AD727">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126</w:t>
            </w:r>
          </w:p>
        </w:tc>
        <w:tc>
          <w:tcPr>
            <w:tcW w:w="1470" w:type="dxa"/>
            <w:tcBorders>
              <w:tl2br w:val="nil"/>
              <w:tr2bl w:val="nil"/>
            </w:tcBorders>
            <w:noWrap w:val="0"/>
            <w:vAlign w:val="center"/>
          </w:tcPr>
          <w:p w14:paraId="1D7B84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广口瓶</w:t>
            </w:r>
          </w:p>
        </w:tc>
        <w:tc>
          <w:tcPr>
            <w:tcW w:w="1425" w:type="dxa"/>
            <w:tcBorders>
              <w:tl2br w:val="nil"/>
              <w:tr2bl w:val="nil"/>
            </w:tcBorders>
            <w:noWrap w:val="0"/>
            <w:vAlign w:val="center"/>
          </w:tcPr>
          <w:p w14:paraId="43D4C7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BBA9B4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黄棕色钠钙玻璃制，标称容量125mL，瓶体高100mm，瓶口大径29mm，瓶身厚≥1.2mm，瓶塞磨砂</w:t>
            </w:r>
          </w:p>
        </w:tc>
        <w:tc>
          <w:tcPr>
            <w:tcW w:w="771" w:type="dxa"/>
            <w:tcBorders>
              <w:tl2br w:val="nil"/>
              <w:tr2bl w:val="nil"/>
            </w:tcBorders>
            <w:noWrap w:val="0"/>
            <w:vAlign w:val="center"/>
          </w:tcPr>
          <w:p w14:paraId="6ECA6CC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772" w:type="dxa"/>
            <w:tcBorders>
              <w:tl2br w:val="nil"/>
              <w:tr2bl w:val="nil"/>
            </w:tcBorders>
            <w:noWrap w:val="0"/>
            <w:vAlign w:val="center"/>
          </w:tcPr>
          <w:p w14:paraId="0932F2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8795D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7A73516">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127</w:t>
            </w:r>
          </w:p>
        </w:tc>
        <w:tc>
          <w:tcPr>
            <w:tcW w:w="1470" w:type="dxa"/>
            <w:tcBorders>
              <w:tl2br w:val="nil"/>
              <w:tr2bl w:val="nil"/>
            </w:tcBorders>
            <w:noWrap w:val="0"/>
            <w:vAlign w:val="center"/>
          </w:tcPr>
          <w:p w14:paraId="3D5F0D7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广口瓶</w:t>
            </w:r>
          </w:p>
        </w:tc>
        <w:tc>
          <w:tcPr>
            <w:tcW w:w="1425" w:type="dxa"/>
            <w:tcBorders>
              <w:tl2br w:val="nil"/>
              <w:tr2bl w:val="nil"/>
            </w:tcBorders>
            <w:noWrap w:val="0"/>
            <w:vAlign w:val="center"/>
          </w:tcPr>
          <w:p w14:paraId="26C110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87096F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黄棕色钠钙玻璃制，标称容量250mL，瓶体高120mm，瓶口大径34mm，瓶身厚≥1.3mm，瓶塞磨砂</w:t>
            </w:r>
          </w:p>
        </w:tc>
        <w:tc>
          <w:tcPr>
            <w:tcW w:w="771" w:type="dxa"/>
            <w:tcBorders>
              <w:tl2br w:val="nil"/>
              <w:tr2bl w:val="nil"/>
            </w:tcBorders>
            <w:noWrap w:val="0"/>
            <w:vAlign w:val="center"/>
          </w:tcPr>
          <w:p w14:paraId="7053A7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6C57B9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BD4D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FB955B7">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128</w:t>
            </w:r>
          </w:p>
        </w:tc>
        <w:tc>
          <w:tcPr>
            <w:tcW w:w="1470" w:type="dxa"/>
            <w:tcBorders>
              <w:tl2br w:val="nil"/>
              <w:tr2bl w:val="nil"/>
            </w:tcBorders>
            <w:noWrap w:val="0"/>
            <w:vAlign w:val="center"/>
          </w:tcPr>
          <w:p w14:paraId="68BECC0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596AA16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AED7AD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透明钠钙玻璃制，标称容量60mL，瓶体高100mm，瓶口大径14mm，瓶身厚≥1mm，瓶塞磨砂</w:t>
            </w:r>
          </w:p>
        </w:tc>
        <w:tc>
          <w:tcPr>
            <w:tcW w:w="771" w:type="dxa"/>
            <w:tcBorders>
              <w:tl2br w:val="nil"/>
              <w:tr2bl w:val="nil"/>
            </w:tcBorders>
            <w:noWrap w:val="0"/>
            <w:vAlign w:val="center"/>
          </w:tcPr>
          <w:p w14:paraId="0AF87E7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70</w:t>
            </w:r>
          </w:p>
        </w:tc>
        <w:tc>
          <w:tcPr>
            <w:tcW w:w="772" w:type="dxa"/>
            <w:tcBorders>
              <w:tl2br w:val="nil"/>
              <w:tr2bl w:val="nil"/>
            </w:tcBorders>
            <w:noWrap w:val="0"/>
            <w:vAlign w:val="center"/>
          </w:tcPr>
          <w:p w14:paraId="5FAEF7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7DAE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7A36009">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129</w:t>
            </w:r>
          </w:p>
        </w:tc>
        <w:tc>
          <w:tcPr>
            <w:tcW w:w="1470" w:type="dxa"/>
            <w:tcBorders>
              <w:tl2br w:val="nil"/>
              <w:tr2bl w:val="nil"/>
            </w:tcBorders>
            <w:noWrap w:val="0"/>
            <w:vAlign w:val="center"/>
          </w:tcPr>
          <w:p w14:paraId="73A0E56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237E615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2E47DF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透明钠钙玻璃制，标称容量125mL，瓶体高120mm，瓶口大径19mm，瓶身厚≥1.2mm，瓶塞磨砂</w:t>
            </w:r>
          </w:p>
        </w:tc>
        <w:tc>
          <w:tcPr>
            <w:tcW w:w="771" w:type="dxa"/>
            <w:tcBorders>
              <w:tl2br w:val="nil"/>
              <w:tr2bl w:val="nil"/>
            </w:tcBorders>
            <w:noWrap w:val="0"/>
            <w:vAlign w:val="center"/>
          </w:tcPr>
          <w:p w14:paraId="006C87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350</w:t>
            </w:r>
          </w:p>
        </w:tc>
        <w:tc>
          <w:tcPr>
            <w:tcW w:w="772" w:type="dxa"/>
            <w:tcBorders>
              <w:tl2br w:val="nil"/>
              <w:tr2bl w:val="nil"/>
            </w:tcBorders>
            <w:noWrap w:val="0"/>
            <w:vAlign w:val="center"/>
          </w:tcPr>
          <w:p w14:paraId="587086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B9AC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58C2A63">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470" w:type="dxa"/>
            <w:tcBorders>
              <w:tl2br w:val="nil"/>
              <w:tr2bl w:val="nil"/>
            </w:tcBorders>
            <w:noWrap w:val="0"/>
            <w:vAlign w:val="center"/>
          </w:tcPr>
          <w:p w14:paraId="1D73F77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676B19F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0F173F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透明钠钙玻璃制，标称容量250mL，瓶体高142mm，瓶口大径19mm，瓶身厚≥1.3mm，瓶塞磨砂</w:t>
            </w:r>
          </w:p>
        </w:tc>
        <w:tc>
          <w:tcPr>
            <w:tcW w:w="771" w:type="dxa"/>
            <w:tcBorders>
              <w:tl2br w:val="nil"/>
              <w:tr2bl w:val="nil"/>
            </w:tcBorders>
            <w:noWrap w:val="0"/>
            <w:vAlign w:val="center"/>
          </w:tcPr>
          <w:p w14:paraId="3E7CBF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772" w:type="dxa"/>
            <w:tcBorders>
              <w:tl2br w:val="nil"/>
              <w:tr2bl w:val="nil"/>
            </w:tcBorders>
            <w:noWrap w:val="0"/>
            <w:vAlign w:val="center"/>
          </w:tcPr>
          <w:p w14:paraId="37583CA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1F4D3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C602710">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131</w:t>
            </w:r>
          </w:p>
        </w:tc>
        <w:tc>
          <w:tcPr>
            <w:tcW w:w="1470" w:type="dxa"/>
            <w:tcBorders>
              <w:tl2br w:val="nil"/>
              <w:tr2bl w:val="nil"/>
            </w:tcBorders>
            <w:noWrap w:val="0"/>
            <w:vAlign w:val="center"/>
          </w:tcPr>
          <w:p w14:paraId="473485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2771B7A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ECD71D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透明钠钙玻璃制，标称容量500mL，瓶体高172mm，瓶口大径21mm，瓶身厚≥1.3mm，瓶塞磨砂</w:t>
            </w:r>
          </w:p>
        </w:tc>
        <w:tc>
          <w:tcPr>
            <w:tcW w:w="771" w:type="dxa"/>
            <w:tcBorders>
              <w:tl2br w:val="nil"/>
              <w:tr2bl w:val="nil"/>
            </w:tcBorders>
            <w:noWrap w:val="0"/>
            <w:vAlign w:val="center"/>
          </w:tcPr>
          <w:p w14:paraId="7145CA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1854A8E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074B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68F3BBE">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132</w:t>
            </w:r>
          </w:p>
        </w:tc>
        <w:tc>
          <w:tcPr>
            <w:tcW w:w="1470" w:type="dxa"/>
            <w:tcBorders>
              <w:tl2br w:val="nil"/>
              <w:tr2bl w:val="nil"/>
            </w:tcBorders>
            <w:noWrap w:val="0"/>
            <w:vAlign w:val="center"/>
          </w:tcPr>
          <w:p w14:paraId="5904BA7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28D0620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C35B8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透明钠钙玻璃制，标称容量1000mL，瓶体高213mm，瓶口大径31mm，瓶身厚≥1.7mm，瓶塞磨砂</w:t>
            </w:r>
          </w:p>
        </w:tc>
        <w:tc>
          <w:tcPr>
            <w:tcW w:w="771" w:type="dxa"/>
            <w:tcBorders>
              <w:tl2br w:val="nil"/>
              <w:tr2bl w:val="nil"/>
            </w:tcBorders>
            <w:noWrap w:val="0"/>
            <w:vAlign w:val="center"/>
          </w:tcPr>
          <w:p w14:paraId="58FAC8B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600544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29AF8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EADD0D6">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133</w:t>
            </w:r>
          </w:p>
        </w:tc>
        <w:tc>
          <w:tcPr>
            <w:tcW w:w="1470" w:type="dxa"/>
            <w:tcBorders>
              <w:tl2br w:val="nil"/>
              <w:tr2bl w:val="nil"/>
            </w:tcBorders>
            <w:noWrap w:val="0"/>
            <w:vAlign w:val="center"/>
          </w:tcPr>
          <w:p w14:paraId="06385B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7BD3F9A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A55AE8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透明钠钙玻璃制，标称容量2500mL，瓶体高284mm，瓶口大径34mm，瓶身厚≥2mm，瓶塞磨砂</w:t>
            </w:r>
          </w:p>
        </w:tc>
        <w:tc>
          <w:tcPr>
            <w:tcW w:w="771" w:type="dxa"/>
            <w:tcBorders>
              <w:tl2br w:val="nil"/>
              <w:tr2bl w:val="nil"/>
            </w:tcBorders>
            <w:noWrap w:val="0"/>
            <w:vAlign w:val="center"/>
          </w:tcPr>
          <w:p w14:paraId="1304F85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72" w:type="dxa"/>
            <w:tcBorders>
              <w:tl2br w:val="nil"/>
              <w:tr2bl w:val="nil"/>
            </w:tcBorders>
            <w:noWrap w:val="0"/>
            <w:vAlign w:val="center"/>
          </w:tcPr>
          <w:p w14:paraId="7963FD5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B702D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68089EB">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134</w:t>
            </w:r>
          </w:p>
        </w:tc>
        <w:tc>
          <w:tcPr>
            <w:tcW w:w="1470" w:type="dxa"/>
            <w:tcBorders>
              <w:tl2br w:val="nil"/>
              <w:tr2bl w:val="nil"/>
            </w:tcBorders>
            <w:noWrap w:val="0"/>
            <w:vAlign w:val="center"/>
          </w:tcPr>
          <w:p w14:paraId="192C00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531410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B747E0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黄棕色钠钙玻璃制，标称容量60mL，瓶体高100mm，瓶口大径14mm，瓶身厚≥1mm，瓶塞磨砂</w:t>
            </w:r>
          </w:p>
        </w:tc>
        <w:tc>
          <w:tcPr>
            <w:tcW w:w="771" w:type="dxa"/>
            <w:tcBorders>
              <w:tl2br w:val="nil"/>
              <w:tr2bl w:val="nil"/>
            </w:tcBorders>
            <w:noWrap w:val="0"/>
            <w:vAlign w:val="center"/>
          </w:tcPr>
          <w:p w14:paraId="27B951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30644D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7D9C2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6F7A19D">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135</w:t>
            </w:r>
          </w:p>
        </w:tc>
        <w:tc>
          <w:tcPr>
            <w:tcW w:w="1470" w:type="dxa"/>
            <w:tcBorders>
              <w:tl2br w:val="nil"/>
              <w:tr2bl w:val="nil"/>
            </w:tcBorders>
            <w:noWrap w:val="0"/>
            <w:vAlign w:val="center"/>
          </w:tcPr>
          <w:p w14:paraId="503158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06BF536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F97362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黄棕色钠钙玻璃制，标称容量125mL，瓶体高120mm，瓶口大径19mm，瓶身厚≥1.2mm，瓶塞磨砂</w:t>
            </w:r>
          </w:p>
        </w:tc>
        <w:tc>
          <w:tcPr>
            <w:tcW w:w="771" w:type="dxa"/>
            <w:tcBorders>
              <w:tl2br w:val="nil"/>
              <w:tr2bl w:val="nil"/>
            </w:tcBorders>
            <w:noWrap w:val="0"/>
            <w:vAlign w:val="center"/>
          </w:tcPr>
          <w:p w14:paraId="1909AE1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003F40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CC655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A2F2C47">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136</w:t>
            </w:r>
          </w:p>
        </w:tc>
        <w:tc>
          <w:tcPr>
            <w:tcW w:w="1470" w:type="dxa"/>
            <w:tcBorders>
              <w:tl2br w:val="nil"/>
              <w:tr2bl w:val="nil"/>
            </w:tcBorders>
            <w:noWrap w:val="0"/>
            <w:vAlign w:val="center"/>
          </w:tcPr>
          <w:p w14:paraId="018A1E0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0F1A49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06314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黄棕色钠钙玻璃制，标称容量250mL，瓶体高142mm，瓶口大径19mm，瓶身厚≥1.3mm，瓶塞磨砂</w:t>
            </w:r>
          </w:p>
        </w:tc>
        <w:tc>
          <w:tcPr>
            <w:tcW w:w="771" w:type="dxa"/>
            <w:tcBorders>
              <w:tl2br w:val="nil"/>
              <w:tr2bl w:val="nil"/>
            </w:tcBorders>
            <w:noWrap w:val="0"/>
            <w:vAlign w:val="center"/>
          </w:tcPr>
          <w:p w14:paraId="232BF0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72" w:type="dxa"/>
            <w:tcBorders>
              <w:tl2br w:val="nil"/>
              <w:tr2bl w:val="nil"/>
            </w:tcBorders>
            <w:noWrap w:val="0"/>
            <w:vAlign w:val="center"/>
          </w:tcPr>
          <w:p w14:paraId="72B83C6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33BF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E10288B">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137</w:t>
            </w:r>
          </w:p>
        </w:tc>
        <w:tc>
          <w:tcPr>
            <w:tcW w:w="1470" w:type="dxa"/>
            <w:tcBorders>
              <w:tl2br w:val="nil"/>
              <w:tr2bl w:val="nil"/>
            </w:tcBorders>
            <w:noWrap w:val="0"/>
            <w:vAlign w:val="center"/>
          </w:tcPr>
          <w:p w14:paraId="6A1B27D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4D912D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E81F80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黄棕色钠钙玻璃制，标称容量500mL，瓶体高172mm，瓶口大径21mm，瓶身厚≥1.3mm，瓶塞磨砂</w:t>
            </w:r>
          </w:p>
        </w:tc>
        <w:tc>
          <w:tcPr>
            <w:tcW w:w="771" w:type="dxa"/>
            <w:tcBorders>
              <w:tl2br w:val="nil"/>
              <w:tr2bl w:val="nil"/>
            </w:tcBorders>
            <w:noWrap w:val="0"/>
            <w:vAlign w:val="center"/>
          </w:tcPr>
          <w:p w14:paraId="205648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0A1F78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7CB53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CAA36BA">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138</w:t>
            </w:r>
          </w:p>
        </w:tc>
        <w:tc>
          <w:tcPr>
            <w:tcW w:w="1470" w:type="dxa"/>
            <w:tcBorders>
              <w:tl2br w:val="nil"/>
              <w:tr2bl w:val="nil"/>
            </w:tcBorders>
            <w:noWrap w:val="0"/>
            <w:vAlign w:val="center"/>
          </w:tcPr>
          <w:p w14:paraId="5BBA8E6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细口瓶</w:t>
            </w:r>
          </w:p>
        </w:tc>
        <w:tc>
          <w:tcPr>
            <w:tcW w:w="1425" w:type="dxa"/>
            <w:tcBorders>
              <w:tl2br w:val="nil"/>
              <w:tr2bl w:val="nil"/>
            </w:tcBorders>
            <w:noWrap w:val="0"/>
            <w:vAlign w:val="center"/>
          </w:tcPr>
          <w:p w14:paraId="0113A1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A9D9C5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黄棕色钠钙玻璃制，标称容量1000mL，瓶体高213mm，瓶口大径29mm，瓶身厚≥1.7mm，瓶塞磨砂</w:t>
            </w:r>
          </w:p>
        </w:tc>
        <w:tc>
          <w:tcPr>
            <w:tcW w:w="771" w:type="dxa"/>
            <w:tcBorders>
              <w:tl2br w:val="nil"/>
              <w:tr2bl w:val="nil"/>
            </w:tcBorders>
            <w:noWrap w:val="0"/>
            <w:vAlign w:val="center"/>
          </w:tcPr>
          <w:p w14:paraId="5A6E28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35A3AB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E7E0D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15F6DBD">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139</w:t>
            </w:r>
          </w:p>
        </w:tc>
        <w:tc>
          <w:tcPr>
            <w:tcW w:w="1470" w:type="dxa"/>
            <w:tcBorders>
              <w:tl2br w:val="nil"/>
              <w:tr2bl w:val="nil"/>
            </w:tcBorders>
            <w:noWrap w:val="0"/>
            <w:vAlign w:val="center"/>
          </w:tcPr>
          <w:p w14:paraId="0D0E43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滴瓶</w:t>
            </w:r>
          </w:p>
        </w:tc>
        <w:tc>
          <w:tcPr>
            <w:tcW w:w="1425" w:type="dxa"/>
            <w:tcBorders>
              <w:tl2br w:val="nil"/>
              <w:tr2bl w:val="nil"/>
            </w:tcBorders>
            <w:noWrap w:val="0"/>
            <w:vAlign w:val="center"/>
          </w:tcPr>
          <w:p w14:paraId="52C5884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AE9E4B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无色透明钠钙玻璃，30ml，瓶体尺寸Φ38mm×73mm，瓶身壁厚≥1mm，滴管壁厚≥0.8mm，配磨砂滴管</w:t>
            </w:r>
          </w:p>
        </w:tc>
        <w:tc>
          <w:tcPr>
            <w:tcW w:w="771" w:type="dxa"/>
            <w:tcBorders>
              <w:tl2br w:val="nil"/>
              <w:tr2bl w:val="nil"/>
            </w:tcBorders>
            <w:noWrap w:val="0"/>
            <w:vAlign w:val="center"/>
          </w:tcPr>
          <w:p w14:paraId="74ABDEF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772" w:type="dxa"/>
            <w:tcBorders>
              <w:tl2br w:val="nil"/>
              <w:tr2bl w:val="nil"/>
            </w:tcBorders>
            <w:noWrap w:val="0"/>
            <w:vAlign w:val="center"/>
          </w:tcPr>
          <w:p w14:paraId="0EE357E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42F8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04C5F9C">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1470" w:type="dxa"/>
            <w:tcBorders>
              <w:tl2br w:val="nil"/>
              <w:tr2bl w:val="nil"/>
            </w:tcBorders>
            <w:noWrap w:val="0"/>
            <w:vAlign w:val="center"/>
          </w:tcPr>
          <w:p w14:paraId="5E9C3C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滴瓶</w:t>
            </w:r>
          </w:p>
        </w:tc>
        <w:tc>
          <w:tcPr>
            <w:tcW w:w="1425" w:type="dxa"/>
            <w:tcBorders>
              <w:tl2br w:val="nil"/>
              <w:tr2bl w:val="nil"/>
            </w:tcBorders>
            <w:noWrap w:val="0"/>
            <w:vAlign w:val="center"/>
          </w:tcPr>
          <w:p w14:paraId="2C35C5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9ED60C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无色透明钠钙玻璃，60ml，瓶体尺寸Φ47mm×90mm，瓶身壁厚≥1mm，滴管壁厚≥0.8mm，配磨砂滴管</w:t>
            </w:r>
          </w:p>
        </w:tc>
        <w:tc>
          <w:tcPr>
            <w:tcW w:w="771" w:type="dxa"/>
            <w:tcBorders>
              <w:tl2br w:val="nil"/>
              <w:tr2bl w:val="nil"/>
            </w:tcBorders>
            <w:noWrap w:val="0"/>
            <w:vAlign w:val="center"/>
          </w:tcPr>
          <w:p w14:paraId="394A7E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500</w:t>
            </w:r>
          </w:p>
        </w:tc>
        <w:tc>
          <w:tcPr>
            <w:tcW w:w="772" w:type="dxa"/>
            <w:tcBorders>
              <w:tl2br w:val="nil"/>
              <w:tr2bl w:val="nil"/>
            </w:tcBorders>
            <w:noWrap w:val="0"/>
            <w:vAlign w:val="center"/>
          </w:tcPr>
          <w:p w14:paraId="22A072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34FF2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71A03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141</w:t>
            </w:r>
          </w:p>
        </w:tc>
        <w:tc>
          <w:tcPr>
            <w:tcW w:w="1470" w:type="dxa"/>
            <w:tcBorders>
              <w:tl2br w:val="nil"/>
              <w:tr2bl w:val="nil"/>
            </w:tcBorders>
            <w:noWrap w:val="0"/>
            <w:vAlign w:val="center"/>
          </w:tcPr>
          <w:p w14:paraId="791786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滴瓶</w:t>
            </w:r>
          </w:p>
        </w:tc>
        <w:tc>
          <w:tcPr>
            <w:tcW w:w="1425" w:type="dxa"/>
            <w:tcBorders>
              <w:tl2br w:val="nil"/>
              <w:tr2bl w:val="nil"/>
            </w:tcBorders>
            <w:noWrap w:val="0"/>
            <w:vAlign w:val="center"/>
          </w:tcPr>
          <w:p w14:paraId="57A8817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919A27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棕黄色透明钠钙玻璃，30ml，瓶体尺寸Φ38mm×73mm，瓶身壁厚≥1mm，滴管壁厚≥0.8mm，配磨砂滴管</w:t>
            </w:r>
          </w:p>
        </w:tc>
        <w:tc>
          <w:tcPr>
            <w:tcW w:w="771" w:type="dxa"/>
            <w:tcBorders>
              <w:tl2br w:val="nil"/>
              <w:tr2bl w:val="nil"/>
            </w:tcBorders>
            <w:noWrap w:val="0"/>
            <w:vAlign w:val="center"/>
          </w:tcPr>
          <w:p w14:paraId="340E868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0EA80C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6C8E3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24AF7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142</w:t>
            </w:r>
          </w:p>
        </w:tc>
        <w:tc>
          <w:tcPr>
            <w:tcW w:w="1470" w:type="dxa"/>
            <w:tcBorders>
              <w:tl2br w:val="nil"/>
              <w:tr2bl w:val="nil"/>
            </w:tcBorders>
            <w:noWrap w:val="0"/>
            <w:vAlign w:val="center"/>
          </w:tcPr>
          <w:p w14:paraId="625869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滴瓶</w:t>
            </w:r>
          </w:p>
        </w:tc>
        <w:tc>
          <w:tcPr>
            <w:tcW w:w="1425" w:type="dxa"/>
            <w:tcBorders>
              <w:tl2br w:val="nil"/>
              <w:tr2bl w:val="nil"/>
            </w:tcBorders>
            <w:noWrap w:val="0"/>
            <w:vAlign w:val="center"/>
          </w:tcPr>
          <w:p w14:paraId="68627A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42EA35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棕黄色透明钠钙玻璃，60ml，瓶体尺寸Φ47mm×90mm，瓶身壁厚≥1mm，滴管壁厚≥0.8mm，配磨砂滴管</w:t>
            </w:r>
          </w:p>
        </w:tc>
        <w:tc>
          <w:tcPr>
            <w:tcW w:w="771" w:type="dxa"/>
            <w:tcBorders>
              <w:tl2br w:val="nil"/>
              <w:tr2bl w:val="nil"/>
            </w:tcBorders>
            <w:noWrap w:val="0"/>
            <w:vAlign w:val="center"/>
          </w:tcPr>
          <w:p w14:paraId="6095A3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150</w:t>
            </w:r>
          </w:p>
        </w:tc>
        <w:tc>
          <w:tcPr>
            <w:tcW w:w="772" w:type="dxa"/>
            <w:tcBorders>
              <w:tl2br w:val="nil"/>
              <w:tr2bl w:val="nil"/>
            </w:tcBorders>
            <w:noWrap w:val="0"/>
            <w:vAlign w:val="center"/>
          </w:tcPr>
          <w:p w14:paraId="747DBCC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C901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4457A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143</w:t>
            </w:r>
          </w:p>
        </w:tc>
        <w:tc>
          <w:tcPr>
            <w:tcW w:w="1470" w:type="dxa"/>
            <w:tcBorders>
              <w:tl2br w:val="nil"/>
              <w:tr2bl w:val="nil"/>
            </w:tcBorders>
            <w:noWrap w:val="0"/>
            <w:vAlign w:val="center"/>
          </w:tcPr>
          <w:p w14:paraId="60276B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坩埚</w:t>
            </w:r>
          </w:p>
        </w:tc>
        <w:tc>
          <w:tcPr>
            <w:tcW w:w="1425" w:type="dxa"/>
            <w:tcBorders>
              <w:tl2br w:val="nil"/>
              <w:tr2bl w:val="nil"/>
            </w:tcBorders>
            <w:noWrap w:val="0"/>
            <w:vAlign w:val="center"/>
          </w:tcPr>
          <w:p w14:paraId="07B14C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E22576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陶瓷坩埚，容量30mL，带盖</w:t>
            </w:r>
          </w:p>
        </w:tc>
        <w:tc>
          <w:tcPr>
            <w:tcW w:w="771" w:type="dxa"/>
            <w:tcBorders>
              <w:tl2br w:val="nil"/>
              <w:tr2bl w:val="nil"/>
            </w:tcBorders>
            <w:noWrap w:val="0"/>
            <w:vAlign w:val="center"/>
          </w:tcPr>
          <w:p w14:paraId="55AFB46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35</w:t>
            </w:r>
          </w:p>
        </w:tc>
        <w:tc>
          <w:tcPr>
            <w:tcW w:w="772" w:type="dxa"/>
            <w:tcBorders>
              <w:tl2br w:val="nil"/>
              <w:tr2bl w:val="nil"/>
            </w:tcBorders>
            <w:noWrap w:val="0"/>
            <w:vAlign w:val="center"/>
          </w:tcPr>
          <w:p w14:paraId="30039C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F81E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6D6E5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144</w:t>
            </w:r>
          </w:p>
        </w:tc>
        <w:tc>
          <w:tcPr>
            <w:tcW w:w="1470" w:type="dxa"/>
            <w:tcBorders>
              <w:tl2br w:val="nil"/>
              <w:tr2bl w:val="nil"/>
            </w:tcBorders>
            <w:noWrap w:val="0"/>
            <w:vAlign w:val="center"/>
          </w:tcPr>
          <w:p w14:paraId="45E3CE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坩埚钳</w:t>
            </w:r>
          </w:p>
        </w:tc>
        <w:tc>
          <w:tcPr>
            <w:tcW w:w="1425" w:type="dxa"/>
            <w:tcBorders>
              <w:tl2br w:val="nil"/>
              <w:tr2bl w:val="nil"/>
            </w:tcBorders>
            <w:noWrap w:val="0"/>
            <w:vAlign w:val="center"/>
          </w:tcPr>
          <w:p w14:paraId="2BCB6C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12F43F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不锈钢，全长200mm，钢板厚1.8mm</w:t>
            </w:r>
          </w:p>
        </w:tc>
        <w:tc>
          <w:tcPr>
            <w:tcW w:w="771" w:type="dxa"/>
            <w:tcBorders>
              <w:tl2br w:val="nil"/>
              <w:tr2bl w:val="nil"/>
            </w:tcBorders>
            <w:noWrap w:val="0"/>
            <w:vAlign w:val="center"/>
          </w:tcPr>
          <w:p w14:paraId="1B58A6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1BC7F5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2932C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4C4E3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c>
          <w:tcPr>
            <w:tcW w:w="1470" w:type="dxa"/>
            <w:tcBorders>
              <w:tl2br w:val="nil"/>
              <w:tr2bl w:val="nil"/>
            </w:tcBorders>
            <w:noWrap w:val="0"/>
            <w:vAlign w:val="center"/>
          </w:tcPr>
          <w:p w14:paraId="2CCCE0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烧杯夹</w:t>
            </w:r>
          </w:p>
        </w:tc>
        <w:tc>
          <w:tcPr>
            <w:tcW w:w="1425" w:type="dxa"/>
            <w:tcBorders>
              <w:tl2br w:val="nil"/>
              <w:tr2bl w:val="nil"/>
            </w:tcBorders>
            <w:noWrap w:val="0"/>
            <w:vAlign w:val="center"/>
          </w:tcPr>
          <w:p w14:paraId="44E1887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8AB2F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扁口烧杯夹，全长250mm，铁质</w:t>
            </w:r>
          </w:p>
        </w:tc>
        <w:tc>
          <w:tcPr>
            <w:tcW w:w="771" w:type="dxa"/>
            <w:tcBorders>
              <w:tl2br w:val="nil"/>
              <w:tr2bl w:val="nil"/>
            </w:tcBorders>
            <w:noWrap w:val="0"/>
            <w:vAlign w:val="center"/>
          </w:tcPr>
          <w:p w14:paraId="30EC3C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772" w:type="dxa"/>
            <w:tcBorders>
              <w:tl2br w:val="nil"/>
              <w:tr2bl w:val="nil"/>
            </w:tcBorders>
            <w:noWrap w:val="0"/>
            <w:vAlign w:val="center"/>
          </w:tcPr>
          <w:p w14:paraId="46BEA7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C071B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90789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146</w:t>
            </w:r>
          </w:p>
        </w:tc>
        <w:tc>
          <w:tcPr>
            <w:tcW w:w="1470" w:type="dxa"/>
            <w:tcBorders>
              <w:tl2br w:val="nil"/>
              <w:tr2bl w:val="nil"/>
            </w:tcBorders>
            <w:noWrap w:val="0"/>
            <w:vAlign w:val="center"/>
          </w:tcPr>
          <w:p w14:paraId="13A95C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镊子</w:t>
            </w:r>
          </w:p>
        </w:tc>
        <w:tc>
          <w:tcPr>
            <w:tcW w:w="1425" w:type="dxa"/>
            <w:tcBorders>
              <w:tl2br w:val="nil"/>
              <w:tr2bl w:val="nil"/>
            </w:tcBorders>
            <w:noWrap w:val="0"/>
            <w:vAlign w:val="center"/>
          </w:tcPr>
          <w:p w14:paraId="4C3C14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9CACDF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304不锈钢平头镊子，长125mm，钢板厚1.2mm</w:t>
            </w:r>
          </w:p>
        </w:tc>
        <w:tc>
          <w:tcPr>
            <w:tcW w:w="771" w:type="dxa"/>
            <w:tcBorders>
              <w:tl2br w:val="nil"/>
              <w:tr2bl w:val="nil"/>
            </w:tcBorders>
            <w:noWrap w:val="0"/>
            <w:vAlign w:val="center"/>
          </w:tcPr>
          <w:p w14:paraId="1574254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086013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8607C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E7D88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147</w:t>
            </w:r>
          </w:p>
        </w:tc>
        <w:tc>
          <w:tcPr>
            <w:tcW w:w="1470" w:type="dxa"/>
            <w:tcBorders>
              <w:tl2br w:val="nil"/>
              <w:tr2bl w:val="nil"/>
            </w:tcBorders>
            <w:noWrap w:val="0"/>
            <w:vAlign w:val="center"/>
          </w:tcPr>
          <w:p w14:paraId="7A52271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试管夹</w:t>
            </w:r>
          </w:p>
        </w:tc>
        <w:tc>
          <w:tcPr>
            <w:tcW w:w="1425" w:type="dxa"/>
            <w:tcBorders>
              <w:tl2br w:val="nil"/>
              <w:tr2bl w:val="nil"/>
            </w:tcBorders>
            <w:noWrap w:val="0"/>
            <w:vAlign w:val="center"/>
          </w:tcPr>
          <w:p w14:paraId="5DFAC2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6B319A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木制，长度≥200mm，宽度20mm，厚度20mm。试管夹闭口缝≤1mm，开口距≥25mm</w:t>
            </w:r>
          </w:p>
        </w:tc>
        <w:tc>
          <w:tcPr>
            <w:tcW w:w="771" w:type="dxa"/>
            <w:tcBorders>
              <w:tl2br w:val="nil"/>
              <w:tr2bl w:val="nil"/>
            </w:tcBorders>
            <w:noWrap w:val="0"/>
            <w:vAlign w:val="center"/>
          </w:tcPr>
          <w:p w14:paraId="0953B2B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60</w:t>
            </w:r>
          </w:p>
        </w:tc>
        <w:tc>
          <w:tcPr>
            <w:tcW w:w="772" w:type="dxa"/>
            <w:tcBorders>
              <w:tl2br w:val="nil"/>
              <w:tr2bl w:val="nil"/>
            </w:tcBorders>
            <w:noWrap w:val="0"/>
            <w:vAlign w:val="center"/>
          </w:tcPr>
          <w:p w14:paraId="01CE8BD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63C49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3A13B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148</w:t>
            </w:r>
          </w:p>
        </w:tc>
        <w:tc>
          <w:tcPr>
            <w:tcW w:w="1470" w:type="dxa"/>
            <w:tcBorders>
              <w:tl2br w:val="nil"/>
              <w:tr2bl w:val="nil"/>
            </w:tcBorders>
            <w:noWrap w:val="0"/>
            <w:vAlign w:val="center"/>
          </w:tcPr>
          <w:p w14:paraId="0EEDF00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水止皮管夹</w:t>
            </w:r>
          </w:p>
        </w:tc>
        <w:tc>
          <w:tcPr>
            <w:tcW w:w="1425" w:type="dxa"/>
            <w:tcBorders>
              <w:tl2br w:val="nil"/>
              <w:tr2bl w:val="nil"/>
            </w:tcBorders>
            <w:noWrap w:val="0"/>
            <w:vAlign w:val="center"/>
          </w:tcPr>
          <w:p w14:paraId="680827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85B14E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直径Φ3㎜钢丝制成，作防锈处理，夹持角度不小于60º</w:t>
            </w:r>
          </w:p>
        </w:tc>
        <w:tc>
          <w:tcPr>
            <w:tcW w:w="771" w:type="dxa"/>
            <w:tcBorders>
              <w:tl2br w:val="nil"/>
              <w:tr2bl w:val="nil"/>
            </w:tcBorders>
            <w:noWrap w:val="0"/>
            <w:vAlign w:val="center"/>
          </w:tcPr>
          <w:p w14:paraId="0C69531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30E56C6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D2E7F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CBB48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149</w:t>
            </w:r>
          </w:p>
        </w:tc>
        <w:tc>
          <w:tcPr>
            <w:tcW w:w="1470" w:type="dxa"/>
            <w:tcBorders>
              <w:tl2br w:val="nil"/>
              <w:tr2bl w:val="nil"/>
            </w:tcBorders>
            <w:noWrap w:val="0"/>
            <w:vAlign w:val="center"/>
          </w:tcPr>
          <w:p w14:paraId="5BE7A99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螺旋皮管夹</w:t>
            </w:r>
          </w:p>
        </w:tc>
        <w:tc>
          <w:tcPr>
            <w:tcW w:w="1425" w:type="dxa"/>
            <w:tcBorders>
              <w:tl2br w:val="nil"/>
              <w:tr2bl w:val="nil"/>
            </w:tcBorders>
            <w:noWrap w:val="0"/>
            <w:vAlign w:val="center"/>
          </w:tcPr>
          <w:p w14:paraId="59C4C40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18C6D2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铁制镀锌</w:t>
            </w:r>
          </w:p>
        </w:tc>
        <w:tc>
          <w:tcPr>
            <w:tcW w:w="771" w:type="dxa"/>
            <w:tcBorders>
              <w:tl2br w:val="nil"/>
              <w:tr2bl w:val="nil"/>
            </w:tcBorders>
            <w:noWrap w:val="0"/>
            <w:vAlign w:val="center"/>
          </w:tcPr>
          <w:p w14:paraId="2D62F54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46BF0F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992BA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35A85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c>
          <w:tcPr>
            <w:tcW w:w="1470" w:type="dxa"/>
            <w:tcBorders>
              <w:tl2br w:val="nil"/>
              <w:tr2bl w:val="nil"/>
            </w:tcBorders>
            <w:noWrap w:val="0"/>
            <w:vAlign w:val="center"/>
          </w:tcPr>
          <w:p w14:paraId="3C6066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石棉网</w:t>
            </w:r>
          </w:p>
        </w:tc>
        <w:tc>
          <w:tcPr>
            <w:tcW w:w="1425" w:type="dxa"/>
            <w:tcBorders>
              <w:tl2br w:val="nil"/>
              <w:tr2bl w:val="nil"/>
            </w:tcBorders>
            <w:noWrap w:val="0"/>
            <w:vAlign w:val="center"/>
          </w:tcPr>
          <w:p w14:paraId="190FFC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F37C9E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15mm×15mm，0.8mm钢丝制成，防火材料不易脱落</w:t>
            </w:r>
          </w:p>
        </w:tc>
        <w:tc>
          <w:tcPr>
            <w:tcW w:w="771" w:type="dxa"/>
            <w:tcBorders>
              <w:tl2br w:val="nil"/>
              <w:tr2bl w:val="nil"/>
            </w:tcBorders>
            <w:noWrap w:val="0"/>
            <w:vAlign w:val="center"/>
          </w:tcPr>
          <w:p w14:paraId="2D924C0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85</w:t>
            </w:r>
          </w:p>
        </w:tc>
        <w:tc>
          <w:tcPr>
            <w:tcW w:w="772" w:type="dxa"/>
            <w:tcBorders>
              <w:tl2br w:val="nil"/>
              <w:tr2bl w:val="nil"/>
            </w:tcBorders>
            <w:noWrap w:val="0"/>
            <w:vAlign w:val="center"/>
          </w:tcPr>
          <w:p w14:paraId="0096F8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2D4D74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08373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w:t>
            </w:r>
          </w:p>
        </w:tc>
        <w:tc>
          <w:tcPr>
            <w:tcW w:w="1470" w:type="dxa"/>
            <w:tcBorders>
              <w:tl2br w:val="nil"/>
              <w:tr2bl w:val="nil"/>
            </w:tcBorders>
            <w:noWrap w:val="0"/>
            <w:vAlign w:val="center"/>
          </w:tcPr>
          <w:p w14:paraId="24ADF1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燃烧匙</w:t>
            </w:r>
          </w:p>
        </w:tc>
        <w:tc>
          <w:tcPr>
            <w:tcW w:w="1425" w:type="dxa"/>
            <w:tcBorders>
              <w:tl2br w:val="nil"/>
              <w:tr2bl w:val="nil"/>
            </w:tcBorders>
            <w:noWrap w:val="0"/>
            <w:vAlign w:val="center"/>
          </w:tcPr>
          <w:p w14:paraId="11E2569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4BC42B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铁柄，铜质，勺直径18mm，深10mm，柄长300mm</w:t>
            </w:r>
          </w:p>
        </w:tc>
        <w:tc>
          <w:tcPr>
            <w:tcW w:w="771" w:type="dxa"/>
            <w:tcBorders>
              <w:tl2br w:val="nil"/>
              <w:tr2bl w:val="nil"/>
            </w:tcBorders>
            <w:noWrap w:val="0"/>
            <w:vAlign w:val="center"/>
          </w:tcPr>
          <w:p w14:paraId="32F70B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2A9153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1658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2F864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152</w:t>
            </w:r>
          </w:p>
        </w:tc>
        <w:tc>
          <w:tcPr>
            <w:tcW w:w="1470" w:type="dxa"/>
            <w:tcBorders>
              <w:tl2br w:val="nil"/>
              <w:tr2bl w:val="nil"/>
            </w:tcBorders>
            <w:noWrap w:val="0"/>
            <w:vAlign w:val="center"/>
          </w:tcPr>
          <w:p w14:paraId="67E5BE7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药匙</w:t>
            </w:r>
          </w:p>
        </w:tc>
        <w:tc>
          <w:tcPr>
            <w:tcW w:w="1425" w:type="dxa"/>
            <w:tcBorders>
              <w:tl2br w:val="nil"/>
              <w:tr2bl w:val="nil"/>
            </w:tcBorders>
            <w:noWrap w:val="0"/>
            <w:vAlign w:val="center"/>
          </w:tcPr>
          <w:p w14:paraId="79FB320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70559A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大，中，小一套的，大号14.5cm，中号13.5cm，小号12cm</w:t>
            </w:r>
          </w:p>
        </w:tc>
        <w:tc>
          <w:tcPr>
            <w:tcW w:w="771" w:type="dxa"/>
            <w:tcBorders>
              <w:tl2br w:val="nil"/>
              <w:tr2bl w:val="nil"/>
            </w:tcBorders>
            <w:noWrap w:val="0"/>
            <w:vAlign w:val="center"/>
          </w:tcPr>
          <w:p w14:paraId="0F2010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55</w:t>
            </w:r>
          </w:p>
        </w:tc>
        <w:tc>
          <w:tcPr>
            <w:tcW w:w="772" w:type="dxa"/>
            <w:tcBorders>
              <w:tl2br w:val="nil"/>
              <w:tr2bl w:val="nil"/>
            </w:tcBorders>
            <w:noWrap w:val="0"/>
            <w:vAlign w:val="center"/>
          </w:tcPr>
          <w:p w14:paraId="211A73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BFF7C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E52CA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w:t>
            </w:r>
          </w:p>
        </w:tc>
        <w:tc>
          <w:tcPr>
            <w:tcW w:w="1470" w:type="dxa"/>
            <w:tcBorders>
              <w:tl2br w:val="nil"/>
              <w:tr2bl w:val="nil"/>
            </w:tcBorders>
            <w:noWrap w:val="0"/>
            <w:vAlign w:val="center"/>
          </w:tcPr>
          <w:p w14:paraId="2AF855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玻璃管</w:t>
            </w:r>
          </w:p>
        </w:tc>
        <w:tc>
          <w:tcPr>
            <w:tcW w:w="1425" w:type="dxa"/>
            <w:tcBorders>
              <w:tl2br w:val="nil"/>
              <w:tr2bl w:val="nil"/>
            </w:tcBorders>
            <w:noWrap w:val="0"/>
            <w:vAlign w:val="center"/>
          </w:tcPr>
          <w:p w14:paraId="2E0D79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F342D6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玻璃管直径Φ5mm～Φ6mm，长600mm，壁厚＞0.8mm</w:t>
            </w:r>
          </w:p>
        </w:tc>
        <w:tc>
          <w:tcPr>
            <w:tcW w:w="771" w:type="dxa"/>
            <w:tcBorders>
              <w:tl2br w:val="nil"/>
              <w:tr2bl w:val="nil"/>
            </w:tcBorders>
            <w:noWrap w:val="0"/>
            <w:vAlign w:val="center"/>
          </w:tcPr>
          <w:p w14:paraId="55B8775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72" w:type="dxa"/>
            <w:tcBorders>
              <w:tl2br w:val="nil"/>
              <w:tr2bl w:val="nil"/>
            </w:tcBorders>
            <w:noWrap w:val="0"/>
            <w:vAlign w:val="center"/>
          </w:tcPr>
          <w:p w14:paraId="1EE129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千克</w:t>
            </w:r>
          </w:p>
        </w:tc>
      </w:tr>
      <w:tr w14:paraId="19848F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E1F54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154</w:t>
            </w:r>
          </w:p>
        </w:tc>
        <w:tc>
          <w:tcPr>
            <w:tcW w:w="1470" w:type="dxa"/>
            <w:tcBorders>
              <w:tl2br w:val="nil"/>
              <w:tr2bl w:val="nil"/>
            </w:tcBorders>
            <w:noWrap w:val="0"/>
            <w:vAlign w:val="center"/>
          </w:tcPr>
          <w:p w14:paraId="4D43D7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玻璃管</w:t>
            </w:r>
          </w:p>
        </w:tc>
        <w:tc>
          <w:tcPr>
            <w:tcW w:w="1425" w:type="dxa"/>
            <w:tcBorders>
              <w:tl2br w:val="nil"/>
              <w:tr2bl w:val="nil"/>
            </w:tcBorders>
            <w:noWrap w:val="0"/>
            <w:vAlign w:val="center"/>
          </w:tcPr>
          <w:p w14:paraId="68248C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B3A275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玻璃管直径Φ7mm～Φ9mm，长600mm，壁厚＞0.8mm</w:t>
            </w:r>
          </w:p>
        </w:tc>
        <w:tc>
          <w:tcPr>
            <w:tcW w:w="771" w:type="dxa"/>
            <w:tcBorders>
              <w:tl2br w:val="nil"/>
              <w:tr2bl w:val="nil"/>
            </w:tcBorders>
            <w:noWrap w:val="0"/>
            <w:vAlign w:val="center"/>
          </w:tcPr>
          <w:p w14:paraId="24F5581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72" w:type="dxa"/>
            <w:tcBorders>
              <w:tl2br w:val="nil"/>
              <w:tr2bl w:val="nil"/>
            </w:tcBorders>
            <w:noWrap w:val="0"/>
            <w:vAlign w:val="center"/>
          </w:tcPr>
          <w:p w14:paraId="6D42B5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千克</w:t>
            </w:r>
          </w:p>
        </w:tc>
      </w:tr>
      <w:tr w14:paraId="242AF0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E7016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155</w:t>
            </w:r>
          </w:p>
        </w:tc>
        <w:tc>
          <w:tcPr>
            <w:tcW w:w="1470" w:type="dxa"/>
            <w:tcBorders>
              <w:tl2br w:val="nil"/>
              <w:tr2bl w:val="nil"/>
            </w:tcBorders>
            <w:noWrap w:val="0"/>
            <w:vAlign w:val="center"/>
          </w:tcPr>
          <w:p w14:paraId="46D4070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玻璃棒</w:t>
            </w:r>
          </w:p>
        </w:tc>
        <w:tc>
          <w:tcPr>
            <w:tcW w:w="1425" w:type="dxa"/>
            <w:tcBorders>
              <w:tl2br w:val="nil"/>
              <w:tr2bl w:val="nil"/>
            </w:tcBorders>
            <w:noWrap w:val="0"/>
            <w:vAlign w:val="center"/>
          </w:tcPr>
          <w:p w14:paraId="474BCEF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E14215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玻璃棒直径Ф3mm～Ф4mm，长300mm</w:t>
            </w:r>
          </w:p>
        </w:tc>
        <w:tc>
          <w:tcPr>
            <w:tcW w:w="771" w:type="dxa"/>
            <w:tcBorders>
              <w:tl2br w:val="nil"/>
              <w:tr2bl w:val="nil"/>
            </w:tcBorders>
            <w:noWrap w:val="0"/>
            <w:vAlign w:val="center"/>
          </w:tcPr>
          <w:p w14:paraId="79323E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03C45D8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千克</w:t>
            </w:r>
          </w:p>
        </w:tc>
      </w:tr>
      <w:tr w14:paraId="6DBA4A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60580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156</w:t>
            </w:r>
          </w:p>
        </w:tc>
        <w:tc>
          <w:tcPr>
            <w:tcW w:w="1470" w:type="dxa"/>
            <w:tcBorders>
              <w:tl2br w:val="nil"/>
              <w:tr2bl w:val="nil"/>
            </w:tcBorders>
            <w:noWrap w:val="0"/>
            <w:vAlign w:val="center"/>
          </w:tcPr>
          <w:p w14:paraId="7267D3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玻璃棒</w:t>
            </w:r>
          </w:p>
        </w:tc>
        <w:tc>
          <w:tcPr>
            <w:tcW w:w="1425" w:type="dxa"/>
            <w:tcBorders>
              <w:tl2br w:val="nil"/>
              <w:tr2bl w:val="nil"/>
            </w:tcBorders>
            <w:noWrap w:val="0"/>
            <w:vAlign w:val="center"/>
          </w:tcPr>
          <w:p w14:paraId="792A3F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5DE64D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玻璃棒直径Ф5mm～Ф6mm，长300mm</w:t>
            </w:r>
          </w:p>
        </w:tc>
        <w:tc>
          <w:tcPr>
            <w:tcW w:w="771" w:type="dxa"/>
            <w:tcBorders>
              <w:tl2br w:val="nil"/>
              <w:tr2bl w:val="nil"/>
            </w:tcBorders>
            <w:noWrap w:val="0"/>
            <w:vAlign w:val="center"/>
          </w:tcPr>
          <w:p w14:paraId="3AFE9FB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41D8E03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千克</w:t>
            </w:r>
          </w:p>
        </w:tc>
      </w:tr>
      <w:tr w14:paraId="58453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546BF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157</w:t>
            </w:r>
          </w:p>
        </w:tc>
        <w:tc>
          <w:tcPr>
            <w:tcW w:w="1470" w:type="dxa"/>
            <w:tcBorders>
              <w:tl2br w:val="nil"/>
              <w:tr2bl w:val="nil"/>
            </w:tcBorders>
            <w:noWrap w:val="0"/>
            <w:vAlign w:val="center"/>
          </w:tcPr>
          <w:p w14:paraId="0EF806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橡胶管</w:t>
            </w:r>
          </w:p>
        </w:tc>
        <w:tc>
          <w:tcPr>
            <w:tcW w:w="1425" w:type="dxa"/>
            <w:tcBorders>
              <w:tl2br w:val="nil"/>
              <w:tr2bl w:val="nil"/>
            </w:tcBorders>
            <w:noWrap w:val="0"/>
            <w:vAlign w:val="center"/>
          </w:tcPr>
          <w:p w14:paraId="4D900F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218A52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外径9mm，内径6mm，乳白色，拉伸有弹性</w:t>
            </w:r>
          </w:p>
        </w:tc>
        <w:tc>
          <w:tcPr>
            <w:tcW w:w="771" w:type="dxa"/>
            <w:tcBorders>
              <w:tl2br w:val="nil"/>
              <w:tr2bl w:val="nil"/>
            </w:tcBorders>
            <w:noWrap w:val="0"/>
            <w:vAlign w:val="center"/>
          </w:tcPr>
          <w:p w14:paraId="5CEF0A8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229844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千克</w:t>
            </w:r>
          </w:p>
        </w:tc>
      </w:tr>
      <w:tr w14:paraId="30A75C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8A705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w:t>
            </w:r>
          </w:p>
        </w:tc>
        <w:tc>
          <w:tcPr>
            <w:tcW w:w="1470" w:type="dxa"/>
            <w:tcBorders>
              <w:tl2br w:val="nil"/>
              <w:tr2bl w:val="nil"/>
            </w:tcBorders>
            <w:noWrap w:val="0"/>
            <w:vAlign w:val="center"/>
          </w:tcPr>
          <w:p w14:paraId="6ECBB89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乳胶管</w:t>
            </w:r>
          </w:p>
        </w:tc>
        <w:tc>
          <w:tcPr>
            <w:tcW w:w="1425" w:type="dxa"/>
            <w:tcBorders>
              <w:tl2br w:val="nil"/>
              <w:tr2bl w:val="nil"/>
            </w:tcBorders>
            <w:noWrap w:val="0"/>
            <w:vAlign w:val="center"/>
          </w:tcPr>
          <w:p w14:paraId="2DBACCD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9A33DF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外径9mm、内径6mm，外径6mm、内径4mm乳胶管，长1m，各1份</w:t>
            </w:r>
          </w:p>
        </w:tc>
        <w:tc>
          <w:tcPr>
            <w:tcW w:w="771" w:type="dxa"/>
            <w:tcBorders>
              <w:tl2br w:val="nil"/>
              <w:tr2bl w:val="nil"/>
            </w:tcBorders>
            <w:noWrap w:val="0"/>
            <w:vAlign w:val="center"/>
          </w:tcPr>
          <w:p w14:paraId="75BABE3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w:t>
            </w:r>
          </w:p>
        </w:tc>
        <w:tc>
          <w:tcPr>
            <w:tcW w:w="772" w:type="dxa"/>
            <w:tcBorders>
              <w:tl2br w:val="nil"/>
              <w:tr2bl w:val="nil"/>
            </w:tcBorders>
            <w:noWrap w:val="0"/>
            <w:vAlign w:val="center"/>
          </w:tcPr>
          <w:p w14:paraId="4771F4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份</w:t>
            </w:r>
          </w:p>
        </w:tc>
      </w:tr>
      <w:tr w14:paraId="1ACDA9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7520F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159</w:t>
            </w:r>
          </w:p>
        </w:tc>
        <w:tc>
          <w:tcPr>
            <w:tcW w:w="1470" w:type="dxa"/>
            <w:tcBorders>
              <w:tl2br w:val="nil"/>
              <w:tr2bl w:val="nil"/>
            </w:tcBorders>
            <w:noWrap w:val="0"/>
            <w:vAlign w:val="center"/>
          </w:tcPr>
          <w:p w14:paraId="3BF277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单孔塞</w:t>
            </w:r>
          </w:p>
        </w:tc>
        <w:tc>
          <w:tcPr>
            <w:tcW w:w="1425" w:type="dxa"/>
            <w:tcBorders>
              <w:tl2br w:val="nil"/>
              <w:tr2bl w:val="nil"/>
            </w:tcBorders>
            <w:noWrap w:val="0"/>
            <w:vAlign w:val="center"/>
          </w:tcPr>
          <w:p w14:paraId="709A48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1F6D5E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3号200个，6号200个，7号100个，孔径：4mm、6mm两种</w:t>
            </w:r>
          </w:p>
        </w:tc>
        <w:tc>
          <w:tcPr>
            <w:tcW w:w="771" w:type="dxa"/>
            <w:tcBorders>
              <w:tl2br w:val="nil"/>
              <w:tr2bl w:val="nil"/>
            </w:tcBorders>
            <w:noWrap w:val="0"/>
            <w:vAlign w:val="center"/>
          </w:tcPr>
          <w:p w14:paraId="480249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E68DBB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份</w:t>
            </w:r>
          </w:p>
        </w:tc>
      </w:tr>
      <w:tr w14:paraId="56E7F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B0CAA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1470" w:type="dxa"/>
            <w:tcBorders>
              <w:tl2br w:val="nil"/>
              <w:tr2bl w:val="nil"/>
            </w:tcBorders>
            <w:noWrap w:val="0"/>
            <w:vAlign w:val="center"/>
          </w:tcPr>
          <w:p w14:paraId="2F96C6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双孔塞</w:t>
            </w:r>
          </w:p>
        </w:tc>
        <w:tc>
          <w:tcPr>
            <w:tcW w:w="1425" w:type="dxa"/>
            <w:tcBorders>
              <w:tl2br w:val="nil"/>
              <w:tr2bl w:val="nil"/>
            </w:tcBorders>
            <w:noWrap w:val="0"/>
            <w:vAlign w:val="center"/>
          </w:tcPr>
          <w:p w14:paraId="7866CEF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B1D0DA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7号100个，孔径：4mm、6mm两种</w:t>
            </w:r>
          </w:p>
        </w:tc>
        <w:tc>
          <w:tcPr>
            <w:tcW w:w="771" w:type="dxa"/>
            <w:tcBorders>
              <w:tl2br w:val="nil"/>
              <w:tr2bl w:val="nil"/>
            </w:tcBorders>
            <w:noWrap w:val="0"/>
            <w:vAlign w:val="center"/>
          </w:tcPr>
          <w:p w14:paraId="20139F3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18C47D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份</w:t>
            </w:r>
          </w:p>
        </w:tc>
      </w:tr>
      <w:tr w14:paraId="24DAEE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5A114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161</w:t>
            </w:r>
          </w:p>
        </w:tc>
        <w:tc>
          <w:tcPr>
            <w:tcW w:w="1470" w:type="dxa"/>
            <w:tcBorders>
              <w:tl2br w:val="nil"/>
              <w:tr2bl w:val="nil"/>
            </w:tcBorders>
            <w:noWrap w:val="0"/>
            <w:vAlign w:val="center"/>
          </w:tcPr>
          <w:p w14:paraId="1E7CEB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橡胶塞</w:t>
            </w:r>
          </w:p>
        </w:tc>
        <w:tc>
          <w:tcPr>
            <w:tcW w:w="1425" w:type="dxa"/>
            <w:tcBorders>
              <w:tl2br w:val="nil"/>
              <w:tr2bl w:val="nil"/>
            </w:tcBorders>
            <w:noWrap w:val="0"/>
            <w:vAlign w:val="center"/>
          </w:tcPr>
          <w:p w14:paraId="3BD5640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DA2784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白胶塞，00号200个，0号300个，2号80个，3号200个，4号10个，6号10个，7号10个，9号5个</w:t>
            </w:r>
          </w:p>
        </w:tc>
        <w:tc>
          <w:tcPr>
            <w:tcW w:w="771" w:type="dxa"/>
            <w:tcBorders>
              <w:tl2br w:val="nil"/>
              <w:tr2bl w:val="nil"/>
            </w:tcBorders>
            <w:noWrap w:val="0"/>
            <w:vAlign w:val="center"/>
          </w:tcPr>
          <w:p w14:paraId="7CBDAC1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21605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份</w:t>
            </w:r>
          </w:p>
        </w:tc>
      </w:tr>
      <w:tr w14:paraId="0D6980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000C3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162</w:t>
            </w:r>
          </w:p>
        </w:tc>
        <w:tc>
          <w:tcPr>
            <w:tcW w:w="1470" w:type="dxa"/>
            <w:tcBorders>
              <w:tl2br w:val="nil"/>
              <w:tr2bl w:val="nil"/>
            </w:tcBorders>
            <w:noWrap w:val="0"/>
            <w:vAlign w:val="center"/>
          </w:tcPr>
          <w:p w14:paraId="676F17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试管刷</w:t>
            </w:r>
          </w:p>
        </w:tc>
        <w:tc>
          <w:tcPr>
            <w:tcW w:w="1425" w:type="dxa"/>
            <w:tcBorders>
              <w:tl2br w:val="nil"/>
              <w:tr2bl w:val="nil"/>
            </w:tcBorders>
            <w:noWrap w:val="0"/>
            <w:vAlign w:val="center"/>
          </w:tcPr>
          <w:p w14:paraId="0C873C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1BDFA1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小号30个，中号50个，大号30，刷毛为猪鬃</w:t>
            </w:r>
          </w:p>
        </w:tc>
        <w:tc>
          <w:tcPr>
            <w:tcW w:w="771" w:type="dxa"/>
            <w:tcBorders>
              <w:tl2br w:val="nil"/>
              <w:tr2bl w:val="nil"/>
            </w:tcBorders>
            <w:noWrap w:val="0"/>
            <w:vAlign w:val="center"/>
          </w:tcPr>
          <w:p w14:paraId="61CF4E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131A63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份</w:t>
            </w:r>
          </w:p>
        </w:tc>
      </w:tr>
      <w:tr w14:paraId="5F0C4A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FBE72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163</w:t>
            </w:r>
          </w:p>
        </w:tc>
        <w:tc>
          <w:tcPr>
            <w:tcW w:w="1470" w:type="dxa"/>
            <w:tcBorders>
              <w:tl2br w:val="nil"/>
              <w:tr2bl w:val="nil"/>
            </w:tcBorders>
            <w:noWrap w:val="0"/>
            <w:vAlign w:val="center"/>
          </w:tcPr>
          <w:p w14:paraId="6138E65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烧瓶刷</w:t>
            </w:r>
          </w:p>
        </w:tc>
        <w:tc>
          <w:tcPr>
            <w:tcW w:w="1425" w:type="dxa"/>
            <w:tcBorders>
              <w:tl2br w:val="nil"/>
              <w:tr2bl w:val="nil"/>
            </w:tcBorders>
            <w:noWrap w:val="0"/>
            <w:vAlign w:val="center"/>
          </w:tcPr>
          <w:p w14:paraId="2D705C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6D7595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铁丝、猪鬃毛，250mL和500mL烧瓶用各一个</w:t>
            </w:r>
          </w:p>
        </w:tc>
        <w:tc>
          <w:tcPr>
            <w:tcW w:w="771" w:type="dxa"/>
            <w:tcBorders>
              <w:tl2br w:val="nil"/>
              <w:tr2bl w:val="nil"/>
            </w:tcBorders>
            <w:noWrap w:val="0"/>
            <w:vAlign w:val="center"/>
          </w:tcPr>
          <w:p w14:paraId="37448FF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w:t>
            </w:r>
          </w:p>
        </w:tc>
        <w:tc>
          <w:tcPr>
            <w:tcW w:w="772" w:type="dxa"/>
            <w:tcBorders>
              <w:tl2br w:val="nil"/>
              <w:tr2bl w:val="nil"/>
            </w:tcBorders>
            <w:noWrap w:val="0"/>
            <w:vAlign w:val="center"/>
          </w:tcPr>
          <w:p w14:paraId="0C45CC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份</w:t>
            </w:r>
          </w:p>
        </w:tc>
      </w:tr>
      <w:tr w14:paraId="05768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A183B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164</w:t>
            </w:r>
          </w:p>
        </w:tc>
        <w:tc>
          <w:tcPr>
            <w:tcW w:w="1470" w:type="dxa"/>
            <w:tcBorders>
              <w:tl2br w:val="nil"/>
              <w:tr2bl w:val="nil"/>
            </w:tcBorders>
            <w:noWrap w:val="0"/>
            <w:vAlign w:val="center"/>
          </w:tcPr>
          <w:p w14:paraId="53D84DF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结晶皿</w:t>
            </w:r>
          </w:p>
        </w:tc>
        <w:tc>
          <w:tcPr>
            <w:tcW w:w="1425" w:type="dxa"/>
            <w:tcBorders>
              <w:tl2br w:val="nil"/>
              <w:tr2bl w:val="nil"/>
            </w:tcBorders>
            <w:noWrap w:val="0"/>
            <w:vAlign w:val="center"/>
          </w:tcPr>
          <w:p w14:paraId="5B57602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2DE8E5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无色硼硅玻璃制，外径90mm，高度45mm，厚度1.2mm～2mm。</w:t>
            </w:r>
          </w:p>
        </w:tc>
        <w:tc>
          <w:tcPr>
            <w:tcW w:w="771" w:type="dxa"/>
            <w:tcBorders>
              <w:tl2br w:val="nil"/>
              <w:tr2bl w:val="nil"/>
            </w:tcBorders>
            <w:noWrap w:val="0"/>
            <w:vAlign w:val="center"/>
          </w:tcPr>
          <w:p w14:paraId="5AA8C5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32F1236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D7D2B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47CAF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165</w:t>
            </w:r>
          </w:p>
        </w:tc>
        <w:tc>
          <w:tcPr>
            <w:tcW w:w="1470" w:type="dxa"/>
            <w:tcBorders>
              <w:tl2br w:val="nil"/>
              <w:tr2bl w:val="nil"/>
            </w:tcBorders>
            <w:noWrap w:val="0"/>
            <w:vAlign w:val="center"/>
          </w:tcPr>
          <w:p w14:paraId="5081776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表面皿</w:t>
            </w:r>
          </w:p>
        </w:tc>
        <w:tc>
          <w:tcPr>
            <w:tcW w:w="1425" w:type="dxa"/>
            <w:tcBorders>
              <w:tl2br w:val="nil"/>
              <w:tr2bl w:val="nil"/>
            </w:tcBorders>
            <w:noWrap w:val="0"/>
            <w:vAlign w:val="center"/>
          </w:tcPr>
          <w:p w14:paraId="4A848F7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D97661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无色透明硼硅玻璃制，皿口直径φ60mm，皿面曲率半径60mm</w:t>
            </w:r>
          </w:p>
        </w:tc>
        <w:tc>
          <w:tcPr>
            <w:tcW w:w="771" w:type="dxa"/>
            <w:tcBorders>
              <w:tl2br w:val="nil"/>
              <w:tr2bl w:val="nil"/>
            </w:tcBorders>
            <w:noWrap w:val="0"/>
            <w:vAlign w:val="center"/>
          </w:tcPr>
          <w:p w14:paraId="66E50A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5D0A85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6DF636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92E7B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166</w:t>
            </w:r>
          </w:p>
        </w:tc>
        <w:tc>
          <w:tcPr>
            <w:tcW w:w="1470" w:type="dxa"/>
            <w:tcBorders>
              <w:tl2br w:val="nil"/>
              <w:tr2bl w:val="nil"/>
            </w:tcBorders>
            <w:noWrap w:val="0"/>
            <w:vAlign w:val="center"/>
          </w:tcPr>
          <w:p w14:paraId="235064F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表面皿</w:t>
            </w:r>
          </w:p>
        </w:tc>
        <w:tc>
          <w:tcPr>
            <w:tcW w:w="1425" w:type="dxa"/>
            <w:tcBorders>
              <w:tl2br w:val="nil"/>
              <w:tr2bl w:val="nil"/>
            </w:tcBorders>
            <w:noWrap w:val="0"/>
            <w:vAlign w:val="center"/>
          </w:tcPr>
          <w:p w14:paraId="15F0F0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7C5C49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无色透明硼硅玻璃制，皿口直径φ100mm，皿面曲率半径105mm</w:t>
            </w:r>
          </w:p>
        </w:tc>
        <w:tc>
          <w:tcPr>
            <w:tcW w:w="771" w:type="dxa"/>
            <w:tcBorders>
              <w:tl2br w:val="nil"/>
              <w:tr2bl w:val="nil"/>
            </w:tcBorders>
            <w:noWrap w:val="0"/>
            <w:vAlign w:val="center"/>
          </w:tcPr>
          <w:p w14:paraId="327B26D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7F1B042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4C3308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82FEB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167</w:t>
            </w:r>
          </w:p>
        </w:tc>
        <w:tc>
          <w:tcPr>
            <w:tcW w:w="1470" w:type="dxa"/>
            <w:tcBorders>
              <w:tl2br w:val="nil"/>
              <w:tr2bl w:val="nil"/>
            </w:tcBorders>
            <w:noWrap w:val="0"/>
            <w:vAlign w:val="center"/>
          </w:tcPr>
          <w:p w14:paraId="736867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研钵</w:t>
            </w:r>
          </w:p>
        </w:tc>
        <w:tc>
          <w:tcPr>
            <w:tcW w:w="1425" w:type="dxa"/>
            <w:tcBorders>
              <w:tl2br w:val="nil"/>
              <w:tr2bl w:val="nil"/>
            </w:tcBorders>
            <w:noWrap w:val="0"/>
            <w:vAlign w:val="center"/>
          </w:tcPr>
          <w:p w14:paraId="65F6557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008A160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瓷，外口径70mm，高38mm，玻璃杵Ф8mm×90mm</w:t>
            </w:r>
          </w:p>
        </w:tc>
        <w:tc>
          <w:tcPr>
            <w:tcW w:w="771" w:type="dxa"/>
            <w:tcBorders>
              <w:tl2br w:val="nil"/>
              <w:tr2bl w:val="nil"/>
            </w:tcBorders>
            <w:noWrap w:val="0"/>
            <w:vAlign w:val="center"/>
          </w:tcPr>
          <w:p w14:paraId="5490E1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0EB390A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19AE0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4459F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168</w:t>
            </w:r>
          </w:p>
        </w:tc>
        <w:tc>
          <w:tcPr>
            <w:tcW w:w="1470" w:type="dxa"/>
            <w:tcBorders>
              <w:tl2br w:val="nil"/>
              <w:tr2bl w:val="nil"/>
            </w:tcBorders>
            <w:noWrap w:val="0"/>
            <w:vAlign w:val="center"/>
          </w:tcPr>
          <w:p w14:paraId="783CE51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研钵</w:t>
            </w:r>
          </w:p>
        </w:tc>
        <w:tc>
          <w:tcPr>
            <w:tcW w:w="1425" w:type="dxa"/>
            <w:tcBorders>
              <w:tl2br w:val="nil"/>
              <w:tr2bl w:val="nil"/>
            </w:tcBorders>
            <w:noWrap w:val="0"/>
            <w:vAlign w:val="center"/>
          </w:tcPr>
          <w:p w14:paraId="173289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7B3EDE6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瓷，外口径100mm，内径90mm，全高65mm，研锤长105mm，玻璃杵Ф12mm×120mm</w:t>
            </w:r>
          </w:p>
        </w:tc>
        <w:tc>
          <w:tcPr>
            <w:tcW w:w="771" w:type="dxa"/>
            <w:tcBorders>
              <w:tl2br w:val="nil"/>
              <w:tr2bl w:val="nil"/>
            </w:tcBorders>
            <w:noWrap w:val="0"/>
            <w:vAlign w:val="center"/>
          </w:tcPr>
          <w:p w14:paraId="6834312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772" w:type="dxa"/>
            <w:tcBorders>
              <w:tl2br w:val="nil"/>
              <w:tr2bl w:val="nil"/>
            </w:tcBorders>
            <w:noWrap w:val="0"/>
            <w:vAlign w:val="center"/>
          </w:tcPr>
          <w:p w14:paraId="7C6F50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D37BF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96C63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169</w:t>
            </w:r>
          </w:p>
        </w:tc>
        <w:tc>
          <w:tcPr>
            <w:tcW w:w="1470" w:type="dxa"/>
            <w:tcBorders>
              <w:tl2br w:val="nil"/>
              <w:tr2bl w:val="nil"/>
            </w:tcBorders>
            <w:noWrap w:val="0"/>
            <w:vAlign w:val="center"/>
          </w:tcPr>
          <w:p w14:paraId="1E9BB2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蒸发皿</w:t>
            </w:r>
          </w:p>
        </w:tc>
        <w:tc>
          <w:tcPr>
            <w:tcW w:w="1425" w:type="dxa"/>
            <w:tcBorders>
              <w:tl2br w:val="nil"/>
              <w:tr2bl w:val="nil"/>
            </w:tcBorders>
            <w:noWrap w:val="0"/>
            <w:vAlign w:val="center"/>
          </w:tcPr>
          <w:p w14:paraId="3E33CF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D87146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有嘴圆皿，50mL，皿口外径72mm，皿高28mm</w:t>
            </w:r>
          </w:p>
        </w:tc>
        <w:tc>
          <w:tcPr>
            <w:tcW w:w="771" w:type="dxa"/>
            <w:tcBorders>
              <w:tl2br w:val="nil"/>
              <w:tr2bl w:val="nil"/>
            </w:tcBorders>
            <w:noWrap w:val="0"/>
            <w:vAlign w:val="center"/>
          </w:tcPr>
          <w:p w14:paraId="16E74D5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243659B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7603F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1E6AD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1470" w:type="dxa"/>
            <w:tcBorders>
              <w:tl2br w:val="nil"/>
              <w:tr2bl w:val="nil"/>
            </w:tcBorders>
            <w:noWrap w:val="0"/>
            <w:vAlign w:val="center"/>
          </w:tcPr>
          <w:p w14:paraId="0A2E980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蒸发皿</w:t>
            </w:r>
          </w:p>
        </w:tc>
        <w:tc>
          <w:tcPr>
            <w:tcW w:w="1425" w:type="dxa"/>
            <w:tcBorders>
              <w:tl2br w:val="nil"/>
              <w:tr2bl w:val="nil"/>
            </w:tcBorders>
            <w:noWrap w:val="0"/>
            <w:vAlign w:val="center"/>
          </w:tcPr>
          <w:p w14:paraId="36DE222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3AB78E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有嘴圆皿，100mL，皿口外径91mm，皿高35mm</w:t>
            </w:r>
          </w:p>
        </w:tc>
        <w:tc>
          <w:tcPr>
            <w:tcW w:w="771" w:type="dxa"/>
            <w:tcBorders>
              <w:tl2br w:val="nil"/>
              <w:tr2bl w:val="nil"/>
            </w:tcBorders>
            <w:noWrap w:val="0"/>
            <w:vAlign w:val="center"/>
          </w:tcPr>
          <w:p w14:paraId="223D3F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35</w:t>
            </w:r>
          </w:p>
        </w:tc>
        <w:tc>
          <w:tcPr>
            <w:tcW w:w="772" w:type="dxa"/>
            <w:tcBorders>
              <w:tl2br w:val="nil"/>
              <w:tr2bl w:val="nil"/>
            </w:tcBorders>
            <w:noWrap w:val="0"/>
            <w:vAlign w:val="center"/>
          </w:tcPr>
          <w:p w14:paraId="221B163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6DE62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839CA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171</w:t>
            </w:r>
          </w:p>
        </w:tc>
        <w:tc>
          <w:tcPr>
            <w:tcW w:w="1470" w:type="dxa"/>
            <w:tcBorders>
              <w:tl2br w:val="nil"/>
              <w:tr2bl w:val="nil"/>
            </w:tcBorders>
            <w:noWrap w:val="0"/>
            <w:vAlign w:val="center"/>
          </w:tcPr>
          <w:p w14:paraId="35C1DF9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燃烧舟</w:t>
            </w:r>
          </w:p>
        </w:tc>
        <w:tc>
          <w:tcPr>
            <w:tcW w:w="1425" w:type="dxa"/>
            <w:tcBorders>
              <w:tl2br w:val="nil"/>
              <w:tr2bl w:val="nil"/>
            </w:tcBorders>
            <w:noWrap w:val="0"/>
            <w:vAlign w:val="center"/>
          </w:tcPr>
          <w:p w14:paraId="46B6182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1579EC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瓷方舟，60mm×30mm×15mm</w:t>
            </w:r>
          </w:p>
        </w:tc>
        <w:tc>
          <w:tcPr>
            <w:tcW w:w="771" w:type="dxa"/>
            <w:tcBorders>
              <w:tl2br w:val="nil"/>
              <w:tr2bl w:val="nil"/>
            </w:tcBorders>
            <w:noWrap w:val="0"/>
            <w:vAlign w:val="center"/>
          </w:tcPr>
          <w:p w14:paraId="79EF6E1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306601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A18D5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6154E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172</w:t>
            </w:r>
          </w:p>
        </w:tc>
        <w:tc>
          <w:tcPr>
            <w:tcW w:w="1470" w:type="dxa"/>
            <w:tcBorders>
              <w:tl2br w:val="nil"/>
              <w:tr2bl w:val="nil"/>
            </w:tcBorders>
            <w:noWrap w:val="0"/>
            <w:vAlign w:val="center"/>
          </w:tcPr>
          <w:p w14:paraId="183DB87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反应板</w:t>
            </w:r>
          </w:p>
        </w:tc>
        <w:tc>
          <w:tcPr>
            <w:tcW w:w="1425" w:type="dxa"/>
            <w:tcBorders>
              <w:tl2br w:val="nil"/>
              <w:tr2bl w:val="nil"/>
            </w:tcBorders>
            <w:noWrap w:val="0"/>
            <w:vAlign w:val="center"/>
          </w:tcPr>
          <w:p w14:paraId="45D9608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EB989C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白色陶瓷，6孔反应板</w:t>
            </w:r>
          </w:p>
        </w:tc>
        <w:tc>
          <w:tcPr>
            <w:tcW w:w="771" w:type="dxa"/>
            <w:tcBorders>
              <w:tl2br w:val="nil"/>
              <w:tr2bl w:val="nil"/>
            </w:tcBorders>
            <w:noWrap w:val="0"/>
            <w:vAlign w:val="center"/>
          </w:tcPr>
          <w:p w14:paraId="406DB7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2018DB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5DBE81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E80A7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w:t>
            </w:r>
          </w:p>
        </w:tc>
        <w:tc>
          <w:tcPr>
            <w:tcW w:w="1470" w:type="dxa"/>
            <w:tcBorders>
              <w:tl2br w:val="nil"/>
              <w:tr2bl w:val="nil"/>
            </w:tcBorders>
            <w:noWrap w:val="0"/>
            <w:vAlign w:val="center"/>
          </w:tcPr>
          <w:p w14:paraId="5A8D8C9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井穴板</w:t>
            </w:r>
          </w:p>
        </w:tc>
        <w:tc>
          <w:tcPr>
            <w:tcW w:w="1425" w:type="dxa"/>
            <w:tcBorders>
              <w:tl2br w:val="nil"/>
              <w:tr2bl w:val="nil"/>
            </w:tcBorders>
            <w:noWrap w:val="0"/>
            <w:vAlign w:val="center"/>
          </w:tcPr>
          <w:p w14:paraId="3A4B23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6CA2200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透明塑料制，9孔，0.7mL×9</w:t>
            </w:r>
          </w:p>
        </w:tc>
        <w:tc>
          <w:tcPr>
            <w:tcW w:w="771" w:type="dxa"/>
            <w:tcBorders>
              <w:tl2br w:val="nil"/>
              <w:tr2bl w:val="nil"/>
            </w:tcBorders>
            <w:noWrap w:val="0"/>
            <w:vAlign w:val="center"/>
          </w:tcPr>
          <w:p w14:paraId="1D2F19F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307E728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15189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3E0E6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174</w:t>
            </w:r>
          </w:p>
        </w:tc>
        <w:tc>
          <w:tcPr>
            <w:tcW w:w="1470" w:type="dxa"/>
            <w:tcBorders>
              <w:tl2br w:val="nil"/>
              <w:tr2bl w:val="nil"/>
            </w:tcBorders>
            <w:noWrap w:val="0"/>
            <w:vAlign w:val="center"/>
          </w:tcPr>
          <w:p w14:paraId="2D1D92E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井穴板</w:t>
            </w:r>
          </w:p>
        </w:tc>
        <w:tc>
          <w:tcPr>
            <w:tcW w:w="1425" w:type="dxa"/>
            <w:tcBorders>
              <w:tl2br w:val="nil"/>
              <w:tr2bl w:val="nil"/>
            </w:tcBorders>
            <w:noWrap w:val="0"/>
            <w:vAlign w:val="center"/>
          </w:tcPr>
          <w:p w14:paraId="43B0DB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4416D7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透明塑料制，6孔，5mL×6，配6个双导气管的井穴塞</w:t>
            </w:r>
          </w:p>
        </w:tc>
        <w:tc>
          <w:tcPr>
            <w:tcW w:w="771" w:type="dxa"/>
            <w:tcBorders>
              <w:tl2br w:val="nil"/>
              <w:tr2bl w:val="nil"/>
            </w:tcBorders>
            <w:noWrap w:val="0"/>
            <w:vAlign w:val="center"/>
          </w:tcPr>
          <w:p w14:paraId="045B31A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5D8DFB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17FFD1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D4BC1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175</w:t>
            </w:r>
          </w:p>
        </w:tc>
        <w:tc>
          <w:tcPr>
            <w:tcW w:w="1470" w:type="dxa"/>
            <w:tcBorders>
              <w:tl2br w:val="nil"/>
              <w:tr2bl w:val="nil"/>
            </w:tcBorders>
            <w:noWrap w:val="0"/>
            <w:vAlign w:val="center"/>
          </w:tcPr>
          <w:p w14:paraId="51EC12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塑料多用滴管</w:t>
            </w:r>
          </w:p>
        </w:tc>
        <w:tc>
          <w:tcPr>
            <w:tcW w:w="1425" w:type="dxa"/>
            <w:tcBorders>
              <w:tl2br w:val="nil"/>
              <w:tr2bl w:val="nil"/>
            </w:tcBorders>
            <w:noWrap w:val="0"/>
            <w:vAlign w:val="center"/>
          </w:tcPr>
          <w:p w14:paraId="056D2C2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4713D6B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塑料制，弹性圆筒形吸泡，容积4ml，一根φ1×120mm的径管连接而成</w:t>
            </w:r>
          </w:p>
        </w:tc>
        <w:tc>
          <w:tcPr>
            <w:tcW w:w="771" w:type="dxa"/>
            <w:tcBorders>
              <w:tl2br w:val="nil"/>
              <w:tr2bl w:val="nil"/>
            </w:tcBorders>
            <w:noWrap w:val="0"/>
            <w:vAlign w:val="center"/>
          </w:tcPr>
          <w:p w14:paraId="480B6A4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500</w:t>
            </w:r>
          </w:p>
        </w:tc>
        <w:tc>
          <w:tcPr>
            <w:tcW w:w="772" w:type="dxa"/>
            <w:tcBorders>
              <w:tl2br w:val="nil"/>
              <w:tr2bl w:val="nil"/>
            </w:tcBorders>
            <w:noWrap w:val="0"/>
            <w:vAlign w:val="center"/>
          </w:tcPr>
          <w:p w14:paraId="5F50CEE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w:t>
            </w:r>
          </w:p>
        </w:tc>
      </w:tr>
      <w:tr w14:paraId="4DEE1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39E4D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176</w:t>
            </w:r>
          </w:p>
        </w:tc>
        <w:tc>
          <w:tcPr>
            <w:tcW w:w="1470" w:type="dxa"/>
            <w:tcBorders>
              <w:tl2br w:val="nil"/>
              <w:tr2bl w:val="nil"/>
            </w:tcBorders>
            <w:noWrap w:val="0"/>
            <w:vAlign w:val="center"/>
          </w:tcPr>
          <w:p w14:paraId="795F7D1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洗耳球</w:t>
            </w:r>
          </w:p>
        </w:tc>
        <w:tc>
          <w:tcPr>
            <w:tcW w:w="1425" w:type="dxa"/>
            <w:tcBorders>
              <w:tl2br w:val="nil"/>
              <w:tr2bl w:val="nil"/>
            </w:tcBorders>
            <w:noWrap w:val="0"/>
            <w:vAlign w:val="center"/>
          </w:tcPr>
          <w:p w14:paraId="761EFA5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5885B34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90mL，橡胶</w:t>
            </w:r>
          </w:p>
        </w:tc>
        <w:tc>
          <w:tcPr>
            <w:tcW w:w="771" w:type="dxa"/>
            <w:tcBorders>
              <w:tl2br w:val="nil"/>
              <w:tr2bl w:val="nil"/>
            </w:tcBorders>
            <w:noWrap w:val="0"/>
            <w:vAlign w:val="center"/>
          </w:tcPr>
          <w:p w14:paraId="7B182C2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69DBE6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3A55AE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495CF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w:t>
            </w:r>
          </w:p>
        </w:tc>
        <w:tc>
          <w:tcPr>
            <w:tcW w:w="1470" w:type="dxa"/>
            <w:tcBorders>
              <w:tl2br w:val="nil"/>
              <w:tr2bl w:val="nil"/>
            </w:tcBorders>
            <w:noWrap w:val="0"/>
            <w:vAlign w:val="center"/>
          </w:tcPr>
          <w:p w14:paraId="63C69E9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毛细吸管</w:t>
            </w:r>
          </w:p>
        </w:tc>
        <w:tc>
          <w:tcPr>
            <w:tcW w:w="1425" w:type="dxa"/>
            <w:tcBorders>
              <w:tl2br w:val="nil"/>
              <w:tr2bl w:val="nil"/>
            </w:tcBorders>
            <w:noWrap w:val="0"/>
            <w:vAlign w:val="center"/>
          </w:tcPr>
          <w:p w14:paraId="573B06E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3722AF0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内径0.3mm，外径5mm～6mm</w:t>
            </w:r>
          </w:p>
        </w:tc>
        <w:tc>
          <w:tcPr>
            <w:tcW w:w="771" w:type="dxa"/>
            <w:tcBorders>
              <w:tl2br w:val="nil"/>
              <w:tr2bl w:val="nil"/>
            </w:tcBorders>
            <w:noWrap w:val="0"/>
            <w:vAlign w:val="center"/>
          </w:tcPr>
          <w:p w14:paraId="65662DC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08854D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根</w:t>
            </w:r>
          </w:p>
        </w:tc>
      </w:tr>
      <w:tr w14:paraId="2F33E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A5B3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178</w:t>
            </w:r>
          </w:p>
        </w:tc>
        <w:tc>
          <w:tcPr>
            <w:tcW w:w="1470" w:type="dxa"/>
            <w:tcBorders>
              <w:tl2br w:val="nil"/>
              <w:tr2bl w:val="nil"/>
            </w:tcBorders>
            <w:noWrap w:val="0"/>
            <w:vAlign w:val="center"/>
          </w:tcPr>
          <w:p w14:paraId="33783B0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培养皿</w:t>
            </w:r>
          </w:p>
        </w:tc>
        <w:tc>
          <w:tcPr>
            <w:tcW w:w="1425" w:type="dxa"/>
            <w:tcBorders>
              <w:tl2br w:val="nil"/>
              <w:tr2bl w:val="nil"/>
            </w:tcBorders>
            <w:noWrap w:val="0"/>
            <w:vAlign w:val="center"/>
          </w:tcPr>
          <w:p w14:paraId="28A3231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5B97CF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无色透明玻璃制，60mm，底外径62mm，皿盖高14mm，皿底高15mm，壁厚1.2mm～2mm</w:t>
            </w:r>
          </w:p>
        </w:tc>
        <w:tc>
          <w:tcPr>
            <w:tcW w:w="771" w:type="dxa"/>
            <w:tcBorders>
              <w:tl2br w:val="nil"/>
              <w:tr2bl w:val="nil"/>
            </w:tcBorders>
            <w:noWrap w:val="0"/>
            <w:vAlign w:val="center"/>
          </w:tcPr>
          <w:p w14:paraId="281CF1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72" w:type="dxa"/>
            <w:tcBorders>
              <w:tl2br w:val="nil"/>
              <w:tr2bl w:val="nil"/>
            </w:tcBorders>
            <w:noWrap w:val="0"/>
            <w:vAlign w:val="center"/>
          </w:tcPr>
          <w:p w14:paraId="10E283F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r>
      <w:tr w14:paraId="053A1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2BAD3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179</w:t>
            </w:r>
          </w:p>
        </w:tc>
        <w:tc>
          <w:tcPr>
            <w:tcW w:w="1470" w:type="dxa"/>
            <w:tcBorders>
              <w:tl2br w:val="nil"/>
              <w:tr2bl w:val="nil"/>
            </w:tcBorders>
            <w:noWrap w:val="0"/>
            <w:vAlign w:val="center"/>
          </w:tcPr>
          <w:p w14:paraId="6EE3C4E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pH广范围试纸</w:t>
            </w:r>
          </w:p>
        </w:tc>
        <w:tc>
          <w:tcPr>
            <w:tcW w:w="1425" w:type="dxa"/>
            <w:tcBorders>
              <w:tl2br w:val="nil"/>
              <w:tr2bl w:val="nil"/>
            </w:tcBorders>
            <w:noWrap w:val="0"/>
            <w:vAlign w:val="center"/>
          </w:tcPr>
          <w:p w14:paraId="30F6ADC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195EC4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1～14</w:t>
            </w:r>
          </w:p>
        </w:tc>
        <w:tc>
          <w:tcPr>
            <w:tcW w:w="771" w:type="dxa"/>
            <w:tcBorders>
              <w:tl2br w:val="nil"/>
              <w:tr2bl w:val="nil"/>
            </w:tcBorders>
            <w:noWrap w:val="0"/>
            <w:vAlign w:val="center"/>
          </w:tcPr>
          <w:p w14:paraId="206B38F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772" w:type="dxa"/>
            <w:tcBorders>
              <w:tl2br w:val="nil"/>
              <w:tr2bl w:val="nil"/>
            </w:tcBorders>
            <w:noWrap w:val="0"/>
            <w:vAlign w:val="center"/>
          </w:tcPr>
          <w:p w14:paraId="432A96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本</w:t>
            </w:r>
          </w:p>
        </w:tc>
      </w:tr>
      <w:tr w14:paraId="3C4BF9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38527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1470" w:type="dxa"/>
            <w:tcBorders>
              <w:tl2br w:val="nil"/>
              <w:tr2bl w:val="nil"/>
            </w:tcBorders>
            <w:noWrap w:val="0"/>
            <w:vAlign w:val="center"/>
          </w:tcPr>
          <w:p w14:paraId="1572B6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蓝石蕊试纸</w:t>
            </w:r>
          </w:p>
        </w:tc>
        <w:tc>
          <w:tcPr>
            <w:tcW w:w="1425" w:type="dxa"/>
            <w:tcBorders>
              <w:tl2br w:val="nil"/>
              <w:tr2bl w:val="nil"/>
            </w:tcBorders>
            <w:noWrap w:val="0"/>
            <w:vAlign w:val="center"/>
          </w:tcPr>
          <w:p w14:paraId="62AB60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2DCE0C5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100片</w:t>
            </w:r>
          </w:p>
        </w:tc>
        <w:tc>
          <w:tcPr>
            <w:tcW w:w="771" w:type="dxa"/>
            <w:tcBorders>
              <w:tl2br w:val="nil"/>
              <w:tr2bl w:val="nil"/>
            </w:tcBorders>
            <w:noWrap w:val="0"/>
            <w:vAlign w:val="center"/>
          </w:tcPr>
          <w:p w14:paraId="616100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772" w:type="dxa"/>
            <w:tcBorders>
              <w:tl2br w:val="nil"/>
              <w:tr2bl w:val="nil"/>
            </w:tcBorders>
            <w:noWrap w:val="0"/>
            <w:vAlign w:val="center"/>
          </w:tcPr>
          <w:p w14:paraId="3E024C5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本</w:t>
            </w:r>
          </w:p>
        </w:tc>
      </w:tr>
      <w:tr w14:paraId="0F42FB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59B01D4">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181</w:t>
            </w:r>
          </w:p>
        </w:tc>
        <w:tc>
          <w:tcPr>
            <w:tcW w:w="1470" w:type="dxa"/>
            <w:tcBorders>
              <w:tl2br w:val="nil"/>
              <w:tr2bl w:val="nil"/>
            </w:tcBorders>
            <w:noWrap w:val="0"/>
            <w:vAlign w:val="center"/>
          </w:tcPr>
          <w:p w14:paraId="6A8441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红石蕊试纸</w:t>
            </w:r>
          </w:p>
        </w:tc>
        <w:tc>
          <w:tcPr>
            <w:tcW w:w="1425" w:type="dxa"/>
            <w:tcBorders>
              <w:tl2br w:val="nil"/>
              <w:tr2bl w:val="nil"/>
            </w:tcBorders>
            <w:noWrap w:val="0"/>
            <w:vAlign w:val="center"/>
          </w:tcPr>
          <w:p w14:paraId="227FA87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9EA723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100片</w:t>
            </w:r>
          </w:p>
        </w:tc>
        <w:tc>
          <w:tcPr>
            <w:tcW w:w="771" w:type="dxa"/>
            <w:tcBorders>
              <w:tl2br w:val="nil"/>
              <w:tr2bl w:val="nil"/>
            </w:tcBorders>
            <w:noWrap w:val="0"/>
            <w:vAlign w:val="center"/>
          </w:tcPr>
          <w:p w14:paraId="653B8B2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772" w:type="dxa"/>
            <w:tcBorders>
              <w:tl2br w:val="nil"/>
              <w:tr2bl w:val="nil"/>
            </w:tcBorders>
            <w:noWrap w:val="0"/>
            <w:vAlign w:val="center"/>
          </w:tcPr>
          <w:p w14:paraId="1E8A3D8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本</w:t>
            </w:r>
          </w:p>
        </w:tc>
      </w:tr>
      <w:tr w14:paraId="0725F5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9C10199">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182</w:t>
            </w:r>
          </w:p>
        </w:tc>
        <w:tc>
          <w:tcPr>
            <w:tcW w:w="1470" w:type="dxa"/>
            <w:tcBorders>
              <w:tl2br w:val="nil"/>
              <w:tr2bl w:val="nil"/>
            </w:tcBorders>
            <w:noWrap w:val="0"/>
            <w:vAlign w:val="center"/>
          </w:tcPr>
          <w:p w14:paraId="5EB5454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传感器便携终端</w:t>
            </w:r>
          </w:p>
        </w:tc>
        <w:tc>
          <w:tcPr>
            <w:tcW w:w="1425" w:type="dxa"/>
            <w:tcBorders>
              <w:tl2br w:val="nil"/>
              <w:tr2bl w:val="nil"/>
            </w:tcBorders>
            <w:noWrap w:val="0"/>
            <w:vAlign w:val="center"/>
          </w:tcPr>
          <w:p w14:paraId="65EB606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noWrap w:val="0"/>
            <w:vAlign w:val="center"/>
          </w:tcPr>
          <w:p w14:paraId="15D0D87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I7-13700H （14核/2.4GHz）16G 1TSSD  W11H/14寸</w:t>
            </w:r>
          </w:p>
        </w:tc>
        <w:tc>
          <w:tcPr>
            <w:tcW w:w="771" w:type="dxa"/>
            <w:tcBorders>
              <w:tl2br w:val="nil"/>
              <w:tr2bl w:val="nil"/>
            </w:tcBorders>
            <w:noWrap w:val="0"/>
            <w:vAlign w:val="center"/>
          </w:tcPr>
          <w:p w14:paraId="501498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3645100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466CE2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3509CD6">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183</w:t>
            </w:r>
          </w:p>
        </w:tc>
        <w:tc>
          <w:tcPr>
            <w:tcW w:w="1470" w:type="dxa"/>
            <w:tcBorders>
              <w:tl2br w:val="nil"/>
              <w:tr2bl w:val="nil"/>
            </w:tcBorders>
            <w:noWrap w:val="0"/>
            <w:vAlign w:val="center"/>
          </w:tcPr>
          <w:p w14:paraId="6480ADB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智能数字实验盘</w:t>
            </w:r>
          </w:p>
        </w:tc>
        <w:tc>
          <w:tcPr>
            <w:tcW w:w="1425" w:type="dxa"/>
            <w:tcBorders>
              <w:tl2br w:val="nil"/>
              <w:tr2bl w:val="nil"/>
            </w:tcBorders>
            <w:noWrap w:val="0"/>
            <w:vAlign w:val="center"/>
          </w:tcPr>
          <w:p w14:paraId="4E03C9B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0BF7640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auto"/>
                <w:kern w:val="0"/>
                <w:sz w:val="20"/>
                <w:szCs w:val="20"/>
                <w:vertAlign w:val="baseline"/>
                <w:lang w:val="en-US" w:eastAsia="zh-CN" w:bidi="ar"/>
              </w:rPr>
              <w:t>1、智能数字实验盘在自身强大的软、硬件支撑下，既可连接外接终端设备，也可脱离终端独立进行数据采集、实验操作，支持有线、无线传输，自成一个功能完</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整且独立的实验平台；</w:t>
            </w:r>
          </w:p>
          <w:p w14:paraId="39FAE8A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2、</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★内置 3.5英寸电容屏，支持手势操作，触控灵敏、交互便捷，为数据显示、实验采集提供良好的图形界面；</w:t>
            </w:r>
          </w:p>
          <w:p w14:paraId="5103F5C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3、★飞</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碟式一体化设计，机身设计有7个传感器接口，支持热插拔；支持近60种传感器，遍及力学、热学、光学、电学、化学、生物等多个领域；</w:t>
            </w:r>
          </w:p>
          <w:p w14:paraId="47CA8AA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4、</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内置传感器：三轴加速度、GPS、气压计、相对高度计；内置传感器与外接传感器模块可并行采集数据；</w:t>
            </w:r>
          </w:p>
          <w:p w14:paraId="645BE13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·三轴加速度传感器：量程 -8g~+8g,精度2.5%，可测量空间三个垂直方向上的加速度值；</w:t>
            </w:r>
          </w:p>
          <w:p w14:paraId="1854795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 GPS：最大导航更新率（Maximum Navigation update rate）：5Hz；平面位置精度（Horizontal position accuracy）：2.5m；速度准确度（Velocity accuracy）：0.1m/s；</w:t>
            </w:r>
          </w:p>
          <w:p w14:paraId="24B33F5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·气压计：量程 50~110kPa，精度 ±4kPa (相对精度: 0.05kPa)，可用于测量周围环境的大气压强，能够灵敏反映因海拔变化引起的大气压的变化；</w:t>
            </w:r>
          </w:p>
          <w:p w14:paraId="07E8BA1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·相对高度计：分辨率 0.3m，用于测量相对海拔高度，比如，可以获得从某一高度上升或下降到另一高度的具体高度值；</w:t>
            </w:r>
          </w:p>
          <w:p w14:paraId="7B14D5C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5、</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高度自由的实验操作。独立使用时，支持实验采集功能，提供图像、表格两种模式。图像模式支持对X轴、Y轴自定义，且Y轴支持传感器多选；支持双Y轴设置，优化选择多个传感器且数值相差较大时的图像显示，适应多样需求；支持曲线镜像显示；</w:t>
            </w:r>
          </w:p>
          <w:p w14:paraId="6511734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6、支持对采集间隔、采集时间进行设置，支持手动采集、定时采集等不同模式；</w:t>
            </w:r>
          </w:p>
          <w:p w14:paraId="57FC88A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7、实验采集支持保存与读取，方便随时对实验进行复盘分析；</w:t>
            </w:r>
          </w:p>
          <w:p w14:paraId="3D6A61B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8、</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支持7种外接传感器和4种内置传感器同时工作，并在内置屏上同步数据显示；支持数字、图线、指针盘3种显示模式；支持从传感器实时显示界面直接跳转进入快速实验；</w:t>
            </w:r>
          </w:p>
          <w:p w14:paraId="1152E83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9、支持脱离终端设备，利用内置实验操作平台对部分传感器进行校准或标定等；</w:t>
            </w:r>
          </w:p>
          <w:p w14:paraId="01D037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10、具有通用接口模块，可外扩其他类型的传感器，通用接口采用Lightning接口,外扩传感器插头采用双面设计，支持正反盲插接入通用接口，无需关心插入的方向，易插易用；</w:t>
            </w:r>
          </w:p>
          <w:p w14:paraId="5BB70F1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11、充电方式：支持USB充电。</w:t>
            </w:r>
          </w:p>
          <w:p w14:paraId="14FBEEB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12、正面设有电源指示灯，背面设有支脚架、固定螺纹孔、复位孔；</w:t>
            </w:r>
          </w:p>
          <w:p w14:paraId="2DD18BD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13、固件升级：固件可通过USB接口进行升级；</w:t>
            </w:r>
          </w:p>
          <w:p w14:paraId="6A013035">
            <w:pPr>
              <w:pStyle w:val="5"/>
              <w:keepNext w:val="0"/>
              <w:keepLines w:val="0"/>
              <w:pageBreakBefore w:val="0"/>
              <w:widowControl w:val="0"/>
              <w:kinsoku/>
              <w:wordWrap/>
              <w:overflowPunct/>
              <w:topLinePunct w:val="0"/>
              <w:autoSpaceDE w:val="0"/>
              <w:autoSpaceDN w:val="0"/>
              <w:bidi w:val="0"/>
              <w:adjustRightInd/>
              <w:snapToGrid/>
              <w:spacing w:before="0"/>
              <w:ind w:right="0"/>
              <w:jc w:val="both"/>
              <w:textAlignment w:val="auto"/>
              <w:rPr>
                <w:rFonts w:hint="eastAsia"/>
                <w:lang w:val="en-US" w:eastAsia="zh-CN"/>
              </w:rPr>
            </w:pPr>
            <w:r>
              <w:rPr>
                <w:rFonts w:hint="eastAsia" w:ascii="仿宋" w:hAnsi="仿宋" w:eastAsia="仿宋" w:cs="仿宋"/>
                <w:b w:val="0"/>
                <w:bCs w:val="0"/>
                <w:color w:val="000000" w:themeColor="text1"/>
                <w:kern w:val="0"/>
                <w:sz w:val="20"/>
                <w:szCs w:val="20"/>
                <w:highlight w:val="none"/>
                <w:vertAlign w:val="baseline"/>
                <w:lang w:val="en-US" w:eastAsia="zh-CN" w:bidi="ar"/>
                <w14:textFill>
                  <w14:solidFill>
                    <w14:schemeClr w14:val="tx1"/>
                  </w14:solidFill>
                </w14:textFill>
              </w:rPr>
              <w:t>带</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20"/>
                <w:szCs w:val="20"/>
                <w:highlight w:val="none"/>
                <w:vertAlign w:val="baseline"/>
                <w:lang w:val="en-US" w:eastAsia="zh-CN" w:bidi="ar"/>
                <w14:textFill>
                  <w14:solidFill>
                    <w14:schemeClr w14:val="tx1"/>
                  </w14:solidFill>
                </w14:textFill>
              </w:rPr>
              <w:t>号参数需</w:t>
            </w:r>
            <w:r>
              <w:rPr>
                <w:rFonts w:hint="eastAsia" w:ascii="仿宋" w:hAnsi="仿宋" w:eastAsia="仿宋" w:cs="仿宋"/>
                <w:b w:val="0"/>
                <w:bCs w:val="0"/>
                <w:i w:val="0"/>
                <w:iCs w:val="0"/>
                <w:color w:val="000000" w:themeColor="text1"/>
                <w:kern w:val="0"/>
                <w:sz w:val="20"/>
                <w:szCs w:val="20"/>
                <w:highlight w:val="none"/>
                <w:u w:val="none"/>
                <w:lang w:val="en-US" w:eastAsia="zh-CN" w:bidi="ar"/>
                <w14:textFill>
                  <w14:solidFill>
                    <w14:schemeClr w14:val="tx1"/>
                  </w14:solidFill>
                </w14:textFill>
              </w:rPr>
              <w:t>提供产品功能截图，并加盖投标单位公章。</w:t>
            </w:r>
          </w:p>
        </w:tc>
        <w:tc>
          <w:tcPr>
            <w:tcW w:w="771" w:type="dxa"/>
            <w:tcBorders>
              <w:tl2br w:val="nil"/>
              <w:tr2bl w:val="nil"/>
            </w:tcBorders>
            <w:noWrap w:val="0"/>
            <w:vAlign w:val="center"/>
          </w:tcPr>
          <w:p w14:paraId="408FAA4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C069FD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r>
      <w:tr w14:paraId="7A3B1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B237C2C">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184</w:t>
            </w:r>
          </w:p>
        </w:tc>
        <w:tc>
          <w:tcPr>
            <w:tcW w:w="1470" w:type="dxa"/>
            <w:tcBorders>
              <w:tl2br w:val="nil"/>
              <w:tr2bl w:val="nil"/>
            </w:tcBorders>
            <w:noWrap w:val="0"/>
            <w:vAlign w:val="center"/>
          </w:tcPr>
          <w:p w14:paraId="3ED9FC1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温度传感器</w:t>
            </w:r>
          </w:p>
        </w:tc>
        <w:tc>
          <w:tcPr>
            <w:tcW w:w="1425" w:type="dxa"/>
            <w:tcBorders>
              <w:tl2br w:val="nil"/>
              <w:tr2bl w:val="nil"/>
            </w:tcBorders>
            <w:noWrap w:val="0"/>
            <w:vAlign w:val="center"/>
          </w:tcPr>
          <w:p w14:paraId="200F752A">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2EB3AB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温度传感器采用模块化设计，通过Lightning接口与采集器连接，具有热插拔功能，连接传输稳定。搭配采集器通过有线、无线方式连接电脑、手机或平板等终端进行数据采集，在终端上实时显示并记录温度的变化，绘制温度-时间图像，可脱离终端独立采集记录所探测到的实验数据并加以保存，以供下载和分析。</w:t>
            </w:r>
          </w:p>
          <w:p w14:paraId="206C2AB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0DFCF69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传感器正面为电源指示灯，前端为探头插孔，后端为Lightning接口，附件为温度探头。</w:t>
            </w:r>
          </w:p>
          <w:p w14:paraId="2BD78B5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5473284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1.用于测量物体表面、气体、酸碱等液体的温度。</w:t>
            </w:r>
          </w:p>
          <w:p w14:paraId="20F3CFD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p>
          <w:p w14:paraId="6205389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3.温度探头为3.5mm耳机插头，耳机插孔式连接，连接稳定，无干扰。</w:t>
            </w:r>
          </w:p>
          <w:p w14:paraId="61F9D50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4.外壳采用ABS工程塑料，具有耐火、耐高温、阻燃等特性。</w:t>
            </w:r>
          </w:p>
          <w:p w14:paraId="71A05F2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5.传感器上具有通电指示灯，可以快速判断是否正确连接。</w:t>
            </w:r>
          </w:p>
          <w:p w14:paraId="007FFB4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6.搭配采集器可以在Windows、安卓、iOS系统上进行数据采集。</w:t>
            </w:r>
          </w:p>
          <w:p w14:paraId="28A317F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7.无需校准，即连即用。</w:t>
            </w:r>
          </w:p>
          <w:p w14:paraId="4DC4F37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0A7DDA9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1.量程：-40℃~135℃</w:t>
            </w:r>
          </w:p>
          <w:p w14:paraId="36A6A9B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2.精度：±0.6℃</w:t>
            </w:r>
          </w:p>
          <w:p w14:paraId="08D2242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3.分辨率：0.1℃</w:t>
            </w:r>
          </w:p>
          <w:p w14:paraId="1385ADE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四、实验</w:t>
            </w:r>
          </w:p>
          <w:p w14:paraId="041D37C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不同颜色物体的吸热散热研究实验、探究非生物因素对鼠妇分布的影响实验、不同液体的吸热散热研究、水的降温规律、摩擦做功、水的沸腾实验、沸点与压强关系、焦耳定律、酸碱反应热、铁的吸氧腐蚀等。</w:t>
            </w:r>
          </w:p>
        </w:tc>
        <w:tc>
          <w:tcPr>
            <w:tcW w:w="771" w:type="dxa"/>
            <w:tcBorders>
              <w:tl2br w:val="nil"/>
              <w:tr2bl w:val="nil"/>
            </w:tcBorders>
            <w:noWrap w:val="0"/>
            <w:vAlign w:val="center"/>
          </w:tcPr>
          <w:p w14:paraId="423A11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5D1B6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00E474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360B14E">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1470" w:type="dxa"/>
            <w:tcBorders>
              <w:tl2br w:val="nil"/>
              <w:tr2bl w:val="nil"/>
            </w:tcBorders>
            <w:noWrap w:val="0"/>
            <w:vAlign w:val="center"/>
          </w:tcPr>
          <w:p w14:paraId="7F3C01E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绝对压强传感器</w:t>
            </w:r>
          </w:p>
        </w:tc>
        <w:tc>
          <w:tcPr>
            <w:tcW w:w="1425" w:type="dxa"/>
            <w:tcBorders>
              <w:tl2br w:val="nil"/>
              <w:tr2bl w:val="nil"/>
            </w:tcBorders>
            <w:noWrap w:val="0"/>
            <w:vAlign w:val="center"/>
          </w:tcPr>
          <w:p w14:paraId="5719E254">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C646C2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绝对压强传感器配有压强软管、鲁尔头和针筒，使用方便、保证实验的气密性；采用模块化设计，通过Lightning接口与采集器连接，具有热插拔功能，连接传输稳定。搭配采集器通过有线、无线方式连接电脑、手机或平板等终端进行数据采集，在终端上实时显示并记录压强的变化，并绘制图像，可脱离终端独立采集记录所探测到的实验数据并加以保存，以供下载和分析。</w:t>
            </w:r>
          </w:p>
          <w:p w14:paraId="2B1637B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62F88F4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传感器正面为电源指示灯，前端为鲁尔接头母头，后端为Lightning接口，附件为软管、鲁尔公头、针筒。</w:t>
            </w:r>
          </w:p>
          <w:p w14:paraId="36344EA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5317A3F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1.用于测量大气环境下或密闭空间内的气体的压强。</w:t>
            </w:r>
          </w:p>
          <w:p w14:paraId="6E902DC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p>
          <w:p w14:paraId="5806BCB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3.外壳采用ABS工程塑料，具有耐火、耐高温、阻燃等特性。</w:t>
            </w:r>
          </w:p>
          <w:p w14:paraId="0985B09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4.传感器上具有通电指示灯，可以快速判断是否正确连接。</w:t>
            </w:r>
          </w:p>
          <w:p w14:paraId="28102B6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5.搭配采集器可以在Windows、安卓、iOS系统上进行数据采集。</w:t>
            </w:r>
          </w:p>
          <w:p w14:paraId="3B9B1EF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6.支持传感器校准。</w:t>
            </w:r>
          </w:p>
          <w:p w14:paraId="3FF79A4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16B126A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1.量程：0~400kPa</w:t>
            </w:r>
          </w:p>
          <w:p w14:paraId="5FF7C57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2.精度：±2%</w:t>
            </w:r>
          </w:p>
          <w:p w14:paraId="0B2190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3.分辨率：0.1kPa</w:t>
            </w:r>
          </w:p>
          <w:p w14:paraId="541F02E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四、实验</w:t>
            </w:r>
          </w:p>
          <w:p w14:paraId="18D061B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测定空气里氧气的含量、二氧化锰对过氧化氢分解的影响、金属与酸的反应、酶催化的高效性、沸点与压强的关系、气体压强与受力面积、空气分子间的作用力、测量大气压强、探究压缩空气的力量、玻意耳定律、查理定律实验、查理定律、研究液体内部的压强等</w:t>
            </w:r>
          </w:p>
        </w:tc>
        <w:tc>
          <w:tcPr>
            <w:tcW w:w="771" w:type="dxa"/>
            <w:tcBorders>
              <w:tl2br w:val="nil"/>
              <w:tr2bl w:val="nil"/>
            </w:tcBorders>
            <w:noWrap w:val="0"/>
            <w:vAlign w:val="center"/>
          </w:tcPr>
          <w:p w14:paraId="34DB2D6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93F85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4E7AE6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B558B3C">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186</w:t>
            </w:r>
          </w:p>
        </w:tc>
        <w:tc>
          <w:tcPr>
            <w:tcW w:w="1470" w:type="dxa"/>
            <w:tcBorders>
              <w:tl2br w:val="nil"/>
              <w:tr2bl w:val="nil"/>
            </w:tcBorders>
            <w:noWrap w:val="0"/>
            <w:vAlign w:val="center"/>
          </w:tcPr>
          <w:p w14:paraId="3508429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多量程电流传感器</w:t>
            </w:r>
          </w:p>
        </w:tc>
        <w:tc>
          <w:tcPr>
            <w:tcW w:w="1425" w:type="dxa"/>
            <w:tcBorders>
              <w:tl2br w:val="nil"/>
              <w:tr2bl w:val="nil"/>
            </w:tcBorders>
            <w:noWrap w:val="0"/>
            <w:vAlign w:val="center"/>
          </w:tcPr>
          <w:p w14:paraId="32631AE6">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D4DFD5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多量程电流传感器采用模块化设计，配合通用接口，通过Lightning接口与采集器连接，支持正反盲插，具有热插拔功能，连接传输稳定。搭配采集器通过有线、无线方式连接电脑、手机或平板等终端进行数据采集，在终端上实时显示并记录电流的变化，并绘制图像，可脱离终端独立采集记录所探测到的实验数据并加以保存，以供下载和分析。</w:t>
            </w:r>
          </w:p>
          <w:p w14:paraId="66FB6EF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2ED9EAE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传感器正面为档位调节开关，前端为鳄鱼夹导线，后端为Lightning接口线。</w:t>
            </w:r>
          </w:p>
          <w:p w14:paraId="7725F7F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4FD9B2A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1.用于测量电路中的电流。</w:t>
            </w:r>
          </w:p>
          <w:p w14:paraId="047C63C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2.具有三量程切换开关，可根据实验要求一键切换测量量程。</w:t>
            </w:r>
          </w:p>
          <w:p w14:paraId="66BDC2E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3.外壳采用ABS工程塑料，具有耐火、耐高温、阻燃等特性。</w:t>
            </w:r>
          </w:p>
          <w:p w14:paraId="5F1B7C3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4.搭配采集器可以在Windows、安卓、iOS系统上进行数据采集。</w:t>
            </w:r>
          </w:p>
          <w:p w14:paraId="53F5CFA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5.支持传感器校零。</w:t>
            </w:r>
          </w:p>
          <w:p w14:paraId="720148A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4C4C7E4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档位1：</w:t>
            </w:r>
          </w:p>
          <w:p w14:paraId="2927145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1.量程：-20mA~20mA</w:t>
            </w:r>
          </w:p>
          <w:p w14:paraId="6A06809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2.精度：±1%</w:t>
            </w:r>
          </w:p>
          <w:p w14:paraId="71E47C0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3.分辨率：0.01mA</w:t>
            </w:r>
          </w:p>
          <w:p w14:paraId="4F7C9AA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4.内阻：5.1Ω</w:t>
            </w:r>
          </w:p>
          <w:p w14:paraId="402A20A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档位2：</w:t>
            </w:r>
          </w:p>
          <w:p w14:paraId="015F7F7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1.量程：-200mA~ 200mA</w:t>
            </w:r>
          </w:p>
          <w:p w14:paraId="072E58D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2.精度：±1%</w:t>
            </w:r>
          </w:p>
          <w:p w14:paraId="5A6CF8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3.分辨率：0.1mA</w:t>
            </w:r>
          </w:p>
          <w:p w14:paraId="77AB431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4.内阻：500mΩ</w:t>
            </w:r>
          </w:p>
          <w:p w14:paraId="4E5E0E7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档位3：</w:t>
            </w:r>
          </w:p>
          <w:p w14:paraId="7774A9C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1.量程：-2A~2A</w:t>
            </w:r>
          </w:p>
          <w:p w14:paraId="3AEABBB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2.精度：±1%</w:t>
            </w:r>
          </w:p>
          <w:p w14:paraId="064CA23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3.分辨率：0.001A</w:t>
            </w:r>
          </w:p>
          <w:p w14:paraId="6E8A7B5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4.内阻：50mΩ</w:t>
            </w:r>
          </w:p>
          <w:p w14:paraId="7237F26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四、实验</w:t>
            </w:r>
          </w:p>
          <w:p w14:paraId="596F5D8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欧姆定律、描绘小灯泡的伏安特性曲线、电池的电动势和内阻的测量、电阻的串并联、LC振荡、电磁感应现象、感应电流、电容器的串并联及充放电等</w:t>
            </w:r>
          </w:p>
        </w:tc>
        <w:tc>
          <w:tcPr>
            <w:tcW w:w="771" w:type="dxa"/>
            <w:tcBorders>
              <w:tl2br w:val="nil"/>
              <w:tr2bl w:val="nil"/>
            </w:tcBorders>
            <w:noWrap w:val="0"/>
            <w:vAlign w:val="center"/>
          </w:tcPr>
          <w:p w14:paraId="4D00B42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5A0156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299E5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B3E30FF">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187</w:t>
            </w:r>
          </w:p>
        </w:tc>
        <w:tc>
          <w:tcPr>
            <w:tcW w:w="1470" w:type="dxa"/>
            <w:tcBorders>
              <w:tl2br w:val="nil"/>
              <w:tr2bl w:val="nil"/>
            </w:tcBorders>
            <w:noWrap w:val="0"/>
            <w:vAlign w:val="center"/>
          </w:tcPr>
          <w:p w14:paraId="2CA6B57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pH传感器</w:t>
            </w:r>
          </w:p>
        </w:tc>
        <w:tc>
          <w:tcPr>
            <w:tcW w:w="1425" w:type="dxa"/>
            <w:tcBorders>
              <w:tl2br w:val="nil"/>
              <w:tr2bl w:val="nil"/>
            </w:tcBorders>
            <w:noWrap w:val="0"/>
            <w:vAlign w:val="center"/>
          </w:tcPr>
          <w:p w14:paraId="2A6002CE">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C6498C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pH传感器采用模块化设计，配合通用接口，通过Lightning接口与采集器连接，支持正反盲插，具有热插拔功能，连接传输稳定。搭配采集器通过有线、无线方式连接电脑、手机或平板等终端进行数据采集，在终端上实时显示并记录溶液酸碱值的变化，并绘制图像，可脱离终端独立采集记录所探测到的实验数据并加以保存，以供下载和分析。</w:t>
            </w:r>
          </w:p>
          <w:p w14:paraId="10092E1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719A731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一体式传感器，Lightning接口。</w:t>
            </w:r>
          </w:p>
          <w:p w14:paraId="0EC93F3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5EBC439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1.pH探头由内部参比电极和玻璃电极构成，用于测量溶液的酸碱值。</w:t>
            </w:r>
          </w:p>
          <w:p w14:paraId="7D076DE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2.外壳采用ABS工程塑料，具有耐火、耐高温、阻燃等特性。</w:t>
            </w:r>
          </w:p>
          <w:p w14:paraId="01A2CCF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3.搭配采集器可以在Windows、安卓、iOS系统上进行数据采集。</w:t>
            </w:r>
          </w:p>
          <w:p w14:paraId="0E984FC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4.支持标定功能。</w:t>
            </w:r>
          </w:p>
          <w:p w14:paraId="5F1F4D1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0865BE7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1.量程：0~14</w:t>
            </w:r>
          </w:p>
          <w:p w14:paraId="2D23422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2.精度：±0.2</w:t>
            </w:r>
          </w:p>
          <w:p w14:paraId="4EB1D9D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3.分辨率：0.01</w:t>
            </w:r>
          </w:p>
          <w:p w14:paraId="2723C41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四、实验</w:t>
            </w:r>
          </w:p>
          <w:p w14:paraId="624BA04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不同浓度溶液的pH差异、浓氨水的挥发和氨气的溶解、探究二氧化碳与澄清石灰水的反应、土壤酸碱性的测量、测量自然水体的酸碱度、水体的理化性质测定、不同盐溶液的酸碱性、测量溶液的pH、二氧化碳的溶解性实验、二氧化碳和氢氧化钠的反应、不同物质的酸碱性等</w:t>
            </w:r>
          </w:p>
        </w:tc>
        <w:tc>
          <w:tcPr>
            <w:tcW w:w="771" w:type="dxa"/>
            <w:tcBorders>
              <w:tl2br w:val="nil"/>
              <w:tr2bl w:val="nil"/>
            </w:tcBorders>
            <w:noWrap w:val="0"/>
            <w:vAlign w:val="center"/>
          </w:tcPr>
          <w:p w14:paraId="118FCA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5F18C9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169F13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E506578">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188</w:t>
            </w:r>
          </w:p>
        </w:tc>
        <w:tc>
          <w:tcPr>
            <w:tcW w:w="1470" w:type="dxa"/>
            <w:tcBorders>
              <w:tl2br w:val="nil"/>
              <w:tr2bl w:val="nil"/>
            </w:tcBorders>
            <w:noWrap w:val="0"/>
            <w:vAlign w:val="center"/>
          </w:tcPr>
          <w:p w14:paraId="26FF69A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电导率传感器</w:t>
            </w:r>
          </w:p>
        </w:tc>
        <w:tc>
          <w:tcPr>
            <w:tcW w:w="1425" w:type="dxa"/>
            <w:tcBorders>
              <w:tl2br w:val="nil"/>
              <w:tr2bl w:val="nil"/>
            </w:tcBorders>
            <w:noWrap w:val="0"/>
            <w:vAlign w:val="center"/>
          </w:tcPr>
          <w:p w14:paraId="3D24493F">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80B4A1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电导率传感器采用模块化设计，配合通用接口，通过Lightning接口与采集器连接，支持正反盲插，具有热插拔功能，连接传输稳定。搭配采集器通过有线、无线方式连接电脑、手机或平板等终端进行数据采集，在终端上实时显示并记录电导率的变化，并绘制图像，可脱离终端独立采集记录所探测到的实验数据并加以保存，以供下载和分析。</w:t>
            </w:r>
          </w:p>
          <w:p w14:paraId="327AD09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1593BF7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一体式传感器，Lightning接口。</w:t>
            </w:r>
          </w:p>
          <w:p w14:paraId="160B765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1F74503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1.用于测量溶液的电导率及其变化。</w:t>
            </w:r>
          </w:p>
          <w:p w14:paraId="1178D0E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2.外壳采用ABS工程塑料，具有耐火、耐高温、阻燃等特性。</w:t>
            </w:r>
          </w:p>
          <w:p w14:paraId="065F1FB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3.搭配采集器可以在Windows、安卓、iOS系统上进行数据采集。</w:t>
            </w:r>
          </w:p>
          <w:p w14:paraId="338FBA6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4.支持标定功能。</w:t>
            </w:r>
          </w:p>
          <w:p w14:paraId="5F6BE03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7BE60DC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1.量程：0~20000μS/cm</w:t>
            </w:r>
          </w:p>
          <w:p w14:paraId="6776FBB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2.精度：±3%F.S</w:t>
            </w:r>
          </w:p>
          <w:p w14:paraId="55872B8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3.分辨率：6μS/cm</w:t>
            </w:r>
          </w:p>
          <w:p w14:paraId="1138E9C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四、实验</w:t>
            </w:r>
          </w:p>
          <w:p w14:paraId="384FCDF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不同浓度溶液电导率的差异、水体的理化性质测定、测量水样的电导率等</w:t>
            </w:r>
          </w:p>
        </w:tc>
        <w:tc>
          <w:tcPr>
            <w:tcW w:w="771" w:type="dxa"/>
            <w:tcBorders>
              <w:tl2br w:val="nil"/>
              <w:tr2bl w:val="nil"/>
            </w:tcBorders>
            <w:noWrap w:val="0"/>
            <w:vAlign w:val="center"/>
          </w:tcPr>
          <w:p w14:paraId="048525F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72" w:type="dxa"/>
            <w:tcBorders>
              <w:tl2br w:val="nil"/>
              <w:tr2bl w:val="nil"/>
            </w:tcBorders>
            <w:noWrap w:val="0"/>
            <w:vAlign w:val="center"/>
          </w:tcPr>
          <w:p w14:paraId="4D740BB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20A4EC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FA6113B">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189</w:t>
            </w:r>
          </w:p>
        </w:tc>
        <w:tc>
          <w:tcPr>
            <w:tcW w:w="1470" w:type="dxa"/>
            <w:tcBorders>
              <w:tl2br w:val="nil"/>
              <w:tr2bl w:val="nil"/>
            </w:tcBorders>
            <w:noWrap w:val="0"/>
            <w:vAlign w:val="center"/>
          </w:tcPr>
          <w:p w14:paraId="6906BF0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高温传感器</w:t>
            </w:r>
          </w:p>
        </w:tc>
        <w:tc>
          <w:tcPr>
            <w:tcW w:w="1425" w:type="dxa"/>
            <w:tcBorders>
              <w:tl2br w:val="nil"/>
              <w:tr2bl w:val="nil"/>
            </w:tcBorders>
            <w:noWrap w:val="0"/>
            <w:vAlign w:val="center"/>
          </w:tcPr>
          <w:p w14:paraId="6768377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580B9BB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高温传感器采用模块化设计，通过Lightning接口与采集器连接，具有热插拔功能，连接传输稳定。搭配采集器通过有线、无线方式连接电脑、手机或平板等终端进行数据采集，在终端上实时显示并记录温度的变化，绘制温度-时间图像，可脱离终端独立采集记录所探测到的实验数据并加以保存，以供下载和分析。</w:t>
            </w:r>
          </w:p>
          <w:p w14:paraId="0FF0020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679A82F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传感器正面为电源指示灯，前端为探头插孔，后端为Lightning接口，附件为高温探头。</w:t>
            </w:r>
          </w:p>
          <w:p w14:paraId="02A0592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320951F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1.用于测量物体表面、气体、酸碱等液体的温度，也可用于超低温及高温的测量。</w:t>
            </w:r>
          </w:p>
          <w:p w14:paraId="6C2F3C5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2.传感器采用模块化设计，可任意组合，使用更换方便快捷。</w:t>
            </w:r>
          </w:p>
          <w:p w14:paraId="29BB3A1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3.高温探头为为3.5mm耳机插头，耳机插孔式连接，连接稳定，无干扰。</w:t>
            </w:r>
          </w:p>
          <w:p w14:paraId="05B8069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4.外壳采用ABS工程塑料，具有耐火、耐高温、阻燃等特性。</w:t>
            </w:r>
          </w:p>
          <w:p w14:paraId="08B0ADE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5.传感器上具有通电指示灯，可以快速判断是否正确连接。</w:t>
            </w:r>
          </w:p>
          <w:p w14:paraId="6FB22C2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6.搭配采集器可以在Windows、安卓、iOS系统上进行数据采集。</w:t>
            </w:r>
          </w:p>
          <w:p w14:paraId="6C6A6ED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7.无需校准，即连即用。</w:t>
            </w:r>
          </w:p>
          <w:p w14:paraId="7F73012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6836A1F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1.量程：-200℃~1200℃</w:t>
            </w:r>
          </w:p>
          <w:p w14:paraId="483260C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2.精度：±3℃</w:t>
            </w:r>
          </w:p>
          <w:p w14:paraId="0B6A6B2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3.分辨率：0.25℃</w:t>
            </w:r>
          </w:p>
          <w:p w14:paraId="01207B6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四、实验</w:t>
            </w:r>
          </w:p>
          <w:p w14:paraId="5A80470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探究酒精灯火焰不同部位的温度、探究固体熔化时的温度变化规律等</w:t>
            </w:r>
          </w:p>
        </w:tc>
        <w:tc>
          <w:tcPr>
            <w:tcW w:w="771" w:type="dxa"/>
            <w:tcBorders>
              <w:tl2br w:val="nil"/>
              <w:tr2bl w:val="nil"/>
            </w:tcBorders>
            <w:noWrap w:val="0"/>
            <w:vAlign w:val="center"/>
          </w:tcPr>
          <w:p w14:paraId="1CFD7B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F0758C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4BD6F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2556F8A">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c>
          <w:tcPr>
            <w:tcW w:w="1470" w:type="dxa"/>
            <w:tcBorders>
              <w:tl2br w:val="nil"/>
              <w:tr2bl w:val="nil"/>
            </w:tcBorders>
            <w:noWrap w:val="0"/>
            <w:vAlign w:val="center"/>
          </w:tcPr>
          <w:p w14:paraId="7AABD21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溶氧气氧一体传感器</w:t>
            </w:r>
          </w:p>
        </w:tc>
        <w:tc>
          <w:tcPr>
            <w:tcW w:w="1425" w:type="dxa"/>
            <w:tcBorders>
              <w:tl2br w:val="nil"/>
              <w:tr2bl w:val="nil"/>
            </w:tcBorders>
            <w:noWrap w:val="0"/>
            <w:vAlign w:val="center"/>
          </w:tcPr>
          <w:p w14:paraId="6F38504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441DD45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溶解氧-气中氧一体传感器采用模块化设计，配合通用接口，通过Lightning接口与采集器连接，支持正反盲插，具有热插拔功能，连接传输稳定。搭配采集器通过有线、无线方式连接电脑、手机或平板等终端进行数据采集，在终端上实时显示并记录氧含量的变化，并绘制图像，可脱离终端独立采集记录所探测到的实验数据并加以保存，以供下载和分析。</w:t>
            </w:r>
          </w:p>
          <w:p w14:paraId="16C2927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47B2E32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一体式传感器，Lightning接口，附件为填充液、校准液、电极帽。</w:t>
            </w:r>
          </w:p>
          <w:p w14:paraId="7AFEE49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6C47536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1.用于测量气体、溶液中的氧含量。</w:t>
            </w:r>
          </w:p>
          <w:p w14:paraId="46D65CC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2.外壳采用ABS工程塑料，具有耐火、耐高温、阻燃等特性。</w:t>
            </w:r>
          </w:p>
          <w:p w14:paraId="7B4F654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3.搭配采集器可以在Windows、安卓、iOS系统上进行数据采集。</w:t>
            </w:r>
          </w:p>
          <w:p w14:paraId="6C26D7D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4.可支持气中氧校准、溶解氧标定功能。</w:t>
            </w:r>
          </w:p>
          <w:p w14:paraId="069B340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33B579F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溶氧：</w:t>
            </w:r>
          </w:p>
          <w:p w14:paraId="1424AC0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1.量程：0~20mg/L</w:t>
            </w:r>
          </w:p>
          <w:p w14:paraId="452C4C1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2.精度：±0.5mg/L</w:t>
            </w:r>
          </w:p>
          <w:p w14:paraId="7CD2391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3.分辨率：0.01mg/L</w:t>
            </w:r>
          </w:p>
          <w:p w14:paraId="6AD9EAD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气氧：</w:t>
            </w:r>
          </w:p>
          <w:p w14:paraId="4695DA4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1.量程：0~100%</w:t>
            </w:r>
          </w:p>
          <w:p w14:paraId="7F8BA3E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2.精度：±2%F.S</w:t>
            </w:r>
          </w:p>
          <w:p w14:paraId="4112422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3.分辨率：0.1%</w:t>
            </w:r>
          </w:p>
          <w:p w14:paraId="392E722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四、实验</w:t>
            </w:r>
          </w:p>
          <w:p w14:paraId="2A798B7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对人体吸入的空气和呼出的气体的探究、对蜡烛燃烧的探究、水体的理化性质测定、测定空气里氧气的含量、空气质量检测、酵母菌的呼吸作用、探究影响植物光合作用速率的因素、水中氧含量的测定、燃烧的秘密等</w:t>
            </w:r>
          </w:p>
        </w:tc>
        <w:tc>
          <w:tcPr>
            <w:tcW w:w="771" w:type="dxa"/>
            <w:tcBorders>
              <w:tl2br w:val="nil"/>
              <w:tr2bl w:val="nil"/>
            </w:tcBorders>
            <w:noWrap w:val="0"/>
            <w:vAlign w:val="center"/>
          </w:tcPr>
          <w:p w14:paraId="23F08F0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0EAE50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4B9BAD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BCBE120">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191</w:t>
            </w:r>
          </w:p>
        </w:tc>
        <w:tc>
          <w:tcPr>
            <w:tcW w:w="1470" w:type="dxa"/>
            <w:tcBorders>
              <w:tl2br w:val="nil"/>
              <w:tr2bl w:val="nil"/>
            </w:tcBorders>
            <w:noWrap w:val="0"/>
            <w:vAlign w:val="center"/>
          </w:tcPr>
          <w:p w14:paraId="52604A5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二氧化碳传感器</w:t>
            </w:r>
          </w:p>
        </w:tc>
        <w:tc>
          <w:tcPr>
            <w:tcW w:w="1425" w:type="dxa"/>
            <w:tcBorders>
              <w:tl2br w:val="nil"/>
              <w:tr2bl w:val="nil"/>
            </w:tcBorders>
            <w:noWrap w:val="0"/>
            <w:vAlign w:val="center"/>
          </w:tcPr>
          <w:p w14:paraId="0F005388">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E6D05B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氧化碳传感器是红外气体吸收检测型传感器，其具有很好的选择性，高灵敏度，无氧气依赖性，采用模块化设计，配合通用接口，通过Lightning接口与采集器连接，支持正反盲插，具有热插拔功能，连接传输稳定。搭配采集器通过有线、无线方式连接电脑、手机或平板等终端进行数据采集，在终端上实时显示并记录二氧化碳含量的变化，并绘制图像，可脱离终端独立采集记录所探测到的实验数据并加以保存，以供下载和分析。</w:t>
            </w:r>
          </w:p>
          <w:p w14:paraId="7B913E1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7764D77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一体式传感器，Lightning接口。</w:t>
            </w:r>
          </w:p>
          <w:p w14:paraId="2604E35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45286EF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1.用于测量气体中二氧化碳的含量。</w:t>
            </w:r>
          </w:p>
          <w:p w14:paraId="0280801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2.外壳采用ABS工程塑料，具有耐火、耐高温、阻燃等特性。</w:t>
            </w:r>
          </w:p>
          <w:p w14:paraId="1F3792B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3.搭配采集器可以在Windows、安卓、iOS系统上进行数据采集。</w:t>
            </w:r>
          </w:p>
          <w:p w14:paraId="6859099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4.红外气体吸收检测型传感器，具有很好的选择性，高灵敏度，无氧气依赖性，寿命长，低功耗，无需预热等特点。</w:t>
            </w:r>
          </w:p>
          <w:p w14:paraId="518B714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5.支持传感器复位，用于校准传感器。</w:t>
            </w:r>
          </w:p>
          <w:p w14:paraId="43C900D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25A2DB3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1.量程：0~100000ppm</w:t>
            </w:r>
          </w:p>
          <w:p w14:paraId="171F37A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2.精度：3%(0~5000ppm)；4%(5000~50000ppm)；6%(50000~100000ppm)</w:t>
            </w:r>
          </w:p>
          <w:p w14:paraId="7E0F616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3.分辨率：2ppm</w:t>
            </w:r>
          </w:p>
          <w:p w14:paraId="6E14180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四、实验</w:t>
            </w:r>
          </w:p>
          <w:p w14:paraId="6D5EDB6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对人体吸入的空气和呼出的气体的探究、对蜡烛燃烧的探究、空气质量检测、酵母菌的呼吸作用、种子的萌发产生二氧化碳、证明空气中含有二氧化碳、燃烧的秘密等</w:t>
            </w:r>
          </w:p>
        </w:tc>
        <w:tc>
          <w:tcPr>
            <w:tcW w:w="771" w:type="dxa"/>
            <w:tcBorders>
              <w:tl2br w:val="nil"/>
              <w:tr2bl w:val="nil"/>
            </w:tcBorders>
            <w:noWrap w:val="0"/>
            <w:vAlign w:val="center"/>
          </w:tcPr>
          <w:p w14:paraId="23E8E4E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F43EDF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59E84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F66C93C">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192</w:t>
            </w:r>
          </w:p>
        </w:tc>
        <w:tc>
          <w:tcPr>
            <w:tcW w:w="1470" w:type="dxa"/>
            <w:tcBorders>
              <w:tl2br w:val="nil"/>
              <w:tr2bl w:val="nil"/>
            </w:tcBorders>
            <w:noWrap w:val="0"/>
            <w:vAlign w:val="center"/>
          </w:tcPr>
          <w:p w14:paraId="7404E6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无线智能色度计&amp;浊度计</w:t>
            </w:r>
          </w:p>
        </w:tc>
        <w:tc>
          <w:tcPr>
            <w:tcW w:w="1425" w:type="dxa"/>
            <w:tcBorders>
              <w:tl2br w:val="nil"/>
              <w:tr2bl w:val="nil"/>
            </w:tcBorders>
            <w:noWrap w:val="0"/>
            <w:vAlign w:val="center"/>
          </w:tcPr>
          <w:p w14:paraId="68FD4AE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7CD1C8F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无线智能色度计&amp;浊度计内置色度计、浊度计2种传感器模块，无需连接数据采集器，通过蓝牙或USB直连电脑、手机或平板等终端可直接进行数据采集，在终端上实时显示并记录数据的变化，绘制相应图像。使用电源按钮或软件设置切换色度、浊度功能，并且可切换红、橙、黄、绿、蓝、紫6种入射光。可脱离终端而独立地记录所探测到的实验数据并加以保存，并随时供下载和分析。</w:t>
            </w:r>
          </w:p>
          <w:p w14:paraId="754D6A6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0C0A1AA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由传感器主体正面有电源按钮、电源和蓝牙指示灯、传感器名称、蓝牙编号、0.96英寸OLED显示屏；主体前部为开合舱体，可放入比色皿进行实验。</w:t>
            </w:r>
          </w:p>
          <w:p w14:paraId="57A6CFA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652F7F5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1.传感器内置蓝牙无线模块：使用蓝牙5.0技术，该技术拥有极低的运行和待机功耗。</w:t>
            </w:r>
          </w:p>
          <w:p w14:paraId="5B7FB2D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2.传感器与数据采集终端（电脑、平板或手机）直接通过蓝牙无线连接，便于运动情况下的数据测量及各种实验环境中的数据采集，无需数据采集器；多种传感器合一，可测量：透光率、吸光度、浊度等。</w:t>
            </w:r>
          </w:p>
          <w:p w14:paraId="4625C2A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3.可脱机进行数据采集。</w:t>
            </w:r>
          </w:p>
          <w:p w14:paraId="7426469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4.色度/浊度切换简单，通过电源按钮或软件设置切换，提供多种波长选择。</w:t>
            </w:r>
          </w:p>
          <w:p w14:paraId="7B9FAC7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5.传感器具有唯一蓝牙编号，便于数据终端选择性连接。</w:t>
            </w:r>
          </w:p>
          <w:p w14:paraId="09916DD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6.无需校准，即连即用。</w:t>
            </w:r>
          </w:p>
          <w:p w14:paraId="4834B4E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7.连接方式：蓝牙无线或有线。</w:t>
            </w:r>
          </w:p>
          <w:p w14:paraId="7CB056A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8.节能方式：传感器打开电源，但无连接或连接无活动，几分钟后自动关闭电源。</w:t>
            </w:r>
          </w:p>
          <w:p w14:paraId="27D566C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9.支持固件空中升级。</w:t>
            </w:r>
          </w:p>
          <w:p w14:paraId="34DB800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42D0E27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w:t>
            </w:r>
          </w:p>
          <w:p w14:paraId="0D22461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红光（645nm）：透光率0~100%、吸光度0~3A</w:t>
            </w:r>
          </w:p>
          <w:p w14:paraId="2F9D1D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橙光（611nm）：透光率0~100%、吸光度0~3A</w:t>
            </w:r>
          </w:p>
          <w:p w14:paraId="174F79B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黄光（570nm）：透光率0~100%、吸光度0~3A</w:t>
            </w:r>
          </w:p>
          <w:p w14:paraId="64C64E4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绿光（520nm）：透光率0~100%、吸光度0~3A</w:t>
            </w:r>
          </w:p>
          <w:p w14:paraId="1109660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蓝光（470nm）：透光率0~100%、吸光度0~3A</w:t>
            </w:r>
          </w:p>
          <w:p w14:paraId="6B92D03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紫光（430nm）：透光率0~100%、吸光度0~3A</w:t>
            </w:r>
          </w:p>
          <w:p w14:paraId="0FE9DF4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浊度：0~400 NTU</w:t>
            </w:r>
          </w:p>
          <w:p w14:paraId="5FC1BC9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w:t>
            </w:r>
          </w:p>
          <w:p w14:paraId="532142A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红光（645nm）：透光率±2%F.S、吸光度±0.03A</w:t>
            </w:r>
          </w:p>
          <w:p w14:paraId="6194CDD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橙光（611nm）：透光率±2%F.S、吸光度±0.03A</w:t>
            </w:r>
          </w:p>
          <w:p w14:paraId="7E5C73D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黄光（570nm）：透光率±2%F.S、吸光度±0.03A</w:t>
            </w:r>
          </w:p>
          <w:p w14:paraId="32255B7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绿光（520nm）：透光率±2%F.S、吸光度±0.03A</w:t>
            </w:r>
          </w:p>
          <w:p w14:paraId="2538E43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蓝光（470nm）：透光率±2%F.S、吸光度±0.03A</w:t>
            </w:r>
          </w:p>
          <w:p w14:paraId="25B4B54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紫光（430nm）：透光率±2%F.S、吸光度±0.03A</w:t>
            </w:r>
          </w:p>
          <w:p w14:paraId="49DB265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浊度：±5% NTU</w:t>
            </w:r>
          </w:p>
          <w:p w14:paraId="51077D8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w:t>
            </w:r>
          </w:p>
          <w:p w14:paraId="4500C64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红光（645nm）：透光率0.1%、吸光度0.01A</w:t>
            </w:r>
          </w:p>
          <w:p w14:paraId="58D2120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橙光（611nm）：透光率0.1%、吸光度0.01A</w:t>
            </w:r>
          </w:p>
          <w:p w14:paraId="69B86B1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黄光（570nm）：透光率0.1%、吸光度0.01A</w:t>
            </w:r>
          </w:p>
          <w:p w14:paraId="7F1EEDE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绿光（520nm）：透光率0.1%、吸光度0.01A</w:t>
            </w:r>
          </w:p>
          <w:p w14:paraId="7E267A3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蓝光（470nm）：透光率0.1%、吸光度0.01A</w:t>
            </w:r>
          </w:p>
          <w:p w14:paraId="3077D5A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紫光（430nm）：透光率0.1%、吸光度0.01A</w:t>
            </w:r>
          </w:p>
          <w:p w14:paraId="3DFD1F1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浊度：0.1 NTU</w:t>
            </w:r>
          </w:p>
          <w:p w14:paraId="5CECB7E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4.采样速率:10次/秒</w:t>
            </w:r>
          </w:p>
          <w:p w14:paraId="1D5E2BF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5.连续使用时间:≥50 小时</w:t>
            </w:r>
          </w:p>
          <w:p w14:paraId="46A19D3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6.通讯距离:≥30m（空旷无遮挡）</w:t>
            </w:r>
          </w:p>
          <w:p w14:paraId="5E19DCD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7.可充电锂电池，电池型号：3.7V 1000mAh</w:t>
            </w:r>
          </w:p>
          <w:p w14:paraId="7C9891C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四、典型实验</w:t>
            </w:r>
          </w:p>
          <w:p w14:paraId="43025BF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水质检测、用肥皂水区分软水和硬水、观察氢氧化钙与二氧化碳的反应、探究反应条件对氯化铁水解平衡的影响、绿叶中色素的提取和分离等实验</w:t>
            </w:r>
          </w:p>
        </w:tc>
        <w:tc>
          <w:tcPr>
            <w:tcW w:w="771" w:type="dxa"/>
            <w:tcBorders>
              <w:tl2br w:val="nil"/>
              <w:tr2bl w:val="nil"/>
            </w:tcBorders>
            <w:noWrap w:val="0"/>
            <w:vAlign w:val="center"/>
          </w:tcPr>
          <w:p w14:paraId="6EDF44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268C73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306C1B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35A3B07">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193</w:t>
            </w:r>
          </w:p>
        </w:tc>
        <w:tc>
          <w:tcPr>
            <w:tcW w:w="1470" w:type="dxa"/>
            <w:tcBorders>
              <w:tl2br w:val="nil"/>
              <w:tr2bl w:val="nil"/>
            </w:tcBorders>
            <w:noWrap w:val="0"/>
            <w:vAlign w:val="center"/>
          </w:tcPr>
          <w:p w14:paraId="76731D4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相对湿度传感器</w:t>
            </w:r>
          </w:p>
        </w:tc>
        <w:tc>
          <w:tcPr>
            <w:tcW w:w="1425" w:type="dxa"/>
            <w:tcBorders>
              <w:tl2br w:val="nil"/>
              <w:tr2bl w:val="nil"/>
            </w:tcBorders>
            <w:noWrap w:val="0"/>
            <w:vAlign w:val="center"/>
          </w:tcPr>
          <w:p w14:paraId="2A08AFC1">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1E8F87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相对湿度传感器采用模块化设计，配合通用接口，通过Lightning接口与采集器连接，支持正反盲插，具有热插拔功能，连接传输稳定。搭配采集器通过有线、无线方式连接电脑、手机或平板等终端进行数据采集，在终端上实时显示并记录湿度的变化，并绘制图像，可脱离终端独立采集记录所探测到的实验数据并加以保存，以供下载和分析。</w:t>
            </w:r>
          </w:p>
          <w:p w14:paraId="312BA26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68BD0D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一体式传感器，Lightning接口。</w:t>
            </w:r>
          </w:p>
          <w:p w14:paraId="302E6B6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2C1439E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1.用于测量空气的相对湿度。</w:t>
            </w:r>
          </w:p>
          <w:p w14:paraId="113E359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2.外壳采用ABS工程塑料，具有耐火、耐高温、阻燃等特性。</w:t>
            </w:r>
          </w:p>
          <w:p w14:paraId="12DBB35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3.搭配采集器可以在Windows、安卓、iOS系统上进行数据采集。</w:t>
            </w:r>
          </w:p>
          <w:p w14:paraId="1297027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4.无需校准，即连即用。</w:t>
            </w:r>
          </w:p>
          <w:p w14:paraId="6C70FCC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三、规格</w:t>
            </w:r>
          </w:p>
          <w:p w14:paraId="329B6C4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1.量程：0~100%</w:t>
            </w:r>
          </w:p>
          <w:p w14:paraId="27B1A1E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2.精度：±4%（10%~90%RH）</w:t>
            </w:r>
          </w:p>
          <w:p w14:paraId="0DD1D3D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3.分辨率：0.1%</w:t>
            </w:r>
          </w:p>
          <w:p w14:paraId="0B029F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四、实验</w:t>
            </w:r>
          </w:p>
          <w:p w14:paraId="5F4B4F9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对人体吸入的空气和呼出的气体的探究、生活环境中湿度的测量、对蜡烛燃烧的探究、浓硫酸的吸水性、空气质量检测、植物的蒸腾作用、影响鼠妇分布的非生物因素、证明空气中含有水蒸气、测量环境湿度等</w:t>
            </w:r>
          </w:p>
        </w:tc>
        <w:tc>
          <w:tcPr>
            <w:tcW w:w="771" w:type="dxa"/>
            <w:tcBorders>
              <w:tl2br w:val="nil"/>
              <w:tr2bl w:val="nil"/>
            </w:tcBorders>
            <w:noWrap w:val="0"/>
            <w:vAlign w:val="center"/>
          </w:tcPr>
          <w:p w14:paraId="67A00BB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622A6D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28E3E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620344C">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194</w:t>
            </w:r>
          </w:p>
        </w:tc>
        <w:tc>
          <w:tcPr>
            <w:tcW w:w="1470" w:type="dxa"/>
            <w:tcBorders>
              <w:tl2br w:val="nil"/>
              <w:tr2bl w:val="nil"/>
            </w:tcBorders>
            <w:noWrap w:val="0"/>
            <w:vAlign w:val="center"/>
          </w:tcPr>
          <w:p w14:paraId="0DDC1A7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光纤光谱仪</w:t>
            </w:r>
          </w:p>
        </w:tc>
        <w:tc>
          <w:tcPr>
            <w:tcW w:w="1425" w:type="dxa"/>
            <w:tcBorders>
              <w:tl2br w:val="nil"/>
              <w:tr2bl w:val="nil"/>
            </w:tcBorders>
            <w:noWrap w:val="0"/>
            <w:vAlign w:val="center"/>
          </w:tcPr>
          <w:p w14:paraId="43D72F12">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698BE2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一、组成</w:t>
            </w:r>
          </w:p>
          <w:p w14:paraId="776760B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光纤光谱仪实验器主体（含开关、工作指示灯、USB接口、漏液孔、电池电源、比色皿槽）、比色皿*10、光纤、USB数据线、干电池*4</w:t>
            </w:r>
          </w:p>
          <w:p w14:paraId="4F36985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5390D9E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1.用于测量强度、吸光度、透光率和荧光等。</w:t>
            </w:r>
          </w:p>
          <w:p w14:paraId="5C7BA2C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2.实验器采用了交叉非对称 C-T 光学系统，结构简单，体积小。内置CCD探测器，无需外接传感器及采集器，可直接与终端连接，在专用软件上，可实现数据连续记录并以数值、图像等多种形式在Windows系统终端上实时呈现，可探究分析叶绿素的吸收光谱、各种色光的光谱测量、高锰酸钾溶液浓度测定等实验，涉及到教学中的多个学科，广泛应用于中学教育或者大学的初级教学。</w:t>
            </w:r>
          </w:p>
          <w:p w14:paraId="6F4EE51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3.采用集成LED钨光光源和两段荧光激光光源，可自由切换，安全实用。</w:t>
            </w:r>
          </w:p>
          <w:p w14:paraId="5FAB02F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4.具有高质量的衍射光栅，可以将不同光谱的谱线分开，并且入射到反射镜上。</w:t>
            </w:r>
          </w:p>
          <w:p w14:paraId="03331187">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5.配置10个比色皿，可对溶液进行浓度、吸光度、透光率等测量。</w:t>
            </w:r>
          </w:p>
          <w:p w14:paraId="699AB69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6.主体下方设有漏液孔，可有效避免比色皿槽中液体残留损坏测量窗口。</w:t>
            </w:r>
          </w:p>
          <w:p w14:paraId="06A70B0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7.配置光纤，可实现对各种色光的光谱测量。</w:t>
            </w:r>
          </w:p>
          <w:p w14:paraId="5D90C19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三、实验</w:t>
            </w:r>
          </w:p>
          <w:p w14:paraId="66F48AC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高锰酸钾溶液浓度测定、硫酸铜溶液浓度测定、测定实验室黄铜样品的铜含量、测定自制硫酸亚铁铵的纯度、测量化学反应速率、分析叶绿素的吸收光谱、探究酶浓度对酶促反应速率的影响、荧光光谱的测量、各种色光的光谱测量、气体放电管的放射光谱测量等实验</w:t>
            </w:r>
          </w:p>
          <w:p w14:paraId="49C7842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highlight w:val="none"/>
                <w:vertAlign w:val="baseline"/>
                <w:lang w:val="en-US" w:eastAsia="zh-CN" w:bidi="ar"/>
              </w:rPr>
              <w:t>★提供由国家认可的检测机构出具的带有CMA标识的检测报告</w:t>
            </w:r>
          </w:p>
        </w:tc>
        <w:tc>
          <w:tcPr>
            <w:tcW w:w="771" w:type="dxa"/>
            <w:tcBorders>
              <w:tl2br w:val="nil"/>
              <w:tr2bl w:val="nil"/>
            </w:tcBorders>
            <w:noWrap w:val="0"/>
            <w:vAlign w:val="center"/>
          </w:tcPr>
          <w:p w14:paraId="3C7C9BF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375C08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253889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13C2316">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1470" w:type="dxa"/>
            <w:tcBorders>
              <w:tl2br w:val="nil"/>
              <w:tr2bl w:val="nil"/>
            </w:tcBorders>
            <w:noWrap w:val="0"/>
            <w:vAlign w:val="center"/>
          </w:tcPr>
          <w:p w14:paraId="73296FA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通用接口</w:t>
            </w:r>
          </w:p>
        </w:tc>
        <w:tc>
          <w:tcPr>
            <w:tcW w:w="1425" w:type="dxa"/>
            <w:tcBorders>
              <w:tl2br w:val="nil"/>
              <w:tr2bl w:val="nil"/>
            </w:tcBorders>
            <w:noWrap w:val="0"/>
            <w:vAlign w:val="center"/>
          </w:tcPr>
          <w:p w14:paraId="005E6FC3">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6498F25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一、结构及外观</w:t>
            </w:r>
          </w:p>
          <w:p w14:paraId="25F228D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通用接口正面为电源指示灯，前端、后端为Lightning接口，用于跟传感器的连接。</w:t>
            </w:r>
          </w:p>
          <w:p w14:paraId="59C311A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二、功能</w:t>
            </w:r>
          </w:p>
          <w:p w14:paraId="494D59C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1.用于传感器与采集器的连接。</w:t>
            </w:r>
          </w:p>
          <w:p w14:paraId="4D43C15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2.外壳采用ABS工程塑料，具有耐火、耐高温、阻燃等特性。</w:t>
            </w:r>
          </w:p>
          <w:p w14:paraId="106ECE7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3.具有通电指示灯，可以快速判断是否正确连接。</w:t>
            </w:r>
          </w:p>
        </w:tc>
        <w:tc>
          <w:tcPr>
            <w:tcW w:w="771" w:type="dxa"/>
            <w:tcBorders>
              <w:tl2br w:val="nil"/>
              <w:tr2bl w:val="nil"/>
            </w:tcBorders>
            <w:noWrap w:val="0"/>
            <w:vAlign w:val="center"/>
          </w:tcPr>
          <w:p w14:paraId="21D0DE7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772" w:type="dxa"/>
            <w:tcBorders>
              <w:tl2br w:val="nil"/>
              <w:tr2bl w:val="nil"/>
            </w:tcBorders>
            <w:noWrap w:val="0"/>
            <w:vAlign w:val="center"/>
          </w:tcPr>
          <w:p w14:paraId="521379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r>
      <w:tr w14:paraId="7E75AA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ABB8662">
            <w:pPr>
              <w:keepNext w:val="0"/>
              <w:keepLines w:val="0"/>
              <w:widowControl/>
              <w:suppressLineNumbers w:val="0"/>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000000"/>
                <w:kern w:val="0"/>
                <w:sz w:val="22"/>
                <w:szCs w:val="22"/>
                <w:u w:val="none"/>
                <w:lang w:val="en-US" w:eastAsia="zh-CN" w:bidi="ar"/>
              </w:rPr>
              <w:t>196</w:t>
            </w:r>
          </w:p>
        </w:tc>
        <w:tc>
          <w:tcPr>
            <w:tcW w:w="1470" w:type="dxa"/>
            <w:tcBorders>
              <w:tl2br w:val="nil"/>
              <w:tr2bl w:val="nil"/>
            </w:tcBorders>
            <w:noWrap w:val="0"/>
            <w:vAlign w:val="center"/>
          </w:tcPr>
          <w:p w14:paraId="1B33611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手提式实验箱</w:t>
            </w:r>
          </w:p>
        </w:tc>
        <w:tc>
          <w:tcPr>
            <w:tcW w:w="1425" w:type="dxa"/>
            <w:tcBorders>
              <w:tl2br w:val="nil"/>
              <w:tr2bl w:val="nil"/>
            </w:tcBorders>
            <w:noWrap w:val="0"/>
            <w:vAlign w:val="center"/>
          </w:tcPr>
          <w:p w14:paraId="0EA6A6A9">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1"/>
                <w:szCs w:val="21"/>
                <w:vertAlign w:val="baseline"/>
                <w:lang w:val="en-US" w:eastAsia="zh-CN" w:bidi="ar"/>
              </w:rPr>
              <w:t>/</w:t>
            </w:r>
          </w:p>
        </w:tc>
        <w:tc>
          <w:tcPr>
            <w:tcW w:w="4740" w:type="dxa"/>
            <w:tcBorders>
              <w:tl2br w:val="nil"/>
              <w:tr2bl w:val="nil"/>
            </w:tcBorders>
            <w:noWrap w:val="0"/>
            <w:vAlign w:val="center"/>
          </w:tcPr>
          <w:p w14:paraId="16CC1AF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手提式箱式设计，可翻盖，采用ABS材质，外形尺寸（长宽高）：435mm*325mm*170mm（两箱叠加高度H=330mm），最大承重：30-35公斤；箱体底部设有底部凸起，与上部设计凹槽相互咬合，通过独特的纽扣式锁止机构，实现箱子与箱子之前的锁合，可多个垒叠放置，便于携带和搬运，最多可垒5箱；内部含有内衬，保证每个器材都有对应的存放位置，便于快速、高效的整理和收纳；</w:t>
            </w:r>
          </w:p>
        </w:tc>
        <w:tc>
          <w:tcPr>
            <w:tcW w:w="771" w:type="dxa"/>
            <w:tcBorders>
              <w:tl2br w:val="nil"/>
              <w:tr2bl w:val="nil"/>
            </w:tcBorders>
            <w:noWrap w:val="0"/>
            <w:vAlign w:val="center"/>
          </w:tcPr>
          <w:p w14:paraId="66CAE5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72" w:type="dxa"/>
            <w:tcBorders>
              <w:tl2br w:val="nil"/>
              <w:tr2bl w:val="nil"/>
            </w:tcBorders>
            <w:noWrap w:val="0"/>
            <w:vAlign w:val="center"/>
          </w:tcPr>
          <w:p w14:paraId="7802C99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r>
    </w:tbl>
    <w:p w14:paraId="0666814F">
      <w:pPr>
        <w:keepNext w:val="0"/>
        <w:keepLines w:val="0"/>
        <w:pageBreakBefore w:val="0"/>
        <w:widowControl w:val="0"/>
        <w:kinsoku/>
        <w:wordWrap/>
        <w:overflowPunct/>
        <w:topLinePunct w:val="0"/>
        <w:autoSpaceDE w:val="0"/>
        <w:autoSpaceDN w:val="0"/>
        <w:bidi w:val="0"/>
        <w:adjustRightInd/>
        <w:snapToGrid/>
        <w:spacing w:before="0" w:beforeLines="50"/>
        <w:textAlignment w:val="auto"/>
        <w:rPr>
          <w:rFonts w:hint="default"/>
          <w:color w:val="auto"/>
          <w:lang w:val="en-US" w:eastAsia="zh-CN"/>
        </w:rPr>
      </w:pPr>
      <w:bookmarkStart w:id="193" w:name="_Toc31359"/>
      <w:bookmarkStart w:id="194" w:name="_Toc32267"/>
      <w:bookmarkStart w:id="195" w:name="_Toc10827"/>
      <w:bookmarkStart w:id="196" w:name="_Toc31794"/>
      <w:r>
        <w:rPr>
          <w:rFonts w:hint="eastAsia" w:ascii="仿宋" w:hAnsi="仿宋" w:eastAsia="仿宋" w:cs="仿宋"/>
          <w:b/>
          <w:bCs/>
          <w:color w:val="auto"/>
          <w:sz w:val="24"/>
          <w:szCs w:val="24"/>
          <w:lang w:val="en-US" w:eastAsia="zh-CN"/>
        </w:rPr>
        <w:t>（三）计算机学科</w:t>
      </w:r>
    </w:p>
    <w:tbl>
      <w:tblPr>
        <w:tblStyle w:val="27"/>
        <w:tblW w:w="98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686"/>
        <w:gridCol w:w="1470"/>
        <w:gridCol w:w="1425"/>
        <w:gridCol w:w="4740"/>
        <w:gridCol w:w="771"/>
        <w:gridCol w:w="772"/>
      </w:tblGrid>
      <w:tr w14:paraId="39361D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9864" w:type="dxa"/>
            <w:gridSpan w:val="6"/>
            <w:tcBorders>
              <w:tl2br w:val="nil"/>
              <w:tr2bl w:val="nil"/>
            </w:tcBorders>
            <w:shd w:val="clear" w:color="auto" w:fill="B6DDE8" w:themeFill="accent5" w:themeFillTint="66"/>
            <w:noWrap w:val="0"/>
            <w:vAlign w:val="center"/>
          </w:tcPr>
          <w:p w14:paraId="2D85F45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计算机教室</w:t>
            </w:r>
          </w:p>
        </w:tc>
      </w:tr>
      <w:tr w14:paraId="415FA4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B6DDE8" w:themeFill="accent5" w:themeFillTint="66"/>
            <w:noWrap w:val="0"/>
            <w:vAlign w:val="center"/>
          </w:tcPr>
          <w:p w14:paraId="3722F445">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序号</w:t>
            </w:r>
          </w:p>
        </w:tc>
        <w:tc>
          <w:tcPr>
            <w:tcW w:w="1470" w:type="dxa"/>
            <w:tcBorders>
              <w:tl2br w:val="nil"/>
              <w:tr2bl w:val="nil"/>
            </w:tcBorders>
            <w:shd w:val="clear" w:color="auto" w:fill="B6DDE8" w:themeFill="accent5" w:themeFillTint="66"/>
            <w:noWrap w:val="0"/>
            <w:vAlign w:val="center"/>
          </w:tcPr>
          <w:p w14:paraId="7FE5FAA4">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b/>
                <w:bCs/>
                <w:color w:val="auto"/>
                <w:position w:val="-6"/>
                <w:sz w:val="24"/>
                <w:szCs w:val="24"/>
                <w:lang w:val="en-US" w:eastAsia="zh-CN"/>
              </w:rPr>
              <w:t>名称</w:t>
            </w:r>
          </w:p>
        </w:tc>
        <w:tc>
          <w:tcPr>
            <w:tcW w:w="1425" w:type="dxa"/>
            <w:tcBorders>
              <w:tl2br w:val="nil"/>
              <w:tr2bl w:val="nil"/>
            </w:tcBorders>
            <w:shd w:val="clear" w:color="auto" w:fill="B6DDE8" w:themeFill="accent5" w:themeFillTint="66"/>
            <w:noWrap w:val="0"/>
            <w:vAlign w:val="center"/>
          </w:tcPr>
          <w:p w14:paraId="4E01D966">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规格</w:t>
            </w:r>
          </w:p>
        </w:tc>
        <w:tc>
          <w:tcPr>
            <w:tcW w:w="4740" w:type="dxa"/>
            <w:tcBorders>
              <w:tl2br w:val="nil"/>
              <w:tr2bl w:val="nil"/>
            </w:tcBorders>
            <w:shd w:val="clear" w:color="auto" w:fill="B6DDE8" w:themeFill="accent5" w:themeFillTint="66"/>
            <w:noWrap w:val="0"/>
            <w:vAlign w:val="center"/>
          </w:tcPr>
          <w:p w14:paraId="2D18D1DF">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技术参数</w:t>
            </w:r>
          </w:p>
        </w:tc>
        <w:tc>
          <w:tcPr>
            <w:tcW w:w="771" w:type="dxa"/>
            <w:tcBorders>
              <w:tl2br w:val="nil"/>
              <w:tr2bl w:val="nil"/>
            </w:tcBorders>
            <w:shd w:val="clear" w:color="auto" w:fill="B6DDE8" w:themeFill="accent5" w:themeFillTint="66"/>
            <w:noWrap w:val="0"/>
            <w:vAlign w:val="center"/>
          </w:tcPr>
          <w:p w14:paraId="577B00D5">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数量</w:t>
            </w:r>
          </w:p>
        </w:tc>
        <w:tc>
          <w:tcPr>
            <w:tcW w:w="772" w:type="dxa"/>
            <w:tcBorders>
              <w:tl2br w:val="nil"/>
              <w:tr2bl w:val="nil"/>
            </w:tcBorders>
            <w:shd w:val="clear" w:color="auto" w:fill="B6DDE8" w:themeFill="accent5" w:themeFillTint="66"/>
            <w:noWrap w:val="0"/>
            <w:vAlign w:val="center"/>
          </w:tcPr>
          <w:p w14:paraId="62F614D0">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单位</w:t>
            </w:r>
          </w:p>
        </w:tc>
      </w:tr>
      <w:tr w14:paraId="124F56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E2CE13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470" w:type="dxa"/>
            <w:tcBorders>
              <w:tl2br w:val="nil"/>
              <w:tr2bl w:val="nil"/>
            </w:tcBorders>
            <w:shd w:val="clear" w:color="auto" w:fill="auto"/>
            <w:noWrap w:val="0"/>
            <w:vAlign w:val="center"/>
          </w:tcPr>
          <w:p w14:paraId="5430219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教师机</w:t>
            </w:r>
          </w:p>
        </w:tc>
        <w:tc>
          <w:tcPr>
            <w:tcW w:w="1425" w:type="dxa"/>
            <w:tcBorders>
              <w:tl2br w:val="nil"/>
              <w:tr2bl w:val="nil"/>
            </w:tcBorders>
            <w:shd w:val="clear" w:color="auto" w:fill="auto"/>
            <w:noWrap w:val="0"/>
            <w:vAlign w:val="center"/>
          </w:tcPr>
          <w:p w14:paraId="761BE3B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5693F1A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类型：一体机式电脑</w:t>
            </w:r>
          </w:p>
          <w:p w14:paraId="38BA952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highlight w:val="none"/>
                <w:vertAlign w:val="baseline"/>
                <w:lang w:val="zh-CN" w:eastAsia="zh-CN" w:bidi="ar"/>
              </w:rPr>
            </w:pPr>
            <w:r>
              <w:rPr>
                <w:rFonts w:hint="eastAsia" w:ascii="仿宋" w:hAnsi="仿宋" w:eastAsia="仿宋" w:cs="仿宋"/>
                <w:color w:val="auto"/>
                <w:kern w:val="0"/>
                <w:sz w:val="20"/>
                <w:szCs w:val="20"/>
                <w:highlight w:val="none"/>
                <w:vertAlign w:val="baseline"/>
                <w:lang w:val="zh-CN" w:eastAsia="zh-CN" w:bidi="ar"/>
              </w:rPr>
              <w:t>CPU：≥8核，主频≥</w:t>
            </w:r>
            <w:r>
              <w:rPr>
                <w:rFonts w:hint="eastAsia" w:ascii="仿宋" w:hAnsi="仿宋" w:eastAsia="仿宋" w:cs="仿宋"/>
                <w:color w:val="auto"/>
                <w:kern w:val="0"/>
                <w:sz w:val="20"/>
                <w:szCs w:val="20"/>
                <w:highlight w:val="none"/>
                <w:vertAlign w:val="baseline"/>
                <w:lang w:val="en-US" w:eastAsia="zh-CN" w:bidi="ar"/>
              </w:rPr>
              <w:t>2.1</w:t>
            </w:r>
            <w:r>
              <w:rPr>
                <w:rFonts w:hint="eastAsia" w:ascii="仿宋" w:hAnsi="仿宋" w:eastAsia="仿宋" w:cs="仿宋"/>
                <w:color w:val="auto"/>
                <w:kern w:val="0"/>
                <w:sz w:val="20"/>
                <w:szCs w:val="20"/>
                <w:highlight w:val="none"/>
                <w:vertAlign w:val="baseline"/>
                <w:lang w:val="zh-CN" w:eastAsia="zh-CN" w:bidi="ar"/>
              </w:rPr>
              <w:t>GHz，缓存≥1</w:t>
            </w:r>
            <w:r>
              <w:rPr>
                <w:rFonts w:hint="eastAsia" w:ascii="仿宋" w:hAnsi="仿宋" w:eastAsia="仿宋" w:cs="仿宋"/>
                <w:color w:val="auto"/>
                <w:kern w:val="0"/>
                <w:sz w:val="20"/>
                <w:szCs w:val="20"/>
                <w:highlight w:val="none"/>
                <w:vertAlign w:val="baseline"/>
                <w:lang w:val="en-US" w:eastAsia="zh-CN" w:bidi="ar"/>
              </w:rPr>
              <w:t>2</w:t>
            </w:r>
            <w:r>
              <w:rPr>
                <w:rFonts w:hint="eastAsia" w:ascii="仿宋" w:hAnsi="仿宋" w:eastAsia="仿宋" w:cs="仿宋"/>
                <w:color w:val="auto"/>
                <w:kern w:val="0"/>
                <w:sz w:val="20"/>
                <w:szCs w:val="20"/>
                <w:highlight w:val="none"/>
                <w:vertAlign w:val="baseline"/>
                <w:lang w:val="zh-CN" w:eastAsia="zh-CN" w:bidi="ar"/>
              </w:rPr>
              <w:t>MB；</w:t>
            </w:r>
          </w:p>
          <w:p w14:paraId="4321CEB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显示屏：≥23.8英寸 IPS（LED背光）/250nit/响应时间:14毫秒/99%sRGB色域</w:t>
            </w:r>
          </w:p>
          <w:p w14:paraId="5EF90ED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zh-CN" w:eastAsia="zh-CN" w:bidi="ar"/>
              </w:rPr>
              <w:t>100Hz刷新率/1300:1对比度/16.7M颜色/178°可视角度</w:t>
            </w:r>
            <w:r>
              <w:rPr>
                <w:rFonts w:hint="eastAsia" w:ascii="仿宋" w:hAnsi="仿宋" w:eastAsia="仿宋" w:cs="仿宋"/>
                <w:color w:val="auto"/>
                <w:kern w:val="0"/>
                <w:sz w:val="20"/>
                <w:szCs w:val="20"/>
                <w:vertAlign w:val="baseline"/>
                <w:lang w:val="en-US" w:eastAsia="zh-CN" w:bidi="ar"/>
              </w:rPr>
              <w:t xml:space="preserve"> </w:t>
            </w:r>
          </w:p>
          <w:p w14:paraId="5C0B336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内存：16G</w:t>
            </w:r>
          </w:p>
          <w:p w14:paraId="7802785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内存槽数量</w:t>
            </w:r>
          </w:p>
          <w:p w14:paraId="5924236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2-UDIMM</w:t>
            </w:r>
          </w:p>
          <w:p w14:paraId="082B388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内存类型：DDR5-5200</w:t>
            </w:r>
          </w:p>
          <w:p w14:paraId="3CEF89EB">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支持最大内存32GB</w:t>
            </w:r>
          </w:p>
          <w:p w14:paraId="67335442">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显卡：集成核心显卡</w:t>
            </w:r>
          </w:p>
          <w:p w14:paraId="2447E07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硬盘：512G 固态硬盘 M.2 接口 NVMe协议</w:t>
            </w:r>
          </w:p>
          <w:p w14:paraId="0441B12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声卡类型：集成声卡 芯片：Realtek ALC233NL with AI noise suppression（AI噪音抑制） 标配</w:t>
            </w:r>
          </w:p>
          <w:p w14:paraId="15B2ED6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立体声音箱”3W x 2 哈曼音箱 Harman 标配</w:t>
            </w:r>
          </w:p>
          <w:p w14:paraId="6150F18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网卡“集成网卡 芯片：Realtek RTL8111H 标配，支持无线网卡，WIFI6 2x2 AX vPro with BT</w:t>
            </w:r>
          </w:p>
          <w:p w14:paraId="75BBFA8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电源型号”外置90W高效电源，能效高达89%</w:t>
            </w:r>
          </w:p>
          <w:p w14:paraId="5CDCD69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USB 接口“4个USB接口或以上</w:t>
            </w:r>
          </w:p>
          <w:p w14:paraId="3C953C2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摄像头&amp;麦克风：5M RGB 摄像头（带物理开关按键）&amp;数字阵列麦克风 标配</w:t>
            </w:r>
          </w:p>
          <w:p w14:paraId="7EBE18A0">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视频输出接口：HDMI OUT 2.1 TMDS（4K*60Hz）接口1个 后置 标配</w:t>
            </w:r>
          </w:p>
          <w:p w14:paraId="4EC568F9">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HDMI IN 1.4接口1个 后置 标配</w:t>
            </w:r>
          </w:p>
          <w:p w14:paraId="7AE696D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t>支持教学软件</w:t>
            </w:r>
          </w:p>
          <w:p w14:paraId="2496976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1.教学资源覆盖版本，能够按学科、版本、章节自动筛选，提供与当前课程相匹配的所有课件、教案、学案、试题、试卷、素材、虚拟实验、可交互式网络画板等教学资源并可通过关键字进行资源的模糊搜索，其中试题支持根据题干进行搜索；</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（需提供功能界面截图）</w:t>
            </w:r>
          </w:p>
          <w:p w14:paraId="4B46D13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pP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2.适配PPT/W</w:t>
            </w:r>
            <w: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t>PS的智能备课工具，平台需具备很强的开放性，下载课件资源需为PPT/PPTX格式，并可直接在ppt中对课件内容进行二次编辑。不能以ppt文件的图片形式导出。</w:t>
            </w:r>
          </w:p>
          <w:p w14:paraId="5E95C926">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t>3.应支持本地PPT/WPS智能插件和云端资源等多种备课方式。教师无需第三方编辑器，可以直接在本地PPT课件中通过插件调取试题、微课视频等云端资源，可以自由创建新试题、课堂活动、网站链接、思维导图、网络画板，上传本地多媒体文件形成互动课件。为保证多终端调用同个课件均为最新版本，支持课件云同步，课件编辑完成可一键同步至云端存储。</w:t>
            </w:r>
          </w:p>
          <w:p w14:paraId="54066784">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pPr>
            <w: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t>4.题库应提供不少于400万道各学科主流教材版本的试题，能够根据课本章节、知识点、题型难易程度进行筛选，支持收藏、查看试题答案、解析、关联知识点，支持对试题进行二次编辑；</w:t>
            </w:r>
          </w:p>
          <w:p w14:paraId="6A53183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5.通过对纸质试题拍照，可将图片上传，将纸质文字变为电子版文字，便于老师优质试题的收集使用，支持在线组卷，可从试题库和班级错题集选择试题进行在线组卷。</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（需提供功能界面截图）</w:t>
            </w:r>
          </w:p>
          <w:p w14:paraId="44198E21">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6</w:t>
            </w: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.与主机同一品牌教学管理软件,便于管理和维护</w:t>
            </w:r>
          </w:p>
          <w:p w14:paraId="6455B86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pPr>
            <w:r>
              <w:rPr>
                <w:rFonts w:hint="eastAsia" w:ascii="仿宋" w:hAnsi="仿宋" w:eastAsia="仿宋" w:cs="仿宋"/>
                <w:color w:val="000000" w:themeColor="text1"/>
                <w:kern w:val="0"/>
                <w:sz w:val="20"/>
                <w:szCs w:val="20"/>
                <w:highlight w:val="none"/>
                <w:vertAlign w:val="baseline"/>
                <w:lang w:val="zh-CN" w:eastAsia="zh-CN" w:bidi="ar"/>
                <w14:textFill>
                  <w14:solidFill>
                    <w14:schemeClr w14:val="tx1"/>
                  </w14:solidFill>
                </w14:textFill>
              </w:rPr>
              <w:t>安全功能</w:t>
            </w:r>
          </w:p>
          <w:p w14:paraId="6B45046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t xml:space="preserve">USB屏蔽技术，仅识别USB键盘、鼠标，无法识别USB读取设备，有效防止数据泄露； </w:t>
            </w:r>
          </w:p>
        </w:tc>
        <w:tc>
          <w:tcPr>
            <w:tcW w:w="771" w:type="dxa"/>
            <w:tcBorders>
              <w:tl2br w:val="nil"/>
              <w:tr2bl w:val="nil"/>
            </w:tcBorders>
            <w:shd w:val="clear" w:color="auto" w:fill="auto"/>
            <w:noWrap w:val="0"/>
            <w:vAlign w:val="center"/>
          </w:tcPr>
          <w:p w14:paraId="245EB6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w:t>
            </w:r>
          </w:p>
        </w:tc>
        <w:tc>
          <w:tcPr>
            <w:tcW w:w="772" w:type="dxa"/>
            <w:tcBorders>
              <w:tl2br w:val="nil"/>
              <w:tr2bl w:val="nil"/>
            </w:tcBorders>
            <w:shd w:val="clear" w:color="auto" w:fill="auto"/>
            <w:noWrap w:val="0"/>
            <w:vAlign w:val="center"/>
          </w:tcPr>
          <w:p w14:paraId="40F70A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台</w:t>
            </w:r>
          </w:p>
        </w:tc>
      </w:tr>
      <w:tr w14:paraId="489377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ED8490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1470" w:type="dxa"/>
            <w:tcBorders>
              <w:tl2br w:val="nil"/>
              <w:tr2bl w:val="nil"/>
            </w:tcBorders>
            <w:shd w:val="clear" w:color="auto" w:fill="auto"/>
            <w:noWrap w:val="0"/>
            <w:vAlign w:val="center"/>
          </w:tcPr>
          <w:p w14:paraId="074622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学生机</w:t>
            </w:r>
          </w:p>
        </w:tc>
        <w:tc>
          <w:tcPr>
            <w:tcW w:w="1425" w:type="dxa"/>
            <w:tcBorders>
              <w:tl2br w:val="nil"/>
              <w:tr2bl w:val="nil"/>
            </w:tcBorders>
            <w:shd w:val="clear" w:color="auto" w:fill="auto"/>
            <w:noWrap w:val="0"/>
            <w:vAlign w:val="center"/>
          </w:tcPr>
          <w:p w14:paraId="03A861A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62D7084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000000" w:themeColor="text1"/>
                <w:kern w:val="0"/>
                <w:sz w:val="20"/>
                <w:szCs w:val="20"/>
                <w:vertAlign w:val="baseline"/>
                <w:lang w:val="zh-CN" w:eastAsia="zh-CN" w:bidi="ar"/>
                <w14:textFill>
                  <w14:solidFill>
                    <w14:schemeClr w14:val="tx1"/>
                  </w14:solidFill>
                </w14:textFill>
              </w:rPr>
            </w:pPr>
            <w:r>
              <w:rPr>
                <w:rFonts w:hint="eastAsia" w:ascii="仿宋" w:hAnsi="仿宋" w:eastAsia="仿宋" w:cs="仿宋"/>
                <w:color w:val="auto"/>
                <w:kern w:val="0"/>
                <w:sz w:val="20"/>
                <w:szCs w:val="20"/>
                <w:vertAlign w:val="baseline"/>
                <w:lang w:val="en-US" w:eastAsia="zh-CN" w:bidi="ar"/>
              </w:rPr>
              <w:t>类型：商用台式机电脑</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CPU：基础主频≥4.0GHz，≥4核</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主板：Pro 560或以上，主板集成硬盘保护，网络同传功能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内存：8G</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内存槽数量：2-UDIMM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内存类型：DDR4-3200</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显卡：集成高清显示卡</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硬盘：256G固态硬盘 M.2 接口 NVMe协议</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声卡类型：集成5.1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声卡芯片：Realtek ALC662</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网卡：集成千兆网卡： RTL8111HN</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电源型号：180瓦高效电源，能效可达85%或以上</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前置USB 接口：6个USB3.1接口</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音频接口：1个音频输入接口，1个音频输出接口</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后置USB 接口：4个USB接口</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PS/2 接口：2个PS/2</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视频输出接口：1个VGA、1个HDMI</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音频接口：1个音频输入接口，1个音频输出接口，1个麦克风输入接口</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串口、并口：标配1个串口</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可选第2个串口、1个并口：1*PCIe 16x</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1个PCIe 16x规格 (x8速）</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1*PCIe 1x：2</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1*PCI：1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SATA：3</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硬盘槽位：2个3.5"硬盘位</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光驱槽位：1个slim光驱位</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顶置提手：标配，便于移动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可拆卸防尘罩：支持</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机箱报警开关：支持</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光触媒风扇：支持，净化机房空气</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USB屏蔽：BIOS智能分类设置</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显示器:19.5英寸16:9宽屏液晶显示器</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支持管理平台</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1.教师演示：教师可对单一、部分或全体学生进行屏幕演示，全屏、窗口方式均可。</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2.教师演示速度增强：屏幕广播时支持多种画面质量的调节，根据网络的不同选择最好的效果进行教学。</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4.语音广播：将教师机麦克风或其他输入设备（如磁</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带、CD）的声音广播给学生，</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5.学生演示：教师可选定一台学生机作为示范，由此学生代替教师进行示范教学。</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6.分组教学：教师分派组长执行指定的功能，组长代替教师进行小组教学，小组不需要再临时创建，可以直接使用既有分组信息，教师可以监控每个分组的教学过程，以了解分组教学的进度。</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7.分组讨论：教师可以创建多个小组进行讨论活动，并可任意选择分组加入讨论活动。同组师生支持多种方式进行交流，包括文字，表情，图片等。</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8.文件分发：允许教师将教师机不同盘符中的目录或文件一起发送至生机的某目录下。目录不存在自动新建此目录；盘符不存在或路径非法不允许分发；文件已存在选择自动覆盖或保留原始文件。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9.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10.屏幕监视：教师机可以监视单一、部分、全体学生机的屏幕，教师机每屏可监视多个学生屏幕。可以控制教师机监控的同屏幕各窗口间、屏幕与屏幕间的切换速度。可手动或自动循环监视。</w:t>
            </w:r>
          </w:p>
          <w:p w14:paraId="5CE4EC4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11.随堂小考：教师启动快速的单题考试或随堂调查，限定考试时间，学生答题后立即给出结果，结果显示学生答案柱状图分析和答题时间，可作为抢答依据。</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（需提供功能界面截图）</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12.上网限制：设定学生访问网站的黑名单或白名单，对学生可以访问的Internet站点进行管理。</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13.程序限制：通过各种策略的应用，可防止学生在教学过程中打游戏，或使用QQ，MSN等聊天工具。</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14.黑屏肃静：教师可以对单一、部分、全体学生执行黑屏肃静来禁止其进行任何操作，达到专心听课目的，教师可自定义黑屏的内容与图片。</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15.图标监看：班级模型中可以显示学生机桌面的缩图。缩图显示大小也可自由设定。</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16.远程设置：远程设置学生桌面主题、桌面背景、屏幕保护方案、学生的频道号和音量、学生的卸载密码，是否启用进程保护，断线锁屏，热键退出等</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17.为管理员提供云桌面数据展示看板，可视化的   展示客户使用云桌面过程中的各种硬件、软件、管理等数据信息，.支持超级镜像功能，可通过一个标准镜像可以支持多种不同硬件配置，可覆盖不同品牌、跨越不同代的CPU。</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（需提供功能界面截图）</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18.支持批量管理设置终端机计算机名、IP地址、分辨率、时间同步等配置信息。</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19.提供打印机通道模板，支持打印机的个性化管理。</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20.支持智能学习模式，系统可智能学习计算机的个性化配置，个性化驱动和用户的个性化设置并保存。用户进行桌面恢复时，可恢复至用户个性化快照</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21.支持从服务器端发起对客户端进行远程开机、关机、发送通知消息，发送远程命令，在提供授权情况下，支持管理员远程桌面协助排错功能；</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22.硬件资产管理，支持收集终端硬件配置信息，终端使用时长，空闲时长，开机所用时长并计算使用率</w:t>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highlight w:val="none"/>
                <w:vertAlign w:val="baseline"/>
                <w:lang w:val="en-US" w:eastAsia="zh-CN" w:bidi="ar"/>
                <w14:textFill>
                  <w14:solidFill>
                    <w14:schemeClr w14:val="tx1"/>
                  </w14:solidFill>
                </w14:textFill>
              </w:rPr>
              <w:t>23.软</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件资产管理，支持收集软件列表，软件安装时间，使用时长并计算使用率。</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安全功能</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 xml:space="preserve">USB屏蔽技术，仅识别USB键盘、鼠标，无法识别USB读取设备，有效防止数据泄露； </w:t>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br w:type="textWrapping"/>
            </w:r>
            <w:r>
              <w:rPr>
                <w:rFonts w:hint="eastAsia" w:ascii="仿宋" w:hAnsi="仿宋" w:eastAsia="仿宋" w:cs="仿宋"/>
                <w:color w:val="000000" w:themeColor="text1"/>
                <w:kern w:val="0"/>
                <w:sz w:val="20"/>
                <w:szCs w:val="20"/>
                <w:vertAlign w:val="baseline"/>
                <w:lang w:val="en-US" w:eastAsia="zh-CN" w:bidi="ar"/>
                <w14:textFill>
                  <w14:solidFill>
                    <w14:schemeClr w14:val="tx1"/>
                  </w14:solidFill>
                </w14:textFill>
              </w:rPr>
              <w:t>机架体积≤13.6升</w:t>
            </w:r>
          </w:p>
        </w:tc>
        <w:tc>
          <w:tcPr>
            <w:tcW w:w="771" w:type="dxa"/>
            <w:tcBorders>
              <w:tl2br w:val="nil"/>
              <w:tr2bl w:val="nil"/>
            </w:tcBorders>
            <w:shd w:val="clear" w:color="auto" w:fill="auto"/>
            <w:noWrap w:val="0"/>
            <w:vAlign w:val="center"/>
          </w:tcPr>
          <w:p w14:paraId="4029700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48</w:t>
            </w:r>
          </w:p>
        </w:tc>
        <w:tc>
          <w:tcPr>
            <w:tcW w:w="772" w:type="dxa"/>
            <w:tcBorders>
              <w:tl2br w:val="nil"/>
              <w:tr2bl w:val="nil"/>
            </w:tcBorders>
            <w:shd w:val="clear" w:color="auto" w:fill="auto"/>
            <w:noWrap w:val="0"/>
            <w:vAlign w:val="center"/>
          </w:tcPr>
          <w:p w14:paraId="4891C6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台</w:t>
            </w:r>
          </w:p>
        </w:tc>
      </w:tr>
      <w:tr w14:paraId="510F36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8B3A7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1470" w:type="dxa"/>
            <w:tcBorders>
              <w:tl2br w:val="nil"/>
              <w:tr2bl w:val="nil"/>
            </w:tcBorders>
            <w:shd w:val="clear" w:color="auto" w:fill="auto"/>
            <w:noWrap w:val="0"/>
            <w:vAlign w:val="center"/>
          </w:tcPr>
          <w:p w14:paraId="4D3305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24口交换机</w:t>
            </w:r>
          </w:p>
        </w:tc>
        <w:tc>
          <w:tcPr>
            <w:tcW w:w="1425" w:type="dxa"/>
            <w:tcBorders>
              <w:tl2br w:val="nil"/>
              <w:tr2bl w:val="nil"/>
            </w:tcBorders>
            <w:shd w:val="clear" w:color="auto" w:fill="auto"/>
            <w:noWrap w:val="0"/>
            <w:vAlign w:val="center"/>
          </w:tcPr>
          <w:p w14:paraId="4390E2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w:t>
            </w:r>
          </w:p>
        </w:tc>
        <w:tc>
          <w:tcPr>
            <w:tcW w:w="4740" w:type="dxa"/>
            <w:tcBorders>
              <w:tl2br w:val="nil"/>
              <w:tr2bl w:val="nil"/>
            </w:tcBorders>
            <w:shd w:val="clear" w:color="auto" w:fill="auto"/>
            <w:noWrap w:val="0"/>
            <w:vAlign w:val="center"/>
          </w:tcPr>
          <w:p w14:paraId="7186F33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zh-CN" w:eastAsia="zh-CN" w:bidi="ar"/>
              </w:rPr>
              <w:t xml:space="preserve"> 24个10/100/1000Mbps自适应电口</w:t>
            </w:r>
          </w:p>
        </w:tc>
        <w:tc>
          <w:tcPr>
            <w:tcW w:w="771" w:type="dxa"/>
            <w:tcBorders>
              <w:tl2br w:val="nil"/>
              <w:tr2bl w:val="nil"/>
            </w:tcBorders>
            <w:shd w:val="clear" w:color="auto" w:fill="auto"/>
            <w:noWrap w:val="0"/>
            <w:vAlign w:val="center"/>
          </w:tcPr>
          <w:p w14:paraId="7A244F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w:t>
            </w:r>
          </w:p>
        </w:tc>
        <w:tc>
          <w:tcPr>
            <w:tcW w:w="772" w:type="dxa"/>
            <w:tcBorders>
              <w:tl2br w:val="nil"/>
              <w:tr2bl w:val="nil"/>
            </w:tcBorders>
            <w:shd w:val="clear" w:color="auto" w:fill="auto"/>
            <w:noWrap w:val="0"/>
            <w:vAlign w:val="center"/>
          </w:tcPr>
          <w:p w14:paraId="55BBE2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台</w:t>
            </w:r>
          </w:p>
        </w:tc>
      </w:tr>
      <w:tr w14:paraId="3F533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2D31E5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1470" w:type="dxa"/>
            <w:tcBorders>
              <w:tl2br w:val="nil"/>
              <w:tr2bl w:val="nil"/>
            </w:tcBorders>
            <w:shd w:val="clear" w:color="auto" w:fill="auto"/>
            <w:noWrap w:val="0"/>
            <w:vAlign w:val="center"/>
          </w:tcPr>
          <w:p w14:paraId="7CD028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电脑桌椅</w:t>
            </w:r>
          </w:p>
        </w:tc>
        <w:tc>
          <w:tcPr>
            <w:tcW w:w="1425" w:type="dxa"/>
            <w:tcBorders>
              <w:tl2br w:val="nil"/>
              <w:tr2bl w:val="nil"/>
            </w:tcBorders>
            <w:shd w:val="clear" w:color="auto" w:fill="auto"/>
            <w:noWrap w:val="0"/>
            <w:vAlign w:val="center"/>
          </w:tcPr>
          <w:p w14:paraId="64A661C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20BA27A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1400*600*760mm，台面及侧板采用E1级刨花板，台面厚度25mm，桌架材料采用优质冷轧钢板厚度0.6-1.4mm搭配制作而成，桌架表面进行防锈，酸洗，磷化处理，采用先进喷涂工艺，高温塑化而成，其具有防腐性好，环保耐用，光洁美观的特点，满足环保，散热，美观，扩展等需求。1、材质：桌架主要支撑采用0.6厚冷轧钢板制作，经过剪、冲、折、焊、磨、抛及酸洗、磷化、静电喷塑等工序，经打磨、抛光表面平整光滑。表面经过酸洗、磷化、静电粉末喷涂，经高温烘烤漆面吸附力强，不易刮花、脱落，美观无气味，无污染。从装配到装箱和各配件均经过严格的检验，确保产品的质量。板材：采用优质E1级刨花板,优质绿色环保产品,甲醛含量≤1.0mg/L,密度≥760kg/m3,静曲张度≥51.2Mpa,吸水膨胀率≤8.1%，厚度采用25mm，抗磨损、耐热、易擦洗；具有防水、防烫、防污、防酸、防碱、防火。2、工艺流程：均匀数控剪切，平稳冲压，2.5倍内折弯，无焦点焊接，打沙，脱脂，酸洗，防锈磷化，静电喷塑。</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3、主体框架：材质为冷轧钢板冲压折弯成型，通风散热系统，浮式底柜。</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4、散热：调度控制台底部设计空间大，前后门上有散气孔，可实现空气对流通畅，使设备安全性得到有效保证</w:t>
            </w:r>
          </w:p>
        </w:tc>
        <w:tc>
          <w:tcPr>
            <w:tcW w:w="771" w:type="dxa"/>
            <w:tcBorders>
              <w:tl2br w:val="nil"/>
              <w:tr2bl w:val="nil"/>
            </w:tcBorders>
            <w:shd w:val="clear" w:color="auto" w:fill="auto"/>
            <w:noWrap w:val="0"/>
            <w:vAlign w:val="center"/>
          </w:tcPr>
          <w:p w14:paraId="3E85018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25</w:t>
            </w:r>
          </w:p>
        </w:tc>
        <w:tc>
          <w:tcPr>
            <w:tcW w:w="772" w:type="dxa"/>
            <w:tcBorders>
              <w:tl2br w:val="nil"/>
              <w:tr2bl w:val="nil"/>
            </w:tcBorders>
            <w:shd w:val="clear" w:color="auto" w:fill="auto"/>
            <w:noWrap w:val="0"/>
            <w:vAlign w:val="center"/>
          </w:tcPr>
          <w:p w14:paraId="552C05D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套</w:t>
            </w:r>
          </w:p>
        </w:tc>
      </w:tr>
      <w:tr w14:paraId="1CE87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33D5AF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1470" w:type="dxa"/>
            <w:tcBorders>
              <w:tl2br w:val="nil"/>
              <w:tr2bl w:val="nil"/>
            </w:tcBorders>
            <w:shd w:val="clear" w:color="auto" w:fill="auto"/>
            <w:noWrap w:val="0"/>
            <w:vAlign w:val="center"/>
          </w:tcPr>
          <w:p w14:paraId="72E374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机柜</w:t>
            </w:r>
          </w:p>
        </w:tc>
        <w:tc>
          <w:tcPr>
            <w:tcW w:w="1425" w:type="dxa"/>
            <w:tcBorders>
              <w:tl2br w:val="nil"/>
              <w:tr2bl w:val="nil"/>
            </w:tcBorders>
            <w:shd w:val="clear" w:color="auto" w:fill="auto"/>
            <w:noWrap w:val="0"/>
            <w:vAlign w:val="center"/>
          </w:tcPr>
          <w:p w14:paraId="017902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244CC13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24U</w:t>
            </w:r>
          </w:p>
        </w:tc>
        <w:tc>
          <w:tcPr>
            <w:tcW w:w="771" w:type="dxa"/>
            <w:tcBorders>
              <w:tl2br w:val="nil"/>
              <w:tr2bl w:val="nil"/>
            </w:tcBorders>
            <w:shd w:val="clear" w:color="auto" w:fill="auto"/>
            <w:noWrap w:val="0"/>
            <w:vAlign w:val="center"/>
          </w:tcPr>
          <w:p w14:paraId="5FC624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404333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套</w:t>
            </w:r>
          </w:p>
        </w:tc>
      </w:tr>
      <w:tr w14:paraId="729AD9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E029AD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t>
            </w:r>
          </w:p>
        </w:tc>
        <w:tc>
          <w:tcPr>
            <w:tcW w:w="1470" w:type="dxa"/>
            <w:tcBorders>
              <w:tl2br w:val="nil"/>
              <w:tr2bl w:val="nil"/>
            </w:tcBorders>
            <w:shd w:val="clear" w:color="auto" w:fill="auto"/>
            <w:noWrap w:val="0"/>
            <w:vAlign w:val="center"/>
          </w:tcPr>
          <w:p w14:paraId="72E3080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安装布线</w:t>
            </w:r>
          </w:p>
        </w:tc>
        <w:tc>
          <w:tcPr>
            <w:tcW w:w="1425" w:type="dxa"/>
            <w:tcBorders>
              <w:tl2br w:val="nil"/>
              <w:tr2bl w:val="nil"/>
            </w:tcBorders>
            <w:shd w:val="clear" w:color="auto" w:fill="auto"/>
            <w:noWrap w:val="0"/>
            <w:vAlign w:val="center"/>
          </w:tcPr>
          <w:p w14:paraId="636857E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4AC3331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安装布线及辅材</w:t>
            </w:r>
          </w:p>
        </w:tc>
        <w:tc>
          <w:tcPr>
            <w:tcW w:w="771" w:type="dxa"/>
            <w:tcBorders>
              <w:tl2br w:val="nil"/>
              <w:tr2bl w:val="nil"/>
            </w:tcBorders>
            <w:shd w:val="clear" w:color="auto" w:fill="auto"/>
            <w:noWrap w:val="0"/>
            <w:vAlign w:val="center"/>
          </w:tcPr>
          <w:p w14:paraId="6BB4795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6E4B845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批</w:t>
            </w:r>
          </w:p>
        </w:tc>
      </w:tr>
      <w:tr w14:paraId="4DE76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A64814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w:t>
            </w:r>
          </w:p>
        </w:tc>
        <w:tc>
          <w:tcPr>
            <w:tcW w:w="1470" w:type="dxa"/>
            <w:tcBorders>
              <w:tl2br w:val="nil"/>
              <w:tr2bl w:val="nil"/>
            </w:tcBorders>
            <w:shd w:val="clear" w:color="auto" w:fill="auto"/>
            <w:noWrap w:val="0"/>
            <w:vAlign w:val="center"/>
          </w:tcPr>
          <w:p w14:paraId="6FCF766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信息套件</w:t>
            </w:r>
          </w:p>
        </w:tc>
        <w:tc>
          <w:tcPr>
            <w:tcW w:w="1425" w:type="dxa"/>
            <w:tcBorders>
              <w:tl2br w:val="nil"/>
              <w:tr2bl w:val="nil"/>
            </w:tcBorders>
            <w:shd w:val="clear" w:color="auto" w:fill="auto"/>
            <w:noWrap w:val="0"/>
            <w:vAlign w:val="center"/>
          </w:tcPr>
          <w:p w14:paraId="51E6E3D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30A1C72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信息科技教学套件（初中）</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信息科技实验板*1，32位主板，尺寸≤48*52mm，供电电压：5V，工作电压：3.3V。板载：1个光线传感器，1个麦克风，1个温湿度，1个无源蜂鸣器，2 颗全彩LED灯,1 颗LED灯，1块128x64OLED显示屏，2个物理按键(A/B)，WIFI及蓝牙。含半透ABS外壳，支持金手指部分外壳脱卸。</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超声波雾化模块*1，含驱动板、棉棒、振荡片、≤10mL密封塑料瓶1套。驱动板尺寸≤3cm*2cm(新线路板尺寸)，额定电压：5V，额定电流：300mA，接口采用XH2.54-2P插座。</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程控微型风扇 *1，尺寸≤5*5*1cm，额定电压：5V，额定电流：100mA，含100mm带XH2.54单头线。</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2路微型驱动模块*1，输入为RJ12(6P6C)水晶座，输出为2路XH2.54-2P插座，高透度ABS材料外壳带有凸粒及可嵌入凸粒的孔，孔距≤10mm孔径≤8mm。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光线传感器（单体）*1，也叫做亮度传感器，用来感应光线强弱的。接口类型：标准6芯水晶插座，电压≤5V，电流：10mA，控制电路部分外观尺寸≤30×20×25mm，ABS材料外壳带有凸粒及可嵌入凸粒的孔，孔距≤10mm孔径≤8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水分传感器（单体）*1，又名土壤水分传感器、土壤墒情传感器、土壤含水量传感器，主要用来测量土壤相对含水量，接口类型：标准6芯水晶插座，工作电压≤5V，工作电流≤20mA，量程 0~4095，控制电路部分外观尺寸≤70×20×25mm，高透度ABS材料外壳带有凸粒及可嵌入凸粒的孔，孔距≤10mm孔径≤8mm。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USB Type-C数据线*1 , 100cm。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PH2.0-4P转RJ12(6P6C)*1, 100mm。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双头XH2.54-2P线*1, 100mm。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黑色功能底板*1,玻璃纤维板，尺寸≤25*17cm，厚度≥1.6mm，含增高柱。</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基于MQTT的物联数据中台，支持项目发布，主题新增，消息发布及订阅，设备添加，及智能物联。</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铝合金实验箱，尺寸≥25.5*18*10.5cm。</w:t>
            </w:r>
          </w:p>
        </w:tc>
        <w:tc>
          <w:tcPr>
            <w:tcW w:w="771" w:type="dxa"/>
            <w:tcBorders>
              <w:tl2br w:val="nil"/>
              <w:tr2bl w:val="nil"/>
            </w:tcBorders>
            <w:shd w:val="clear" w:color="auto" w:fill="auto"/>
            <w:noWrap w:val="0"/>
            <w:vAlign w:val="center"/>
          </w:tcPr>
          <w:p w14:paraId="5C95EAD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51</w:t>
            </w:r>
          </w:p>
        </w:tc>
        <w:tc>
          <w:tcPr>
            <w:tcW w:w="772" w:type="dxa"/>
            <w:tcBorders>
              <w:tl2br w:val="nil"/>
              <w:tr2bl w:val="nil"/>
            </w:tcBorders>
            <w:shd w:val="clear" w:color="auto" w:fill="auto"/>
            <w:noWrap w:val="0"/>
            <w:vAlign w:val="center"/>
          </w:tcPr>
          <w:p w14:paraId="5352B2B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套</w:t>
            </w:r>
          </w:p>
        </w:tc>
      </w:tr>
      <w:tr w14:paraId="226E2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70B951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1470" w:type="dxa"/>
            <w:tcBorders>
              <w:tl2br w:val="nil"/>
              <w:tr2bl w:val="nil"/>
            </w:tcBorders>
            <w:shd w:val="clear" w:color="auto" w:fill="auto"/>
            <w:noWrap w:val="0"/>
            <w:vAlign w:val="center"/>
          </w:tcPr>
          <w:p w14:paraId="341F1C0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文化布置</w:t>
            </w:r>
          </w:p>
        </w:tc>
        <w:tc>
          <w:tcPr>
            <w:tcW w:w="1425" w:type="dxa"/>
            <w:tcBorders>
              <w:tl2br w:val="nil"/>
              <w:tr2bl w:val="nil"/>
            </w:tcBorders>
            <w:shd w:val="clear" w:color="auto" w:fill="auto"/>
            <w:noWrap w:val="0"/>
            <w:vAlign w:val="center"/>
          </w:tcPr>
          <w:p w14:paraId="147552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1428966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文化布置，设计方案经采购人确认后实施</w:t>
            </w:r>
          </w:p>
        </w:tc>
        <w:tc>
          <w:tcPr>
            <w:tcW w:w="771" w:type="dxa"/>
            <w:tcBorders>
              <w:tl2br w:val="nil"/>
              <w:tr2bl w:val="nil"/>
            </w:tcBorders>
            <w:shd w:val="clear" w:color="auto" w:fill="auto"/>
            <w:noWrap w:val="0"/>
            <w:vAlign w:val="center"/>
          </w:tcPr>
          <w:p w14:paraId="30B7614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2DF523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批</w:t>
            </w:r>
          </w:p>
        </w:tc>
      </w:tr>
      <w:tr w14:paraId="54165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A7CD0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备注</w:t>
            </w:r>
          </w:p>
        </w:tc>
        <w:tc>
          <w:tcPr>
            <w:tcW w:w="9178" w:type="dxa"/>
            <w:gridSpan w:val="5"/>
            <w:tcBorders>
              <w:tl2br w:val="nil"/>
              <w:tr2bl w:val="nil"/>
            </w:tcBorders>
            <w:shd w:val="clear" w:color="auto" w:fill="auto"/>
            <w:noWrap w:val="0"/>
            <w:vAlign w:val="center"/>
          </w:tcPr>
          <w:p w14:paraId="4A9C46F8">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本项目配置的台式电脑（教师机、学生机）显示器、主机属于政府采购节能（强制）采购范围，必须提供市场监管总局确定的认证机构出具的、处于有效期之内的政府采购节能产品认证证书或证明材料，否则作无效标处理。</w:t>
            </w:r>
          </w:p>
        </w:tc>
      </w:tr>
    </w:tbl>
    <w:p w14:paraId="7BB8B1D0">
      <w:pPr>
        <w:keepNext w:val="0"/>
        <w:keepLines w:val="0"/>
        <w:pageBreakBefore w:val="0"/>
        <w:widowControl w:val="0"/>
        <w:kinsoku/>
        <w:wordWrap/>
        <w:overflowPunct/>
        <w:topLinePunct w:val="0"/>
        <w:autoSpaceDE w:val="0"/>
        <w:autoSpaceDN w:val="0"/>
        <w:bidi w:val="0"/>
        <w:adjustRightInd/>
        <w:snapToGrid/>
        <w:spacing w:before="0" w:beforeLines="50"/>
        <w:textAlignment w:val="auto"/>
        <w:rPr>
          <w:rFonts w:hint="default"/>
          <w:color w:val="auto"/>
          <w:lang w:val="en-US" w:eastAsia="zh-CN"/>
        </w:rPr>
      </w:pPr>
      <w:r>
        <w:rPr>
          <w:rFonts w:hint="eastAsia" w:ascii="仿宋" w:hAnsi="仿宋" w:eastAsia="仿宋" w:cs="仿宋"/>
          <w:b/>
          <w:bCs/>
          <w:color w:val="auto"/>
          <w:sz w:val="24"/>
          <w:szCs w:val="24"/>
          <w:lang w:val="en-US" w:eastAsia="zh-CN"/>
        </w:rPr>
        <w:t>（四）美术学科</w:t>
      </w:r>
    </w:p>
    <w:tbl>
      <w:tblPr>
        <w:tblStyle w:val="27"/>
        <w:tblW w:w="98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686"/>
        <w:gridCol w:w="1470"/>
        <w:gridCol w:w="1425"/>
        <w:gridCol w:w="4740"/>
        <w:gridCol w:w="771"/>
        <w:gridCol w:w="772"/>
      </w:tblGrid>
      <w:tr w14:paraId="12EC4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9864" w:type="dxa"/>
            <w:gridSpan w:val="6"/>
            <w:tcBorders>
              <w:tl2br w:val="nil"/>
              <w:tr2bl w:val="nil"/>
            </w:tcBorders>
            <w:shd w:val="clear" w:color="auto" w:fill="B6DDE8" w:themeFill="accent5" w:themeFillTint="66"/>
            <w:noWrap w:val="0"/>
            <w:vAlign w:val="center"/>
          </w:tcPr>
          <w:p w14:paraId="0D82B1B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美术教室</w:t>
            </w:r>
          </w:p>
        </w:tc>
      </w:tr>
      <w:tr w14:paraId="02BF2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B6DDE8" w:themeFill="accent5" w:themeFillTint="66"/>
            <w:noWrap w:val="0"/>
            <w:vAlign w:val="center"/>
          </w:tcPr>
          <w:p w14:paraId="64D930D7">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序号</w:t>
            </w:r>
          </w:p>
        </w:tc>
        <w:tc>
          <w:tcPr>
            <w:tcW w:w="1470" w:type="dxa"/>
            <w:tcBorders>
              <w:tl2br w:val="nil"/>
              <w:tr2bl w:val="nil"/>
            </w:tcBorders>
            <w:shd w:val="clear" w:color="auto" w:fill="B6DDE8" w:themeFill="accent5" w:themeFillTint="66"/>
            <w:noWrap w:val="0"/>
            <w:vAlign w:val="center"/>
          </w:tcPr>
          <w:p w14:paraId="02C9CD34">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b/>
                <w:bCs/>
                <w:color w:val="auto"/>
                <w:position w:val="-6"/>
                <w:sz w:val="24"/>
                <w:szCs w:val="24"/>
                <w:lang w:val="en-US" w:eastAsia="zh-CN"/>
              </w:rPr>
              <w:t>名称</w:t>
            </w:r>
          </w:p>
        </w:tc>
        <w:tc>
          <w:tcPr>
            <w:tcW w:w="1425" w:type="dxa"/>
            <w:tcBorders>
              <w:tl2br w:val="nil"/>
              <w:tr2bl w:val="nil"/>
            </w:tcBorders>
            <w:shd w:val="clear" w:color="auto" w:fill="B6DDE8" w:themeFill="accent5" w:themeFillTint="66"/>
            <w:noWrap w:val="0"/>
            <w:vAlign w:val="center"/>
          </w:tcPr>
          <w:p w14:paraId="36F6E798">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规格</w:t>
            </w:r>
          </w:p>
        </w:tc>
        <w:tc>
          <w:tcPr>
            <w:tcW w:w="4740" w:type="dxa"/>
            <w:tcBorders>
              <w:tl2br w:val="nil"/>
              <w:tr2bl w:val="nil"/>
            </w:tcBorders>
            <w:shd w:val="clear" w:color="auto" w:fill="B6DDE8" w:themeFill="accent5" w:themeFillTint="66"/>
            <w:noWrap w:val="0"/>
            <w:vAlign w:val="center"/>
          </w:tcPr>
          <w:p w14:paraId="2DFB6A0B">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技术参数</w:t>
            </w:r>
          </w:p>
        </w:tc>
        <w:tc>
          <w:tcPr>
            <w:tcW w:w="771" w:type="dxa"/>
            <w:tcBorders>
              <w:tl2br w:val="nil"/>
              <w:tr2bl w:val="nil"/>
            </w:tcBorders>
            <w:shd w:val="clear" w:color="auto" w:fill="B6DDE8" w:themeFill="accent5" w:themeFillTint="66"/>
            <w:noWrap w:val="0"/>
            <w:vAlign w:val="center"/>
          </w:tcPr>
          <w:p w14:paraId="085489E2">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数量</w:t>
            </w:r>
          </w:p>
        </w:tc>
        <w:tc>
          <w:tcPr>
            <w:tcW w:w="772" w:type="dxa"/>
            <w:tcBorders>
              <w:tl2br w:val="nil"/>
              <w:tr2bl w:val="nil"/>
            </w:tcBorders>
            <w:shd w:val="clear" w:color="auto" w:fill="B6DDE8" w:themeFill="accent5" w:themeFillTint="66"/>
            <w:noWrap w:val="0"/>
            <w:vAlign w:val="center"/>
          </w:tcPr>
          <w:p w14:paraId="367D0013">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单位</w:t>
            </w:r>
          </w:p>
        </w:tc>
      </w:tr>
      <w:tr w14:paraId="5C41D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E51936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470" w:type="dxa"/>
            <w:tcBorders>
              <w:tl2br w:val="nil"/>
              <w:tr2bl w:val="nil"/>
            </w:tcBorders>
            <w:shd w:val="clear" w:color="auto" w:fill="auto"/>
            <w:noWrap w:val="0"/>
            <w:vAlign w:val="center"/>
          </w:tcPr>
          <w:p w14:paraId="318AC37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教师演示台</w:t>
            </w:r>
          </w:p>
        </w:tc>
        <w:tc>
          <w:tcPr>
            <w:tcW w:w="1425" w:type="dxa"/>
            <w:tcBorders>
              <w:tl2br w:val="nil"/>
              <w:tr2bl w:val="nil"/>
            </w:tcBorders>
            <w:shd w:val="clear" w:color="auto" w:fill="auto"/>
            <w:noWrap w:val="0"/>
            <w:vAlign w:val="center"/>
          </w:tcPr>
          <w:p w14:paraId="2BDB3F3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vertAlign w:val="baseline"/>
                <w:lang w:val="en-US" w:eastAsia="zh-CN" w:bidi="ar"/>
              </w:rPr>
              <w:t>1600*800*800mm</w:t>
            </w:r>
          </w:p>
        </w:tc>
        <w:tc>
          <w:tcPr>
            <w:tcW w:w="4740" w:type="dxa"/>
            <w:tcBorders>
              <w:tl2br w:val="nil"/>
              <w:tr2bl w:val="nil"/>
            </w:tcBorders>
            <w:shd w:val="clear" w:color="auto" w:fill="auto"/>
            <w:noWrap w:val="0"/>
            <w:vAlign w:val="center"/>
          </w:tcPr>
          <w:p w14:paraId="707EC0A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1、产品材质：桌面为30mm厚实木板材质，圆角桌角设计，安全防磕碰，桌面配透明垫皮。桌面下设四条实木桌腿，榉木材质，纹理清晰牢固耐用；配置防滑脚垫。</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2、产品结构：双层结构，桌面下设置物层，可放置物品。</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3、所有材料均经环保水性漆处理，安全无污染。</w:t>
            </w:r>
          </w:p>
        </w:tc>
        <w:tc>
          <w:tcPr>
            <w:tcW w:w="771" w:type="dxa"/>
            <w:tcBorders>
              <w:tl2br w:val="nil"/>
              <w:tr2bl w:val="nil"/>
            </w:tcBorders>
            <w:shd w:val="clear" w:color="auto" w:fill="auto"/>
            <w:noWrap w:val="0"/>
            <w:vAlign w:val="center"/>
          </w:tcPr>
          <w:p w14:paraId="1433F4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09A8A4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张</w:t>
            </w:r>
          </w:p>
        </w:tc>
      </w:tr>
      <w:tr w14:paraId="09BEDE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1903CB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1470" w:type="dxa"/>
            <w:tcBorders>
              <w:tl2br w:val="nil"/>
              <w:tr2bl w:val="nil"/>
            </w:tcBorders>
            <w:shd w:val="clear" w:color="auto" w:fill="auto"/>
            <w:noWrap w:val="0"/>
            <w:vAlign w:val="center"/>
          </w:tcPr>
          <w:p w14:paraId="160CAC7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学生桌</w:t>
            </w:r>
          </w:p>
        </w:tc>
        <w:tc>
          <w:tcPr>
            <w:tcW w:w="1425" w:type="dxa"/>
            <w:tcBorders>
              <w:tl2br w:val="nil"/>
              <w:tr2bl w:val="nil"/>
            </w:tcBorders>
            <w:shd w:val="clear" w:color="auto" w:fill="auto"/>
            <w:noWrap w:val="0"/>
            <w:vAlign w:val="center"/>
          </w:tcPr>
          <w:p w14:paraId="54C906B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vertAlign w:val="baseline"/>
                <w:lang w:val="en-US" w:eastAsia="zh-CN" w:bidi="ar"/>
              </w:rPr>
              <w:t>长700mm×宽500mm×高730mm。</w:t>
            </w:r>
          </w:p>
        </w:tc>
        <w:tc>
          <w:tcPr>
            <w:tcW w:w="4740" w:type="dxa"/>
            <w:tcBorders>
              <w:tl2br w:val="nil"/>
              <w:tr2bl w:val="nil"/>
            </w:tcBorders>
            <w:shd w:val="clear" w:color="auto" w:fill="auto"/>
            <w:noWrap w:val="0"/>
            <w:vAlign w:val="center"/>
          </w:tcPr>
          <w:p w14:paraId="6566F6B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桌面：尺寸700*500*18mm，桌面材质可选榉木色饰面刨花板  3、抽屉：采用全新PP塑料一次注塑成型</w:t>
            </w:r>
          </w:p>
        </w:tc>
        <w:tc>
          <w:tcPr>
            <w:tcW w:w="771" w:type="dxa"/>
            <w:tcBorders>
              <w:tl2br w:val="nil"/>
              <w:tr2bl w:val="nil"/>
            </w:tcBorders>
            <w:shd w:val="clear" w:color="auto" w:fill="auto"/>
            <w:noWrap w:val="0"/>
            <w:vAlign w:val="center"/>
          </w:tcPr>
          <w:p w14:paraId="08311B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50</w:t>
            </w:r>
          </w:p>
        </w:tc>
        <w:tc>
          <w:tcPr>
            <w:tcW w:w="772" w:type="dxa"/>
            <w:tcBorders>
              <w:tl2br w:val="nil"/>
              <w:tr2bl w:val="nil"/>
            </w:tcBorders>
            <w:shd w:val="clear" w:color="auto" w:fill="auto"/>
            <w:noWrap w:val="0"/>
            <w:vAlign w:val="center"/>
          </w:tcPr>
          <w:p w14:paraId="41A15A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2FDA03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7DCAD5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1470" w:type="dxa"/>
            <w:tcBorders>
              <w:tl2br w:val="nil"/>
              <w:tr2bl w:val="nil"/>
            </w:tcBorders>
            <w:shd w:val="clear" w:color="auto" w:fill="auto"/>
            <w:noWrap w:val="0"/>
            <w:vAlign w:val="center"/>
          </w:tcPr>
          <w:p w14:paraId="0FD1380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学生写生凳</w:t>
            </w:r>
          </w:p>
        </w:tc>
        <w:tc>
          <w:tcPr>
            <w:tcW w:w="1425" w:type="dxa"/>
            <w:tcBorders>
              <w:tl2br w:val="nil"/>
              <w:tr2bl w:val="nil"/>
            </w:tcBorders>
            <w:shd w:val="clear" w:color="auto" w:fill="auto"/>
            <w:noWrap w:val="0"/>
            <w:vAlign w:val="center"/>
          </w:tcPr>
          <w:p w14:paraId="3C07F7F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vertAlign w:val="baseline"/>
                <w:lang w:val="en-US" w:eastAsia="zh-CN" w:bidi="ar"/>
              </w:rPr>
              <w:t>椅面长330mm*座面有效深360mm*座高400mm</w:t>
            </w:r>
          </w:p>
        </w:tc>
        <w:tc>
          <w:tcPr>
            <w:tcW w:w="4740" w:type="dxa"/>
            <w:tcBorders>
              <w:tl2br w:val="nil"/>
              <w:tr2bl w:val="nil"/>
            </w:tcBorders>
            <w:shd w:val="clear" w:color="auto" w:fill="auto"/>
            <w:noWrap w:val="0"/>
            <w:vAlign w:val="center"/>
          </w:tcPr>
          <w:p w14:paraId="382BB13C">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透气槽边缘不割手，便于提拿搬运。尺寸：225mm*40mm</w:t>
            </w:r>
          </w:p>
        </w:tc>
        <w:tc>
          <w:tcPr>
            <w:tcW w:w="771" w:type="dxa"/>
            <w:tcBorders>
              <w:tl2br w:val="nil"/>
              <w:tr2bl w:val="nil"/>
            </w:tcBorders>
            <w:shd w:val="clear" w:color="auto" w:fill="auto"/>
            <w:noWrap w:val="0"/>
            <w:vAlign w:val="center"/>
          </w:tcPr>
          <w:p w14:paraId="5181A5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50</w:t>
            </w:r>
          </w:p>
        </w:tc>
        <w:tc>
          <w:tcPr>
            <w:tcW w:w="772" w:type="dxa"/>
            <w:tcBorders>
              <w:tl2br w:val="nil"/>
              <w:tr2bl w:val="nil"/>
            </w:tcBorders>
            <w:shd w:val="clear" w:color="auto" w:fill="auto"/>
            <w:noWrap w:val="0"/>
            <w:vAlign w:val="center"/>
          </w:tcPr>
          <w:p w14:paraId="69F40AA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69CC0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D34002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1470" w:type="dxa"/>
            <w:tcBorders>
              <w:tl2br w:val="nil"/>
              <w:tr2bl w:val="nil"/>
            </w:tcBorders>
            <w:shd w:val="clear" w:color="auto" w:fill="auto"/>
            <w:noWrap w:val="0"/>
            <w:vAlign w:val="center"/>
          </w:tcPr>
          <w:p w14:paraId="0B45E7D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石膏大卫像</w:t>
            </w:r>
          </w:p>
        </w:tc>
        <w:tc>
          <w:tcPr>
            <w:tcW w:w="1425" w:type="dxa"/>
            <w:tcBorders>
              <w:tl2br w:val="nil"/>
              <w:tr2bl w:val="nil"/>
            </w:tcBorders>
            <w:shd w:val="clear" w:color="auto" w:fill="auto"/>
            <w:noWrap w:val="0"/>
            <w:vAlign w:val="center"/>
          </w:tcPr>
          <w:p w14:paraId="24CF774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58cm</w:t>
            </w:r>
          </w:p>
        </w:tc>
        <w:tc>
          <w:tcPr>
            <w:tcW w:w="4740" w:type="dxa"/>
            <w:tcBorders>
              <w:tl2br w:val="nil"/>
              <w:tr2bl w:val="nil"/>
            </w:tcBorders>
            <w:shd w:val="clear" w:color="auto" w:fill="auto"/>
            <w:noWrap w:val="0"/>
            <w:vAlign w:val="center"/>
          </w:tcPr>
          <w:p w14:paraId="11E68A2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58cm</w:t>
            </w:r>
          </w:p>
        </w:tc>
        <w:tc>
          <w:tcPr>
            <w:tcW w:w="771" w:type="dxa"/>
            <w:tcBorders>
              <w:tl2br w:val="nil"/>
              <w:tr2bl w:val="nil"/>
            </w:tcBorders>
            <w:shd w:val="clear" w:color="auto" w:fill="auto"/>
            <w:noWrap w:val="0"/>
            <w:vAlign w:val="center"/>
          </w:tcPr>
          <w:p w14:paraId="45B9D0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2EF11B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1E5215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3513D1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1470" w:type="dxa"/>
            <w:tcBorders>
              <w:tl2br w:val="nil"/>
              <w:tr2bl w:val="nil"/>
            </w:tcBorders>
            <w:shd w:val="clear" w:color="auto" w:fill="auto"/>
            <w:noWrap w:val="0"/>
            <w:vAlign w:val="center"/>
          </w:tcPr>
          <w:p w14:paraId="76727F5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石膏米开朗琪罗像</w:t>
            </w:r>
          </w:p>
        </w:tc>
        <w:tc>
          <w:tcPr>
            <w:tcW w:w="1425" w:type="dxa"/>
            <w:tcBorders>
              <w:tl2br w:val="nil"/>
              <w:tr2bl w:val="nil"/>
            </w:tcBorders>
            <w:shd w:val="clear" w:color="auto" w:fill="auto"/>
            <w:noWrap w:val="0"/>
            <w:vAlign w:val="center"/>
          </w:tcPr>
          <w:p w14:paraId="681588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48cm</w:t>
            </w:r>
          </w:p>
        </w:tc>
        <w:tc>
          <w:tcPr>
            <w:tcW w:w="4740" w:type="dxa"/>
            <w:tcBorders>
              <w:tl2br w:val="nil"/>
              <w:tr2bl w:val="nil"/>
            </w:tcBorders>
            <w:shd w:val="clear" w:color="auto" w:fill="auto"/>
            <w:noWrap w:val="0"/>
            <w:vAlign w:val="center"/>
          </w:tcPr>
          <w:p w14:paraId="386403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48cm</w:t>
            </w:r>
          </w:p>
        </w:tc>
        <w:tc>
          <w:tcPr>
            <w:tcW w:w="771" w:type="dxa"/>
            <w:tcBorders>
              <w:tl2br w:val="nil"/>
              <w:tr2bl w:val="nil"/>
            </w:tcBorders>
            <w:shd w:val="clear" w:color="auto" w:fill="auto"/>
            <w:noWrap w:val="0"/>
            <w:vAlign w:val="center"/>
          </w:tcPr>
          <w:p w14:paraId="04D3848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3EE25AE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2C7CC1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4A53FC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t>
            </w:r>
          </w:p>
        </w:tc>
        <w:tc>
          <w:tcPr>
            <w:tcW w:w="1470" w:type="dxa"/>
            <w:tcBorders>
              <w:tl2br w:val="nil"/>
              <w:tr2bl w:val="nil"/>
            </w:tcBorders>
            <w:shd w:val="clear" w:color="auto" w:fill="auto"/>
            <w:noWrap w:val="0"/>
            <w:vAlign w:val="center"/>
          </w:tcPr>
          <w:p w14:paraId="182A044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石膏维纳斯</w:t>
            </w:r>
          </w:p>
        </w:tc>
        <w:tc>
          <w:tcPr>
            <w:tcW w:w="1425" w:type="dxa"/>
            <w:tcBorders>
              <w:tl2br w:val="nil"/>
              <w:tr2bl w:val="nil"/>
            </w:tcBorders>
            <w:shd w:val="clear" w:color="auto" w:fill="auto"/>
            <w:noWrap w:val="0"/>
            <w:vAlign w:val="center"/>
          </w:tcPr>
          <w:p w14:paraId="5D3E38B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60cm</w:t>
            </w:r>
          </w:p>
        </w:tc>
        <w:tc>
          <w:tcPr>
            <w:tcW w:w="4740" w:type="dxa"/>
            <w:tcBorders>
              <w:tl2br w:val="nil"/>
              <w:tr2bl w:val="nil"/>
            </w:tcBorders>
            <w:shd w:val="clear" w:color="auto" w:fill="auto"/>
            <w:noWrap w:val="0"/>
            <w:vAlign w:val="center"/>
          </w:tcPr>
          <w:p w14:paraId="57A0080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60cm</w:t>
            </w:r>
          </w:p>
        </w:tc>
        <w:tc>
          <w:tcPr>
            <w:tcW w:w="771" w:type="dxa"/>
            <w:tcBorders>
              <w:tl2br w:val="nil"/>
              <w:tr2bl w:val="nil"/>
            </w:tcBorders>
            <w:shd w:val="clear" w:color="auto" w:fill="auto"/>
            <w:noWrap w:val="0"/>
            <w:vAlign w:val="center"/>
          </w:tcPr>
          <w:p w14:paraId="271D7CE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30D9DE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629D7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154D98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w:t>
            </w:r>
          </w:p>
        </w:tc>
        <w:tc>
          <w:tcPr>
            <w:tcW w:w="1470" w:type="dxa"/>
            <w:tcBorders>
              <w:tl2br w:val="nil"/>
              <w:tr2bl w:val="nil"/>
            </w:tcBorders>
            <w:shd w:val="clear" w:color="auto" w:fill="auto"/>
            <w:noWrap w:val="0"/>
            <w:vAlign w:val="center"/>
          </w:tcPr>
          <w:p w14:paraId="4643B2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石膏阿波罗</w:t>
            </w:r>
          </w:p>
        </w:tc>
        <w:tc>
          <w:tcPr>
            <w:tcW w:w="1425" w:type="dxa"/>
            <w:tcBorders>
              <w:tl2br w:val="nil"/>
              <w:tr2bl w:val="nil"/>
            </w:tcBorders>
            <w:shd w:val="clear" w:color="auto" w:fill="auto"/>
            <w:noWrap w:val="0"/>
            <w:vAlign w:val="center"/>
          </w:tcPr>
          <w:p w14:paraId="2E3E374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50cm</w:t>
            </w:r>
          </w:p>
        </w:tc>
        <w:tc>
          <w:tcPr>
            <w:tcW w:w="4740" w:type="dxa"/>
            <w:tcBorders>
              <w:tl2br w:val="nil"/>
              <w:tr2bl w:val="nil"/>
            </w:tcBorders>
            <w:shd w:val="clear" w:color="auto" w:fill="auto"/>
            <w:noWrap w:val="0"/>
            <w:vAlign w:val="center"/>
          </w:tcPr>
          <w:p w14:paraId="1298BE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50cm</w:t>
            </w:r>
          </w:p>
        </w:tc>
        <w:tc>
          <w:tcPr>
            <w:tcW w:w="771" w:type="dxa"/>
            <w:tcBorders>
              <w:tl2br w:val="nil"/>
              <w:tr2bl w:val="nil"/>
            </w:tcBorders>
            <w:shd w:val="clear" w:color="auto" w:fill="auto"/>
            <w:noWrap w:val="0"/>
            <w:vAlign w:val="center"/>
          </w:tcPr>
          <w:p w14:paraId="6DD735B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32A61C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44D62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1F2F90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1470" w:type="dxa"/>
            <w:tcBorders>
              <w:tl2br w:val="nil"/>
              <w:tr2bl w:val="nil"/>
            </w:tcBorders>
            <w:shd w:val="clear" w:color="auto" w:fill="auto"/>
            <w:noWrap w:val="0"/>
            <w:vAlign w:val="center"/>
          </w:tcPr>
          <w:p w14:paraId="7F9D438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石膏阿格里巴像</w:t>
            </w:r>
          </w:p>
        </w:tc>
        <w:tc>
          <w:tcPr>
            <w:tcW w:w="1425" w:type="dxa"/>
            <w:tcBorders>
              <w:tl2br w:val="nil"/>
              <w:tr2bl w:val="nil"/>
            </w:tcBorders>
            <w:shd w:val="clear" w:color="auto" w:fill="auto"/>
            <w:noWrap w:val="0"/>
            <w:vAlign w:val="center"/>
          </w:tcPr>
          <w:p w14:paraId="727FAEE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58cm</w:t>
            </w:r>
          </w:p>
        </w:tc>
        <w:tc>
          <w:tcPr>
            <w:tcW w:w="4740" w:type="dxa"/>
            <w:tcBorders>
              <w:tl2br w:val="nil"/>
              <w:tr2bl w:val="nil"/>
            </w:tcBorders>
            <w:shd w:val="clear" w:color="auto" w:fill="auto"/>
            <w:noWrap w:val="0"/>
            <w:vAlign w:val="center"/>
          </w:tcPr>
          <w:p w14:paraId="59E16F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58cm</w:t>
            </w:r>
          </w:p>
        </w:tc>
        <w:tc>
          <w:tcPr>
            <w:tcW w:w="771" w:type="dxa"/>
            <w:tcBorders>
              <w:tl2br w:val="nil"/>
              <w:tr2bl w:val="nil"/>
            </w:tcBorders>
            <w:shd w:val="clear" w:color="auto" w:fill="auto"/>
            <w:noWrap w:val="0"/>
            <w:vAlign w:val="center"/>
          </w:tcPr>
          <w:p w14:paraId="7CAD22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57CFFE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206FAF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D3E4D8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w:t>
            </w:r>
          </w:p>
        </w:tc>
        <w:tc>
          <w:tcPr>
            <w:tcW w:w="1470" w:type="dxa"/>
            <w:tcBorders>
              <w:tl2br w:val="nil"/>
              <w:tr2bl w:val="nil"/>
            </w:tcBorders>
            <w:shd w:val="clear" w:color="auto" w:fill="auto"/>
            <w:noWrap w:val="0"/>
            <w:vAlign w:val="center"/>
          </w:tcPr>
          <w:p w14:paraId="0A6C2E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石膏伏尔泰像</w:t>
            </w:r>
          </w:p>
        </w:tc>
        <w:tc>
          <w:tcPr>
            <w:tcW w:w="1425" w:type="dxa"/>
            <w:tcBorders>
              <w:tl2br w:val="nil"/>
              <w:tr2bl w:val="nil"/>
            </w:tcBorders>
            <w:shd w:val="clear" w:color="auto" w:fill="auto"/>
            <w:noWrap w:val="0"/>
            <w:vAlign w:val="center"/>
          </w:tcPr>
          <w:p w14:paraId="107E5E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50cm</w:t>
            </w:r>
          </w:p>
        </w:tc>
        <w:tc>
          <w:tcPr>
            <w:tcW w:w="4740" w:type="dxa"/>
            <w:tcBorders>
              <w:tl2br w:val="nil"/>
              <w:tr2bl w:val="nil"/>
            </w:tcBorders>
            <w:shd w:val="clear" w:color="auto" w:fill="auto"/>
            <w:noWrap w:val="0"/>
            <w:vAlign w:val="center"/>
          </w:tcPr>
          <w:p w14:paraId="3762E33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50cm</w:t>
            </w:r>
          </w:p>
        </w:tc>
        <w:tc>
          <w:tcPr>
            <w:tcW w:w="771" w:type="dxa"/>
            <w:tcBorders>
              <w:tl2br w:val="nil"/>
              <w:tr2bl w:val="nil"/>
            </w:tcBorders>
            <w:shd w:val="clear" w:color="auto" w:fill="auto"/>
            <w:noWrap w:val="0"/>
            <w:vAlign w:val="center"/>
          </w:tcPr>
          <w:p w14:paraId="0058CD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6404E6A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4141E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5BB3F7A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c>
          <w:tcPr>
            <w:tcW w:w="1470" w:type="dxa"/>
            <w:tcBorders>
              <w:tl2br w:val="nil"/>
              <w:tr2bl w:val="nil"/>
            </w:tcBorders>
            <w:shd w:val="clear" w:color="auto" w:fill="auto"/>
            <w:noWrap w:val="0"/>
            <w:vAlign w:val="center"/>
          </w:tcPr>
          <w:p w14:paraId="21AE38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石膏鲁迅像</w:t>
            </w:r>
          </w:p>
        </w:tc>
        <w:tc>
          <w:tcPr>
            <w:tcW w:w="1425" w:type="dxa"/>
            <w:tcBorders>
              <w:tl2br w:val="nil"/>
              <w:tr2bl w:val="nil"/>
            </w:tcBorders>
            <w:shd w:val="clear" w:color="auto" w:fill="auto"/>
            <w:noWrap w:val="0"/>
            <w:vAlign w:val="center"/>
          </w:tcPr>
          <w:p w14:paraId="7E3EE9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57cm</w:t>
            </w:r>
          </w:p>
        </w:tc>
        <w:tc>
          <w:tcPr>
            <w:tcW w:w="4740" w:type="dxa"/>
            <w:tcBorders>
              <w:tl2br w:val="nil"/>
              <w:tr2bl w:val="nil"/>
            </w:tcBorders>
            <w:shd w:val="clear" w:color="auto" w:fill="auto"/>
            <w:noWrap w:val="0"/>
            <w:vAlign w:val="center"/>
          </w:tcPr>
          <w:p w14:paraId="67C02AF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57cm</w:t>
            </w:r>
          </w:p>
        </w:tc>
        <w:tc>
          <w:tcPr>
            <w:tcW w:w="771" w:type="dxa"/>
            <w:tcBorders>
              <w:tl2br w:val="nil"/>
              <w:tr2bl w:val="nil"/>
            </w:tcBorders>
            <w:shd w:val="clear" w:color="auto" w:fill="auto"/>
            <w:noWrap w:val="0"/>
            <w:vAlign w:val="center"/>
          </w:tcPr>
          <w:p w14:paraId="605393D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785D32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01CD3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AC9E69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w:t>
            </w:r>
          </w:p>
        </w:tc>
        <w:tc>
          <w:tcPr>
            <w:tcW w:w="1470" w:type="dxa"/>
            <w:tcBorders>
              <w:tl2br w:val="nil"/>
              <w:tr2bl w:val="nil"/>
            </w:tcBorders>
            <w:shd w:val="clear" w:color="auto" w:fill="auto"/>
            <w:noWrap w:val="0"/>
            <w:vAlign w:val="center"/>
          </w:tcPr>
          <w:p w14:paraId="59AFFE6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石膏几何体</w:t>
            </w:r>
          </w:p>
        </w:tc>
        <w:tc>
          <w:tcPr>
            <w:tcW w:w="1425" w:type="dxa"/>
            <w:tcBorders>
              <w:tl2br w:val="nil"/>
              <w:tr2bl w:val="nil"/>
            </w:tcBorders>
            <w:shd w:val="clear" w:color="auto" w:fill="auto"/>
            <w:noWrap w:val="0"/>
            <w:vAlign w:val="center"/>
          </w:tcPr>
          <w:p w14:paraId="786C5AD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23cm</w:t>
            </w:r>
          </w:p>
        </w:tc>
        <w:tc>
          <w:tcPr>
            <w:tcW w:w="4740" w:type="dxa"/>
            <w:tcBorders>
              <w:tl2br w:val="nil"/>
              <w:tr2bl w:val="nil"/>
            </w:tcBorders>
            <w:shd w:val="clear" w:color="auto" w:fill="auto"/>
            <w:noWrap w:val="0"/>
            <w:vAlign w:val="center"/>
          </w:tcPr>
          <w:p w14:paraId="7F3C19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23cm</w:t>
            </w:r>
          </w:p>
        </w:tc>
        <w:tc>
          <w:tcPr>
            <w:tcW w:w="771" w:type="dxa"/>
            <w:tcBorders>
              <w:tl2br w:val="nil"/>
              <w:tr2bl w:val="nil"/>
            </w:tcBorders>
            <w:shd w:val="clear" w:color="auto" w:fill="auto"/>
            <w:noWrap w:val="0"/>
            <w:vAlign w:val="center"/>
          </w:tcPr>
          <w:p w14:paraId="3F86A80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12</w:t>
            </w:r>
          </w:p>
        </w:tc>
        <w:tc>
          <w:tcPr>
            <w:tcW w:w="772" w:type="dxa"/>
            <w:tcBorders>
              <w:tl2br w:val="nil"/>
              <w:tr2bl w:val="nil"/>
            </w:tcBorders>
            <w:shd w:val="clear" w:color="auto" w:fill="auto"/>
            <w:noWrap w:val="0"/>
            <w:vAlign w:val="center"/>
          </w:tcPr>
          <w:p w14:paraId="50AF54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5227FD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123029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1470" w:type="dxa"/>
            <w:tcBorders>
              <w:tl2br w:val="nil"/>
              <w:tr2bl w:val="nil"/>
            </w:tcBorders>
            <w:shd w:val="clear" w:color="auto" w:fill="auto"/>
            <w:noWrap w:val="0"/>
            <w:vAlign w:val="center"/>
          </w:tcPr>
          <w:p w14:paraId="3BE1ED6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衬布</w:t>
            </w:r>
          </w:p>
        </w:tc>
        <w:tc>
          <w:tcPr>
            <w:tcW w:w="1425" w:type="dxa"/>
            <w:tcBorders>
              <w:tl2br w:val="nil"/>
              <w:tr2bl w:val="nil"/>
            </w:tcBorders>
            <w:shd w:val="clear" w:color="auto" w:fill="auto"/>
            <w:noWrap w:val="0"/>
            <w:vAlign w:val="center"/>
          </w:tcPr>
          <w:p w14:paraId="26851A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1*1.5m</w:t>
            </w:r>
          </w:p>
        </w:tc>
        <w:tc>
          <w:tcPr>
            <w:tcW w:w="4740" w:type="dxa"/>
            <w:tcBorders>
              <w:tl2br w:val="nil"/>
              <w:tr2bl w:val="nil"/>
            </w:tcBorders>
            <w:shd w:val="clear" w:color="auto" w:fill="auto"/>
            <w:noWrap w:val="0"/>
            <w:vAlign w:val="center"/>
          </w:tcPr>
          <w:p w14:paraId="1C9AE5E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1*1.5m</w:t>
            </w:r>
          </w:p>
        </w:tc>
        <w:tc>
          <w:tcPr>
            <w:tcW w:w="771" w:type="dxa"/>
            <w:tcBorders>
              <w:tl2br w:val="nil"/>
              <w:tr2bl w:val="nil"/>
            </w:tcBorders>
            <w:shd w:val="clear" w:color="auto" w:fill="auto"/>
            <w:noWrap w:val="0"/>
            <w:vAlign w:val="center"/>
          </w:tcPr>
          <w:p w14:paraId="48B6E8A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w:t>
            </w:r>
          </w:p>
        </w:tc>
        <w:tc>
          <w:tcPr>
            <w:tcW w:w="772" w:type="dxa"/>
            <w:tcBorders>
              <w:tl2br w:val="nil"/>
              <w:tr2bl w:val="nil"/>
            </w:tcBorders>
            <w:shd w:val="clear" w:color="auto" w:fill="auto"/>
            <w:noWrap w:val="0"/>
            <w:vAlign w:val="center"/>
          </w:tcPr>
          <w:p w14:paraId="637C886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1B2F7D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75E82E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w:t>
            </w:r>
          </w:p>
        </w:tc>
        <w:tc>
          <w:tcPr>
            <w:tcW w:w="1470" w:type="dxa"/>
            <w:tcBorders>
              <w:tl2br w:val="nil"/>
              <w:tr2bl w:val="nil"/>
            </w:tcBorders>
            <w:shd w:val="clear" w:color="auto" w:fill="auto"/>
            <w:noWrap w:val="0"/>
            <w:vAlign w:val="center"/>
          </w:tcPr>
          <w:p w14:paraId="2937872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写生灯</w:t>
            </w:r>
          </w:p>
        </w:tc>
        <w:tc>
          <w:tcPr>
            <w:tcW w:w="1425" w:type="dxa"/>
            <w:tcBorders>
              <w:tl2br w:val="nil"/>
              <w:tr2bl w:val="nil"/>
            </w:tcBorders>
            <w:shd w:val="clear" w:color="auto" w:fill="auto"/>
            <w:noWrap w:val="0"/>
            <w:vAlign w:val="center"/>
          </w:tcPr>
          <w:p w14:paraId="199991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75cm</w:t>
            </w:r>
          </w:p>
        </w:tc>
        <w:tc>
          <w:tcPr>
            <w:tcW w:w="4740" w:type="dxa"/>
            <w:tcBorders>
              <w:tl2br w:val="nil"/>
              <w:tr2bl w:val="nil"/>
            </w:tcBorders>
            <w:shd w:val="clear" w:color="auto" w:fill="auto"/>
            <w:noWrap w:val="0"/>
            <w:vAlign w:val="center"/>
          </w:tcPr>
          <w:p w14:paraId="79CE606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75cm</w:t>
            </w:r>
          </w:p>
        </w:tc>
        <w:tc>
          <w:tcPr>
            <w:tcW w:w="771" w:type="dxa"/>
            <w:tcBorders>
              <w:tl2br w:val="nil"/>
              <w:tr2bl w:val="nil"/>
            </w:tcBorders>
            <w:shd w:val="clear" w:color="auto" w:fill="auto"/>
            <w:noWrap w:val="0"/>
            <w:vAlign w:val="center"/>
          </w:tcPr>
          <w:p w14:paraId="2C196E6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04694D2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0A3E2F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924B3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w:t>
            </w:r>
          </w:p>
        </w:tc>
        <w:tc>
          <w:tcPr>
            <w:tcW w:w="1470" w:type="dxa"/>
            <w:tcBorders>
              <w:tl2br w:val="nil"/>
              <w:tr2bl w:val="nil"/>
            </w:tcBorders>
            <w:shd w:val="clear" w:color="auto" w:fill="auto"/>
            <w:noWrap w:val="0"/>
            <w:vAlign w:val="center"/>
          </w:tcPr>
          <w:p w14:paraId="04F9FDC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写生灯</w:t>
            </w:r>
          </w:p>
        </w:tc>
        <w:tc>
          <w:tcPr>
            <w:tcW w:w="1425" w:type="dxa"/>
            <w:tcBorders>
              <w:tl2br w:val="nil"/>
              <w:tr2bl w:val="nil"/>
            </w:tcBorders>
            <w:shd w:val="clear" w:color="auto" w:fill="auto"/>
            <w:noWrap w:val="0"/>
            <w:vAlign w:val="center"/>
          </w:tcPr>
          <w:p w14:paraId="555E17F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2m</w:t>
            </w:r>
          </w:p>
        </w:tc>
        <w:tc>
          <w:tcPr>
            <w:tcW w:w="4740" w:type="dxa"/>
            <w:tcBorders>
              <w:tl2br w:val="nil"/>
              <w:tr2bl w:val="nil"/>
            </w:tcBorders>
            <w:shd w:val="clear" w:color="auto" w:fill="auto"/>
            <w:noWrap w:val="0"/>
            <w:vAlign w:val="center"/>
          </w:tcPr>
          <w:p w14:paraId="6E6E48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2m</w:t>
            </w:r>
          </w:p>
        </w:tc>
        <w:tc>
          <w:tcPr>
            <w:tcW w:w="771" w:type="dxa"/>
            <w:tcBorders>
              <w:tl2br w:val="nil"/>
              <w:tr2bl w:val="nil"/>
            </w:tcBorders>
            <w:shd w:val="clear" w:color="auto" w:fill="auto"/>
            <w:noWrap w:val="0"/>
            <w:vAlign w:val="center"/>
          </w:tcPr>
          <w:p w14:paraId="1421CC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w:t>
            </w:r>
          </w:p>
        </w:tc>
        <w:tc>
          <w:tcPr>
            <w:tcW w:w="772" w:type="dxa"/>
            <w:tcBorders>
              <w:tl2br w:val="nil"/>
              <w:tr2bl w:val="nil"/>
            </w:tcBorders>
            <w:shd w:val="clear" w:color="auto" w:fill="auto"/>
            <w:noWrap w:val="0"/>
            <w:vAlign w:val="center"/>
          </w:tcPr>
          <w:p w14:paraId="63CDD4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360BCA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996043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1470" w:type="dxa"/>
            <w:tcBorders>
              <w:tl2br w:val="nil"/>
              <w:tr2bl w:val="nil"/>
            </w:tcBorders>
            <w:shd w:val="clear" w:color="auto" w:fill="auto"/>
            <w:noWrap w:val="0"/>
            <w:vAlign w:val="center"/>
          </w:tcPr>
          <w:p w14:paraId="4FE998A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仿真果蔬</w:t>
            </w:r>
          </w:p>
        </w:tc>
        <w:tc>
          <w:tcPr>
            <w:tcW w:w="1425" w:type="dxa"/>
            <w:tcBorders>
              <w:tl2br w:val="nil"/>
              <w:tr2bl w:val="nil"/>
            </w:tcBorders>
            <w:shd w:val="clear" w:color="auto" w:fill="auto"/>
            <w:noWrap w:val="0"/>
            <w:vAlign w:val="center"/>
          </w:tcPr>
          <w:p w14:paraId="20948CC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044BB5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仿真果蔬</w:t>
            </w:r>
          </w:p>
        </w:tc>
        <w:tc>
          <w:tcPr>
            <w:tcW w:w="771" w:type="dxa"/>
            <w:tcBorders>
              <w:tl2br w:val="nil"/>
              <w:tr2bl w:val="nil"/>
            </w:tcBorders>
            <w:shd w:val="clear" w:color="auto" w:fill="auto"/>
            <w:noWrap w:val="0"/>
            <w:vAlign w:val="center"/>
          </w:tcPr>
          <w:p w14:paraId="2D51991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w:t>
            </w:r>
          </w:p>
        </w:tc>
        <w:tc>
          <w:tcPr>
            <w:tcW w:w="772" w:type="dxa"/>
            <w:tcBorders>
              <w:tl2br w:val="nil"/>
              <w:tr2bl w:val="nil"/>
            </w:tcBorders>
            <w:shd w:val="clear" w:color="auto" w:fill="auto"/>
            <w:noWrap w:val="0"/>
            <w:vAlign w:val="center"/>
          </w:tcPr>
          <w:p w14:paraId="3631BC4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084E82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7185F4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w:t>
            </w:r>
          </w:p>
        </w:tc>
        <w:tc>
          <w:tcPr>
            <w:tcW w:w="1470" w:type="dxa"/>
            <w:tcBorders>
              <w:tl2br w:val="nil"/>
              <w:tr2bl w:val="nil"/>
            </w:tcBorders>
            <w:shd w:val="clear" w:color="auto" w:fill="auto"/>
            <w:noWrap w:val="0"/>
            <w:vAlign w:val="center"/>
          </w:tcPr>
          <w:p w14:paraId="3A776F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陶罐</w:t>
            </w:r>
          </w:p>
        </w:tc>
        <w:tc>
          <w:tcPr>
            <w:tcW w:w="1425" w:type="dxa"/>
            <w:tcBorders>
              <w:tl2br w:val="nil"/>
              <w:tr2bl w:val="nil"/>
            </w:tcBorders>
            <w:shd w:val="clear" w:color="auto" w:fill="auto"/>
            <w:noWrap w:val="0"/>
            <w:vAlign w:val="center"/>
          </w:tcPr>
          <w:p w14:paraId="09B14C4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70FAF90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陶罐</w:t>
            </w:r>
          </w:p>
        </w:tc>
        <w:tc>
          <w:tcPr>
            <w:tcW w:w="771" w:type="dxa"/>
            <w:tcBorders>
              <w:tl2br w:val="nil"/>
              <w:tr2bl w:val="nil"/>
            </w:tcBorders>
            <w:shd w:val="clear" w:color="auto" w:fill="auto"/>
            <w:noWrap w:val="0"/>
            <w:vAlign w:val="center"/>
          </w:tcPr>
          <w:p w14:paraId="628CC96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w:t>
            </w:r>
          </w:p>
        </w:tc>
        <w:tc>
          <w:tcPr>
            <w:tcW w:w="772" w:type="dxa"/>
            <w:tcBorders>
              <w:tl2br w:val="nil"/>
              <w:tr2bl w:val="nil"/>
            </w:tcBorders>
            <w:shd w:val="clear" w:color="auto" w:fill="auto"/>
            <w:noWrap w:val="0"/>
            <w:vAlign w:val="center"/>
          </w:tcPr>
          <w:p w14:paraId="24F6EAF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32D57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64C9D4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w:t>
            </w:r>
          </w:p>
        </w:tc>
        <w:tc>
          <w:tcPr>
            <w:tcW w:w="1470" w:type="dxa"/>
            <w:tcBorders>
              <w:tl2br w:val="nil"/>
              <w:tr2bl w:val="nil"/>
            </w:tcBorders>
            <w:shd w:val="clear" w:color="auto" w:fill="auto"/>
            <w:noWrap w:val="0"/>
            <w:vAlign w:val="center"/>
          </w:tcPr>
          <w:p w14:paraId="62B3704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静物台</w:t>
            </w:r>
          </w:p>
        </w:tc>
        <w:tc>
          <w:tcPr>
            <w:tcW w:w="1425" w:type="dxa"/>
            <w:tcBorders>
              <w:tl2br w:val="nil"/>
              <w:tr2bl w:val="nil"/>
            </w:tcBorders>
            <w:shd w:val="clear" w:color="auto" w:fill="auto"/>
            <w:noWrap w:val="0"/>
            <w:vAlign w:val="center"/>
          </w:tcPr>
          <w:p w14:paraId="5635F0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60*60cm</w:t>
            </w:r>
          </w:p>
        </w:tc>
        <w:tc>
          <w:tcPr>
            <w:tcW w:w="4740" w:type="dxa"/>
            <w:tcBorders>
              <w:tl2br w:val="nil"/>
              <w:tr2bl w:val="nil"/>
            </w:tcBorders>
            <w:shd w:val="clear" w:color="auto" w:fill="auto"/>
            <w:noWrap w:val="0"/>
            <w:vAlign w:val="center"/>
          </w:tcPr>
          <w:p w14:paraId="658F49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60*60cm</w:t>
            </w:r>
          </w:p>
        </w:tc>
        <w:tc>
          <w:tcPr>
            <w:tcW w:w="771" w:type="dxa"/>
            <w:tcBorders>
              <w:tl2br w:val="nil"/>
              <w:tr2bl w:val="nil"/>
            </w:tcBorders>
            <w:shd w:val="clear" w:color="auto" w:fill="auto"/>
            <w:noWrap w:val="0"/>
            <w:vAlign w:val="center"/>
          </w:tcPr>
          <w:p w14:paraId="72F9056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3</w:t>
            </w:r>
          </w:p>
        </w:tc>
        <w:tc>
          <w:tcPr>
            <w:tcW w:w="772" w:type="dxa"/>
            <w:tcBorders>
              <w:tl2br w:val="nil"/>
              <w:tr2bl w:val="nil"/>
            </w:tcBorders>
            <w:shd w:val="clear" w:color="auto" w:fill="auto"/>
            <w:noWrap w:val="0"/>
            <w:vAlign w:val="center"/>
          </w:tcPr>
          <w:p w14:paraId="30C7A7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3DFFF2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AD929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1470" w:type="dxa"/>
            <w:tcBorders>
              <w:tl2br w:val="nil"/>
              <w:tr2bl w:val="nil"/>
            </w:tcBorders>
            <w:shd w:val="clear" w:color="auto" w:fill="auto"/>
            <w:noWrap w:val="0"/>
            <w:vAlign w:val="center"/>
          </w:tcPr>
          <w:p w14:paraId="648690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关节木偶人</w:t>
            </w:r>
          </w:p>
        </w:tc>
        <w:tc>
          <w:tcPr>
            <w:tcW w:w="1425" w:type="dxa"/>
            <w:tcBorders>
              <w:tl2br w:val="nil"/>
              <w:tr2bl w:val="nil"/>
            </w:tcBorders>
            <w:shd w:val="clear" w:color="auto" w:fill="auto"/>
            <w:noWrap w:val="0"/>
            <w:vAlign w:val="center"/>
          </w:tcPr>
          <w:p w14:paraId="271067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22cm</w:t>
            </w:r>
          </w:p>
        </w:tc>
        <w:tc>
          <w:tcPr>
            <w:tcW w:w="4740" w:type="dxa"/>
            <w:tcBorders>
              <w:tl2br w:val="nil"/>
              <w:tr2bl w:val="nil"/>
            </w:tcBorders>
            <w:shd w:val="clear" w:color="auto" w:fill="auto"/>
            <w:noWrap w:val="0"/>
            <w:vAlign w:val="center"/>
          </w:tcPr>
          <w:p w14:paraId="716A5B4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22cm</w:t>
            </w:r>
          </w:p>
        </w:tc>
        <w:tc>
          <w:tcPr>
            <w:tcW w:w="771" w:type="dxa"/>
            <w:tcBorders>
              <w:tl2br w:val="nil"/>
              <w:tr2bl w:val="nil"/>
            </w:tcBorders>
            <w:shd w:val="clear" w:color="auto" w:fill="auto"/>
            <w:noWrap w:val="0"/>
            <w:vAlign w:val="center"/>
          </w:tcPr>
          <w:p w14:paraId="50FED9E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5E27B05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11F6AE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D02BD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w:t>
            </w:r>
          </w:p>
        </w:tc>
        <w:tc>
          <w:tcPr>
            <w:tcW w:w="1470" w:type="dxa"/>
            <w:tcBorders>
              <w:tl2br w:val="nil"/>
              <w:tr2bl w:val="nil"/>
            </w:tcBorders>
            <w:shd w:val="clear" w:color="auto" w:fill="auto"/>
            <w:noWrap w:val="0"/>
            <w:vAlign w:val="center"/>
          </w:tcPr>
          <w:p w14:paraId="7765864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关节木偶人</w:t>
            </w:r>
          </w:p>
        </w:tc>
        <w:tc>
          <w:tcPr>
            <w:tcW w:w="1425" w:type="dxa"/>
            <w:tcBorders>
              <w:tl2br w:val="nil"/>
              <w:tr2bl w:val="nil"/>
            </w:tcBorders>
            <w:shd w:val="clear" w:color="auto" w:fill="auto"/>
            <w:noWrap w:val="0"/>
            <w:vAlign w:val="center"/>
          </w:tcPr>
          <w:p w14:paraId="1F9BD8F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32cm</w:t>
            </w:r>
          </w:p>
        </w:tc>
        <w:tc>
          <w:tcPr>
            <w:tcW w:w="4740" w:type="dxa"/>
            <w:tcBorders>
              <w:tl2br w:val="nil"/>
              <w:tr2bl w:val="nil"/>
            </w:tcBorders>
            <w:shd w:val="clear" w:color="auto" w:fill="auto"/>
            <w:noWrap w:val="0"/>
            <w:vAlign w:val="center"/>
          </w:tcPr>
          <w:p w14:paraId="5AC0663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32cm</w:t>
            </w:r>
          </w:p>
        </w:tc>
        <w:tc>
          <w:tcPr>
            <w:tcW w:w="771" w:type="dxa"/>
            <w:tcBorders>
              <w:tl2br w:val="nil"/>
              <w:tr2bl w:val="nil"/>
            </w:tcBorders>
            <w:shd w:val="clear" w:color="auto" w:fill="auto"/>
            <w:noWrap w:val="0"/>
            <w:vAlign w:val="center"/>
          </w:tcPr>
          <w:p w14:paraId="564E007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33DCC28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290CA7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03AB2A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c>
          <w:tcPr>
            <w:tcW w:w="1470" w:type="dxa"/>
            <w:tcBorders>
              <w:tl2br w:val="nil"/>
              <w:tr2bl w:val="nil"/>
            </w:tcBorders>
            <w:shd w:val="clear" w:color="auto" w:fill="auto"/>
            <w:noWrap w:val="0"/>
            <w:vAlign w:val="center"/>
          </w:tcPr>
          <w:p w14:paraId="0BB41AD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关节木偶人</w:t>
            </w:r>
          </w:p>
        </w:tc>
        <w:tc>
          <w:tcPr>
            <w:tcW w:w="1425" w:type="dxa"/>
            <w:tcBorders>
              <w:tl2br w:val="nil"/>
              <w:tr2bl w:val="nil"/>
            </w:tcBorders>
            <w:shd w:val="clear" w:color="auto" w:fill="auto"/>
            <w:noWrap w:val="0"/>
            <w:vAlign w:val="center"/>
          </w:tcPr>
          <w:p w14:paraId="0274B82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43cm</w:t>
            </w:r>
          </w:p>
        </w:tc>
        <w:tc>
          <w:tcPr>
            <w:tcW w:w="4740" w:type="dxa"/>
            <w:tcBorders>
              <w:tl2br w:val="nil"/>
              <w:tr2bl w:val="nil"/>
            </w:tcBorders>
            <w:shd w:val="clear" w:color="auto" w:fill="auto"/>
            <w:noWrap w:val="0"/>
            <w:vAlign w:val="center"/>
          </w:tcPr>
          <w:p w14:paraId="21C15E2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43cm</w:t>
            </w:r>
          </w:p>
        </w:tc>
        <w:tc>
          <w:tcPr>
            <w:tcW w:w="771" w:type="dxa"/>
            <w:tcBorders>
              <w:tl2br w:val="nil"/>
              <w:tr2bl w:val="nil"/>
            </w:tcBorders>
            <w:shd w:val="clear" w:color="auto" w:fill="auto"/>
            <w:noWrap w:val="0"/>
            <w:vAlign w:val="center"/>
          </w:tcPr>
          <w:p w14:paraId="1F57B85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131CC48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01F79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FE4CC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w:t>
            </w:r>
          </w:p>
        </w:tc>
        <w:tc>
          <w:tcPr>
            <w:tcW w:w="1470" w:type="dxa"/>
            <w:tcBorders>
              <w:tl2br w:val="nil"/>
              <w:tr2bl w:val="nil"/>
            </w:tcBorders>
            <w:shd w:val="clear" w:color="auto" w:fill="auto"/>
            <w:noWrap w:val="0"/>
            <w:vAlign w:val="center"/>
          </w:tcPr>
          <w:p w14:paraId="5B3F2B8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实木画架</w:t>
            </w:r>
          </w:p>
        </w:tc>
        <w:tc>
          <w:tcPr>
            <w:tcW w:w="1425" w:type="dxa"/>
            <w:tcBorders>
              <w:tl2br w:val="nil"/>
              <w:tr2bl w:val="nil"/>
            </w:tcBorders>
            <w:shd w:val="clear" w:color="auto" w:fill="auto"/>
            <w:noWrap w:val="0"/>
            <w:vAlign w:val="center"/>
          </w:tcPr>
          <w:p w14:paraId="7727845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1.5m</w:t>
            </w:r>
          </w:p>
        </w:tc>
        <w:tc>
          <w:tcPr>
            <w:tcW w:w="4740" w:type="dxa"/>
            <w:tcBorders>
              <w:tl2br w:val="nil"/>
              <w:tr2bl w:val="nil"/>
            </w:tcBorders>
            <w:shd w:val="clear" w:color="auto" w:fill="auto"/>
            <w:noWrap w:val="0"/>
            <w:vAlign w:val="center"/>
          </w:tcPr>
          <w:p w14:paraId="5454E40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1.5m</w:t>
            </w:r>
          </w:p>
        </w:tc>
        <w:tc>
          <w:tcPr>
            <w:tcW w:w="771" w:type="dxa"/>
            <w:tcBorders>
              <w:tl2br w:val="nil"/>
              <w:tr2bl w:val="nil"/>
            </w:tcBorders>
            <w:shd w:val="clear" w:color="auto" w:fill="auto"/>
            <w:noWrap w:val="0"/>
            <w:vAlign w:val="center"/>
          </w:tcPr>
          <w:p w14:paraId="064CCB6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10</w:t>
            </w:r>
          </w:p>
        </w:tc>
        <w:tc>
          <w:tcPr>
            <w:tcW w:w="772" w:type="dxa"/>
            <w:tcBorders>
              <w:tl2br w:val="nil"/>
              <w:tr2bl w:val="nil"/>
            </w:tcBorders>
            <w:shd w:val="clear" w:color="auto" w:fill="auto"/>
            <w:noWrap w:val="0"/>
            <w:vAlign w:val="center"/>
          </w:tcPr>
          <w:p w14:paraId="7026C4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个</w:t>
            </w:r>
          </w:p>
        </w:tc>
      </w:tr>
      <w:tr w14:paraId="127F23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3A11E2D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w:t>
            </w:r>
          </w:p>
        </w:tc>
        <w:tc>
          <w:tcPr>
            <w:tcW w:w="1470" w:type="dxa"/>
            <w:tcBorders>
              <w:tl2br w:val="nil"/>
              <w:tr2bl w:val="nil"/>
            </w:tcBorders>
            <w:shd w:val="clear" w:color="auto" w:fill="auto"/>
            <w:noWrap w:val="0"/>
            <w:vAlign w:val="center"/>
          </w:tcPr>
          <w:p w14:paraId="42A17C9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储物柜12格</w:t>
            </w:r>
          </w:p>
        </w:tc>
        <w:tc>
          <w:tcPr>
            <w:tcW w:w="1425" w:type="dxa"/>
            <w:tcBorders>
              <w:tl2br w:val="nil"/>
              <w:tr2bl w:val="nil"/>
            </w:tcBorders>
            <w:shd w:val="clear" w:color="auto" w:fill="auto"/>
            <w:noWrap w:val="0"/>
            <w:vAlign w:val="center"/>
          </w:tcPr>
          <w:p w14:paraId="269E6B3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80*30*120cm</w:t>
            </w:r>
          </w:p>
        </w:tc>
        <w:tc>
          <w:tcPr>
            <w:tcW w:w="4740" w:type="dxa"/>
            <w:tcBorders>
              <w:tl2br w:val="nil"/>
              <w:tr2bl w:val="nil"/>
            </w:tcBorders>
            <w:shd w:val="clear" w:color="auto" w:fill="auto"/>
            <w:noWrap w:val="0"/>
            <w:vAlign w:val="center"/>
          </w:tcPr>
          <w:p w14:paraId="2942594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80*30*120cm</w:t>
            </w:r>
          </w:p>
        </w:tc>
        <w:tc>
          <w:tcPr>
            <w:tcW w:w="771" w:type="dxa"/>
            <w:tcBorders>
              <w:tl2br w:val="nil"/>
              <w:tr2bl w:val="nil"/>
            </w:tcBorders>
            <w:shd w:val="clear" w:color="auto" w:fill="auto"/>
            <w:noWrap w:val="0"/>
            <w:vAlign w:val="center"/>
          </w:tcPr>
          <w:p w14:paraId="5DB99E1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w:t>
            </w:r>
          </w:p>
        </w:tc>
        <w:tc>
          <w:tcPr>
            <w:tcW w:w="772" w:type="dxa"/>
            <w:tcBorders>
              <w:tl2br w:val="nil"/>
              <w:tr2bl w:val="nil"/>
            </w:tcBorders>
            <w:shd w:val="clear" w:color="auto" w:fill="auto"/>
            <w:noWrap w:val="0"/>
            <w:vAlign w:val="center"/>
          </w:tcPr>
          <w:p w14:paraId="5EE35DD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套</w:t>
            </w:r>
          </w:p>
        </w:tc>
      </w:tr>
      <w:tr w14:paraId="485F25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451C46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w:t>
            </w:r>
          </w:p>
        </w:tc>
        <w:tc>
          <w:tcPr>
            <w:tcW w:w="1470" w:type="dxa"/>
            <w:tcBorders>
              <w:tl2br w:val="nil"/>
              <w:tr2bl w:val="nil"/>
            </w:tcBorders>
            <w:shd w:val="clear" w:color="auto" w:fill="auto"/>
            <w:noWrap w:val="0"/>
            <w:vAlign w:val="center"/>
          </w:tcPr>
          <w:p w14:paraId="022A578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置物架一体靠墙</w:t>
            </w:r>
          </w:p>
        </w:tc>
        <w:tc>
          <w:tcPr>
            <w:tcW w:w="1425" w:type="dxa"/>
            <w:tcBorders>
              <w:tl2br w:val="nil"/>
              <w:tr2bl w:val="nil"/>
            </w:tcBorders>
            <w:shd w:val="clear" w:color="auto" w:fill="auto"/>
            <w:noWrap w:val="0"/>
            <w:vAlign w:val="center"/>
          </w:tcPr>
          <w:p w14:paraId="74D6577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4A2E76F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i w:val="0"/>
                <w:iCs w:val="0"/>
                <w:color w:val="auto"/>
                <w:kern w:val="0"/>
                <w:sz w:val="20"/>
                <w:szCs w:val="20"/>
                <w:u w:val="none"/>
                <w:lang w:val="en-US" w:eastAsia="zh-CN" w:bidi="ar"/>
              </w:rPr>
              <w:t>置物架一体靠墙</w:t>
            </w:r>
          </w:p>
        </w:tc>
        <w:tc>
          <w:tcPr>
            <w:tcW w:w="771" w:type="dxa"/>
            <w:tcBorders>
              <w:tl2br w:val="nil"/>
              <w:tr2bl w:val="nil"/>
            </w:tcBorders>
            <w:shd w:val="clear" w:color="auto" w:fill="auto"/>
            <w:noWrap w:val="0"/>
            <w:vAlign w:val="center"/>
          </w:tcPr>
          <w:p w14:paraId="660B12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3C89C99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套</w:t>
            </w:r>
          </w:p>
        </w:tc>
      </w:tr>
      <w:tr w14:paraId="386AAC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2B1EF8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c>
          <w:tcPr>
            <w:tcW w:w="1470" w:type="dxa"/>
            <w:tcBorders>
              <w:tl2br w:val="nil"/>
              <w:tr2bl w:val="nil"/>
            </w:tcBorders>
            <w:shd w:val="clear" w:color="auto" w:fill="auto"/>
            <w:noWrap w:val="0"/>
            <w:vAlign w:val="center"/>
          </w:tcPr>
          <w:p w14:paraId="37B08EE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文化布置</w:t>
            </w:r>
          </w:p>
        </w:tc>
        <w:tc>
          <w:tcPr>
            <w:tcW w:w="1425" w:type="dxa"/>
            <w:tcBorders>
              <w:tl2br w:val="nil"/>
              <w:tr2bl w:val="nil"/>
            </w:tcBorders>
            <w:shd w:val="clear" w:color="auto" w:fill="auto"/>
            <w:noWrap w:val="0"/>
            <w:vAlign w:val="center"/>
          </w:tcPr>
          <w:p w14:paraId="7E04779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57921A7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文化布置，设计方案经采购人确认后实施</w:t>
            </w:r>
          </w:p>
        </w:tc>
        <w:tc>
          <w:tcPr>
            <w:tcW w:w="771" w:type="dxa"/>
            <w:tcBorders>
              <w:tl2br w:val="nil"/>
              <w:tr2bl w:val="nil"/>
            </w:tcBorders>
            <w:shd w:val="clear" w:color="auto" w:fill="auto"/>
            <w:noWrap w:val="0"/>
            <w:vAlign w:val="center"/>
          </w:tcPr>
          <w:p w14:paraId="48B3573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582B421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批</w:t>
            </w:r>
          </w:p>
        </w:tc>
      </w:tr>
    </w:tbl>
    <w:p w14:paraId="115965DB">
      <w:pPr>
        <w:keepNext w:val="0"/>
        <w:keepLines w:val="0"/>
        <w:pageBreakBefore w:val="0"/>
        <w:widowControl w:val="0"/>
        <w:kinsoku/>
        <w:wordWrap/>
        <w:overflowPunct/>
        <w:topLinePunct w:val="0"/>
        <w:autoSpaceDE w:val="0"/>
        <w:autoSpaceDN w:val="0"/>
        <w:bidi w:val="0"/>
        <w:adjustRightInd/>
        <w:snapToGrid/>
        <w:spacing w:before="0" w:beforeLines="50"/>
        <w:textAlignment w:val="auto"/>
        <w:rPr>
          <w:rFonts w:hint="default"/>
          <w:color w:val="auto"/>
          <w:lang w:val="en-US" w:eastAsia="zh-CN"/>
        </w:rPr>
      </w:pPr>
      <w:r>
        <w:rPr>
          <w:rFonts w:hint="eastAsia" w:ascii="仿宋" w:hAnsi="仿宋" w:eastAsia="仿宋" w:cs="仿宋"/>
          <w:b/>
          <w:bCs/>
          <w:color w:val="auto"/>
          <w:sz w:val="24"/>
          <w:szCs w:val="24"/>
          <w:lang w:val="en-US" w:eastAsia="zh-CN"/>
        </w:rPr>
        <w:t>（五）音乐学科</w:t>
      </w:r>
    </w:p>
    <w:tbl>
      <w:tblPr>
        <w:tblStyle w:val="27"/>
        <w:tblW w:w="98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686"/>
        <w:gridCol w:w="1470"/>
        <w:gridCol w:w="1425"/>
        <w:gridCol w:w="4740"/>
        <w:gridCol w:w="771"/>
        <w:gridCol w:w="772"/>
      </w:tblGrid>
      <w:tr w14:paraId="4D3571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9864" w:type="dxa"/>
            <w:gridSpan w:val="6"/>
            <w:tcBorders>
              <w:tl2br w:val="nil"/>
              <w:tr2bl w:val="nil"/>
            </w:tcBorders>
            <w:shd w:val="clear" w:color="auto" w:fill="B6DDE8" w:themeFill="accent5" w:themeFillTint="66"/>
            <w:noWrap w:val="0"/>
            <w:vAlign w:val="center"/>
          </w:tcPr>
          <w:p w14:paraId="100A84C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音乐教室</w:t>
            </w:r>
          </w:p>
        </w:tc>
      </w:tr>
      <w:tr w14:paraId="2967F9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B6DDE8" w:themeFill="accent5" w:themeFillTint="66"/>
            <w:noWrap w:val="0"/>
            <w:vAlign w:val="center"/>
          </w:tcPr>
          <w:p w14:paraId="5CD50FC6">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序号</w:t>
            </w:r>
          </w:p>
        </w:tc>
        <w:tc>
          <w:tcPr>
            <w:tcW w:w="1470" w:type="dxa"/>
            <w:tcBorders>
              <w:tl2br w:val="nil"/>
              <w:tr2bl w:val="nil"/>
            </w:tcBorders>
            <w:shd w:val="clear" w:color="auto" w:fill="B6DDE8" w:themeFill="accent5" w:themeFillTint="66"/>
            <w:noWrap w:val="0"/>
            <w:vAlign w:val="center"/>
          </w:tcPr>
          <w:p w14:paraId="32E811DE">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b/>
                <w:bCs/>
                <w:color w:val="auto"/>
                <w:position w:val="-6"/>
                <w:sz w:val="24"/>
                <w:szCs w:val="24"/>
                <w:lang w:val="en-US" w:eastAsia="zh-CN"/>
              </w:rPr>
              <w:t>名称</w:t>
            </w:r>
          </w:p>
        </w:tc>
        <w:tc>
          <w:tcPr>
            <w:tcW w:w="1425" w:type="dxa"/>
            <w:tcBorders>
              <w:tl2br w:val="nil"/>
              <w:tr2bl w:val="nil"/>
            </w:tcBorders>
            <w:shd w:val="clear" w:color="auto" w:fill="B6DDE8" w:themeFill="accent5" w:themeFillTint="66"/>
            <w:noWrap w:val="0"/>
            <w:vAlign w:val="center"/>
          </w:tcPr>
          <w:p w14:paraId="058C26AB">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规格</w:t>
            </w:r>
          </w:p>
        </w:tc>
        <w:tc>
          <w:tcPr>
            <w:tcW w:w="4740" w:type="dxa"/>
            <w:tcBorders>
              <w:tl2br w:val="nil"/>
              <w:tr2bl w:val="nil"/>
            </w:tcBorders>
            <w:shd w:val="clear" w:color="auto" w:fill="B6DDE8" w:themeFill="accent5" w:themeFillTint="66"/>
            <w:noWrap w:val="0"/>
            <w:vAlign w:val="center"/>
          </w:tcPr>
          <w:p w14:paraId="2129FCD9">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技术参数</w:t>
            </w:r>
          </w:p>
        </w:tc>
        <w:tc>
          <w:tcPr>
            <w:tcW w:w="771" w:type="dxa"/>
            <w:tcBorders>
              <w:tl2br w:val="nil"/>
              <w:tr2bl w:val="nil"/>
            </w:tcBorders>
            <w:shd w:val="clear" w:color="auto" w:fill="B6DDE8" w:themeFill="accent5" w:themeFillTint="66"/>
            <w:noWrap w:val="0"/>
            <w:vAlign w:val="center"/>
          </w:tcPr>
          <w:p w14:paraId="22F361CF">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数量</w:t>
            </w:r>
          </w:p>
        </w:tc>
        <w:tc>
          <w:tcPr>
            <w:tcW w:w="772" w:type="dxa"/>
            <w:tcBorders>
              <w:tl2br w:val="nil"/>
              <w:tr2bl w:val="nil"/>
            </w:tcBorders>
            <w:shd w:val="clear" w:color="auto" w:fill="B6DDE8" w:themeFill="accent5" w:themeFillTint="66"/>
            <w:noWrap w:val="0"/>
            <w:vAlign w:val="center"/>
          </w:tcPr>
          <w:p w14:paraId="2F2542B2">
            <w:pPr>
              <w:keepNext w:val="0"/>
              <w:keepLines w:val="0"/>
              <w:pageBreakBefore w:val="0"/>
              <w:widowControl w:val="0"/>
              <w:kinsoku/>
              <w:wordWrap w:val="0"/>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b/>
                <w:bCs/>
                <w:color w:val="auto"/>
                <w:position w:val="-6"/>
                <w:sz w:val="24"/>
                <w:szCs w:val="24"/>
                <w:lang w:val="en-US" w:eastAsia="zh-CN"/>
              </w:rPr>
              <w:t>单位</w:t>
            </w:r>
          </w:p>
        </w:tc>
      </w:tr>
      <w:tr w14:paraId="446457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4AE46B0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2"/>
                <w:szCs w:val="22"/>
                <w:vertAlign w:val="baseli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470" w:type="dxa"/>
            <w:tcBorders>
              <w:tl2br w:val="nil"/>
              <w:tr2bl w:val="nil"/>
            </w:tcBorders>
            <w:shd w:val="clear" w:color="auto" w:fill="auto"/>
            <w:noWrap w:val="0"/>
            <w:vAlign w:val="center"/>
          </w:tcPr>
          <w:p w14:paraId="4535765C">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移动讲台</w:t>
            </w:r>
          </w:p>
        </w:tc>
        <w:tc>
          <w:tcPr>
            <w:tcW w:w="1425" w:type="dxa"/>
            <w:tcBorders>
              <w:tl2br w:val="nil"/>
              <w:tr2bl w:val="nil"/>
            </w:tcBorders>
            <w:shd w:val="clear" w:color="auto" w:fill="auto"/>
            <w:noWrap w:val="0"/>
            <w:vAlign w:val="center"/>
          </w:tcPr>
          <w:p w14:paraId="48031B6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vertAlign w:val="baseline"/>
                <w:lang w:val="en-US" w:eastAsia="zh-CN" w:bidi="ar"/>
              </w:rPr>
              <w:t>长755m×宽550mm×高735mm～1080mm</w:t>
            </w:r>
          </w:p>
        </w:tc>
        <w:tc>
          <w:tcPr>
            <w:tcW w:w="4740" w:type="dxa"/>
            <w:tcBorders>
              <w:tl2br w:val="nil"/>
              <w:tr2bl w:val="nil"/>
            </w:tcBorders>
            <w:shd w:val="clear" w:color="auto" w:fill="auto"/>
            <w:noWrap w:val="0"/>
            <w:vAlign w:val="center"/>
          </w:tcPr>
          <w:p w14:paraId="3CF9D9A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1、桌面规格：长755m×宽550mm*厚18mm，桌面材质为饰面刨花板，饰面刨花板采用E0级环保复合三聚氢胺贴面，厚度为18mm，</w:t>
            </w:r>
          </w:p>
        </w:tc>
        <w:tc>
          <w:tcPr>
            <w:tcW w:w="771" w:type="dxa"/>
            <w:tcBorders>
              <w:tl2br w:val="nil"/>
              <w:tr2bl w:val="nil"/>
            </w:tcBorders>
            <w:shd w:val="clear" w:color="auto" w:fill="auto"/>
            <w:noWrap w:val="0"/>
            <w:vAlign w:val="center"/>
          </w:tcPr>
          <w:p w14:paraId="64AC611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74931FD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套</w:t>
            </w:r>
          </w:p>
        </w:tc>
      </w:tr>
      <w:tr w14:paraId="6E4CE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16D2A6A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1470" w:type="dxa"/>
            <w:tcBorders>
              <w:tl2br w:val="nil"/>
              <w:tr2bl w:val="nil"/>
            </w:tcBorders>
            <w:shd w:val="clear" w:color="auto" w:fill="auto"/>
            <w:noWrap w:val="0"/>
            <w:vAlign w:val="center"/>
          </w:tcPr>
          <w:p w14:paraId="6A142C6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培训椅</w:t>
            </w:r>
          </w:p>
        </w:tc>
        <w:tc>
          <w:tcPr>
            <w:tcW w:w="1425" w:type="dxa"/>
            <w:tcBorders>
              <w:tl2br w:val="nil"/>
              <w:tr2bl w:val="nil"/>
            </w:tcBorders>
            <w:shd w:val="clear" w:color="auto" w:fill="auto"/>
            <w:noWrap w:val="0"/>
            <w:vAlign w:val="center"/>
          </w:tcPr>
          <w:p w14:paraId="5647ADC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vertAlign w:val="baseline"/>
                <w:lang w:val="en-US" w:eastAsia="zh-CN" w:bidi="ar"/>
              </w:rPr>
              <w:t>左右腿距长460mm*前后腿距宽465mm*高770mm</w:t>
            </w:r>
          </w:p>
        </w:tc>
        <w:tc>
          <w:tcPr>
            <w:tcW w:w="4740" w:type="dxa"/>
            <w:tcBorders>
              <w:tl2br w:val="nil"/>
              <w:tr2bl w:val="nil"/>
            </w:tcBorders>
            <w:shd w:val="clear" w:color="auto" w:fill="auto"/>
            <w:noWrap w:val="0"/>
            <w:vAlign w:val="center"/>
          </w:tcPr>
          <w:p w14:paraId="4C82784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1、靠背尺寸长375mm*宽250mm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2、椅面规格：长340mm*有效深360mm*椅面高430mm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3、材质：采用PP耐冲击进口塑料一体射出成型。添加抗紫外线塑料色粉，户外三年不褪色，不含重金属及其他有毒物质。坐垫设计符合人体工程学原理，坐感更舒适。椅面周边配置 R 圆角，不留锐角，不割手，底部有厚度不小于2mm的3条横向大加强筋和5条包裹在2条大加强筋底部的纵向小加强筋，使椅面承载力更强，有效提高椅面的韧性和坚固性。</w:t>
            </w:r>
          </w:p>
        </w:tc>
        <w:tc>
          <w:tcPr>
            <w:tcW w:w="771" w:type="dxa"/>
            <w:tcBorders>
              <w:tl2br w:val="nil"/>
              <w:tr2bl w:val="nil"/>
            </w:tcBorders>
            <w:shd w:val="clear" w:color="auto" w:fill="auto"/>
            <w:noWrap w:val="0"/>
            <w:vAlign w:val="center"/>
          </w:tcPr>
          <w:p w14:paraId="2C8D8F4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48</w:t>
            </w:r>
          </w:p>
        </w:tc>
        <w:tc>
          <w:tcPr>
            <w:tcW w:w="772" w:type="dxa"/>
            <w:tcBorders>
              <w:tl2br w:val="nil"/>
              <w:tr2bl w:val="nil"/>
            </w:tcBorders>
            <w:shd w:val="clear" w:color="auto" w:fill="auto"/>
            <w:noWrap w:val="0"/>
            <w:vAlign w:val="center"/>
          </w:tcPr>
          <w:p w14:paraId="3A5069A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把</w:t>
            </w:r>
          </w:p>
        </w:tc>
      </w:tr>
      <w:tr w14:paraId="135C21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76C460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1470" w:type="dxa"/>
            <w:tcBorders>
              <w:tl2br w:val="nil"/>
              <w:tr2bl w:val="nil"/>
            </w:tcBorders>
            <w:shd w:val="clear" w:color="auto" w:fill="auto"/>
            <w:noWrap w:val="0"/>
            <w:vAlign w:val="center"/>
          </w:tcPr>
          <w:p w14:paraId="6710AEF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功率放大器</w:t>
            </w:r>
          </w:p>
        </w:tc>
        <w:tc>
          <w:tcPr>
            <w:tcW w:w="1425" w:type="dxa"/>
            <w:tcBorders>
              <w:tl2br w:val="nil"/>
              <w:tr2bl w:val="nil"/>
            </w:tcBorders>
            <w:shd w:val="clear" w:color="auto" w:fill="auto"/>
            <w:noWrap w:val="0"/>
            <w:vAlign w:val="center"/>
          </w:tcPr>
          <w:p w14:paraId="2526FE0B">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482B5B6F">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1.支持≥2路音频输入，带切换功能;支持≥3路话筒输入功能，带独立增益调节功能;支持MIC1双接口输入，并带幻象电源功能。</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2.带SD/USB接口的MP3播放器，具有蓝牙播放功能，带数码管显示功能;带MP3录音功能。可以通过MP3随时.随地播放录音。</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3.额定输出功率≥4Ω×2：120W×2；8Ω×2：60W×2、输出阻抗≤4~8Ω;信噪比:Mic≥65dB， 音乐≥70dB;谐波失真:功放额定输出功率时的失真&lt;1%。</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4.效果器参数DELAY: ≥80ms-240ms、ECHO:1-12、REPEAT: 0.1s-2s.</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5.频率响应AUX,VCD等同或优于20HZ(±3dB)-20KHZ(±3dB);MIC等同或优于50HZ(±3dB)-16kHZ(±3dB)。保护方式:超温/短路、冷却方式:风冷式。</w:t>
            </w:r>
          </w:p>
        </w:tc>
        <w:tc>
          <w:tcPr>
            <w:tcW w:w="771" w:type="dxa"/>
            <w:tcBorders>
              <w:tl2br w:val="nil"/>
              <w:tr2bl w:val="nil"/>
            </w:tcBorders>
            <w:shd w:val="clear" w:color="auto" w:fill="auto"/>
            <w:noWrap w:val="0"/>
            <w:vAlign w:val="center"/>
          </w:tcPr>
          <w:p w14:paraId="5F03123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09F5273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台</w:t>
            </w:r>
          </w:p>
        </w:tc>
      </w:tr>
      <w:tr w14:paraId="727775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292" w:hRule="atLeast"/>
        </w:trPr>
        <w:tc>
          <w:tcPr>
            <w:tcW w:w="686" w:type="dxa"/>
            <w:tcBorders>
              <w:tl2br w:val="nil"/>
              <w:tr2bl w:val="nil"/>
            </w:tcBorders>
            <w:shd w:val="clear" w:color="auto" w:fill="auto"/>
            <w:noWrap w:val="0"/>
            <w:vAlign w:val="center"/>
          </w:tcPr>
          <w:p w14:paraId="42D8E062">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1470" w:type="dxa"/>
            <w:tcBorders>
              <w:tl2br w:val="nil"/>
              <w:tr2bl w:val="nil"/>
            </w:tcBorders>
            <w:shd w:val="clear" w:color="auto" w:fill="auto"/>
            <w:noWrap w:val="0"/>
            <w:vAlign w:val="center"/>
          </w:tcPr>
          <w:p w14:paraId="3125FB6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音箱</w:t>
            </w:r>
          </w:p>
        </w:tc>
        <w:tc>
          <w:tcPr>
            <w:tcW w:w="1425" w:type="dxa"/>
            <w:tcBorders>
              <w:tl2br w:val="nil"/>
              <w:tr2bl w:val="nil"/>
            </w:tcBorders>
            <w:shd w:val="clear" w:color="auto" w:fill="auto"/>
            <w:noWrap w:val="0"/>
            <w:vAlign w:val="center"/>
          </w:tcPr>
          <w:p w14:paraId="7479B8E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42DEFEE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1．额定功率≥60W</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2．灵敏度≥92dB</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3．阻抗：≤8Ω</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4．频响等同或优于60Hz-20KHz</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5．喇叭单元：≥6"×1    1.5"×1</w:t>
            </w:r>
          </w:p>
        </w:tc>
        <w:tc>
          <w:tcPr>
            <w:tcW w:w="771" w:type="dxa"/>
            <w:tcBorders>
              <w:tl2br w:val="nil"/>
              <w:tr2bl w:val="nil"/>
            </w:tcBorders>
            <w:shd w:val="clear" w:color="auto" w:fill="auto"/>
            <w:noWrap w:val="0"/>
            <w:vAlign w:val="center"/>
          </w:tcPr>
          <w:p w14:paraId="19387303">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340AB557">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对</w:t>
            </w:r>
          </w:p>
        </w:tc>
      </w:tr>
      <w:tr w14:paraId="0E70B4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7925F71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1470" w:type="dxa"/>
            <w:tcBorders>
              <w:tl2br w:val="nil"/>
              <w:tr2bl w:val="nil"/>
            </w:tcBorders>
            <w:shd w:val="clear" w:color="auto" w:fill="auto"/>
            <w:noWrap w:val="0"/>
            <w:vAlign w:val="center"/>
          </w:tcPr>
          <w:p w14:paraId="4D21749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无线话筒</w:t>
            </w:r>
          </w:p>
        </w:tc>
        <w:tc>
          <w:tcPr>
            <w:tcW w:w="1425" w:type="dxa"/>
            <w:tcBorders>
              <w:tl2br w:val="nil"/>
              <w:tr2bl w:val="nil"/>
            </w:tcBorders>
            <w:shd w:val="clear" w:color="auto" w:fill="auto"/>
            <w:noWrap w:val="0"/>
            <w:vAlign w:val="center"/>
          </w:tcPr>
          <w:p w14:paraId="6ECDB1D6">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3E01092E">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1.具有≥1台接收主机、≥双手持发射机；频率范围等同或优于540MHz-590MHz、640MHz-690MHz。</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2.接收机具有≥两路平衡输出、≥一路非平衡混音输出。</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3.具有自动频率扫描功能，可快速地给麦克风找到清晰的频率。</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4.支持混响调节功能，比例调节、延时调节、电平调节≥25个档位。</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5.支持麦克风均衡器调节功能，≥高、中、低音三种调节档位。</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6.接收机具有≥3.6英寸VA-LCD显示屏，用户可通过显示屏查看设备发射功率强度、音频加密状态、电池电量、频率数值、智能静音状态、静音标志。</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7.具有自动静音功能，麦克风跌落、抛掷时，毫秒级响应自动静音，避免冲击声；产品静置5秒自动静音。</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8.麦克风具有长时间静置自动关机功能，设备自动检测工作状态（使用状态、静置状态），静置时间≥8分钟后，设备自动关机。</w:t>
            </w:r>
          </w:p>
        </w:tc>
        <w:tc>
          <w:tcPr>
            <w:tcW w:w="771" w:type="dxa"/>
            <w:tcBorders>
              <w:tl2br w:val="nil"/>
              <w:tr2bl w:val="nil"/>
            </w:tcBorders>
            <w:shd w:val="clear" w:color="auto" w:fill="auto"/>
            <w:noWrap w:val="0"/>
            <w:vAlign w:val="center"/>
          </w:tcPr>
          <w:p w14:paraId="3FF2EAF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52883FA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套</w:t>
            </w:r>
          </w:p>
        </w:tc>
      </w:tr>
      <w:tr w14:paraId="73F3A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0F840FEA">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t>
            </w:r>
          </w:p>
        </w:tc>
        <w:tc>
          <w:tcPr>
            <w:tcW w:w="1470" w:type="dxa"/>
            <w:tcBorders>
              <w:tl2br w:val="nil"/>
              <w:tr2bl w:val="nil"/>
            </w:tcBorders>
            <w:shd w:val="clear" w:color="auto" w:fill="auto"/>
            <w:noWrap w:val="0"/>
            <w:vAlign w:val="center"/>
          </w:tcPr>
          <w:p w14:paraId="184FD6D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立式钢琴</w:t>
            </w:r>
          </w:p>
        </w:tc>
        <w:tc>
          <w:tcPr>
            <w:tcW w:w="1425" w:type="dxa"/>
            <w:tcBorders>
              <w:tl2br w:val="nil"/>
              <w:tr2bl w:val="nil"/>
            </w:tcBorders>
            <w:shd w:val="clear" w:color="auto" w:fill="auto"/>
            <w:noWrap w:val="0"/>
            <w:vAlign w:val="center"/>
          </w:tcPr>
          <w:p w14:paraId="1C29C7AF">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2AAF0963">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1.铁板：采用真空铸造铁板工艺，音色纯正。</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2.音板：加强型实木音板</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3.琴弦：采用防锈钢线，音色纯净，音准稳定。</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4.弦码：采用色木多层板制作，音频振动响应精确，迅速。</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5.弦椎：采用优质羊毛毡弦椎，音色圆润通畅。</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6.琴键：采用实木复合键盘，采用亚光黑键，色泽和质感如同乌木，键皮采用赛璐珞塑料，键盘表面硬度为2H以上。</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7.脚轮：采用双轮脚轮，具有转到灵活，推行顺畅，噪音低的特点。</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8.脚踏：金属铸造，踏脚负荷为3.5kg左右。</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9.外壳涂饰：采用国内名牌的不饱和树脂环保漆，并应用静电喷涂，令漆面光亮平整。</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10.背柱：采用五背柱设计，保证了弦列振动的边界条件而且相应提高了钢琴总装配精度。</w:t>
            </w:r>
          </w:p>
        </w:tc>
        <w:tc>
          <w:tcPr>
            <w:tcW w:w="771" w:type="dxa"/>
            <w:tcBorders>
              <w:tl2br w:val="nil"/>
              <w:tr2bl w:val="nil"/>
            </w:tcBorders>
            <w:shd w:val="clear" w:color="auto" w:fill="auto"/>
            <w:noWrap w:val="0"/>
            <w:vAlign w:val="center"/>
          </w:tcPr>
          <w:p w14:paraId="0840A774">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6848D0B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台</w:t>
            </w:r>
          </w:p>
        </w:tc>
      </w:tr>
      <w:tr w14:paraId="0A59F6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2418B8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w:t>
            </w:r>
          </w:p>
        </w:tc>
        <w:tc>
          <w:tcPr>
            <w:tcW w:w="1470" w:type="dxa"/>
            <w:tcBorders>
              <w:tl2br w:val="nil"/>
              <w:tr2bl w:val="nil"/>
            </w:tcBorders>
            <w:shd w:val="clear" w:color="auto" w:fill="auto"/>
            <w:noWrap w:val="0"/>
            <w:vAlign w:val="center"/>
          </w:tcPr>
          <w:p w14:paraId="6145C16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琴凳</w:t>
            </w:r>
          </w:p>
        </w:tc>
        <w:tc>
          <w:tcPr>
            <w:tcW w:w="1425" w:type="dxa"/>
            <w:tcBorders>
              <w:tl2br w:val="nil"/>
              <w:tr2bl w:val="nil"/>
            </w:tcBorders>
            <w:shd w:val="clear" w:color="auto" w:fill="auto"/>
            <w:noWrap w:val="0"/>
            <w:vAlign w:val="center"/>
          </w:tcPr>
          <w:p w14:paraId="6A5F19D8">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5B103495">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1、优质琴凳，铁、优质皮革、高密度海绵。</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2、板面：290*450mm 高度490mm。</w:t>
            </w:r>
            <w:r>
              <w:rPr>
                <w:rFonts w:hint="eastAsia" w:ascii="仿宋" w:hAnsi="仿宋" w:eastAsia="仿宋" w:cs="仿宋"/>
                <w:color w:val="auto"/>
                <w:kern w:val="0"/>
                <w:sz w:val="20"/>
                <w:szCs w:val="20"/>
                <w:vertAlign w:val="baseline"/>
                <w:lang w:val="en-US" w:eastAsia="zh-CN" w:bidi="ar"/>
              </w:rPr>
              <w:br w:type="textWrapping"/>
            </w:r>
            <w:r>
              <w:rPr>
                <w:rFonts w:hint="eastAsia" w:ascii="仿宋" w:hAnsi="仿宋" w:eastAsia="仿宋" w:cs="仿宋"/>
                <w:color w:val="auto"/>
                <w:kern w:val="0"/>
                <w:sz w:val="20"/>
                <w:szCs w:val="20"/>
                <w:vertAlign w:val="baseline"/>
                <w:lang w:val="en-US" w:eastAsia="zh-CN" w:bidi="ar"/>
              </w:rPr>
              <w:t>3、表面处理工艺：静电喷粉。</w:t>
            </w:r>
          </w:p>
        </w:tc>
        <w:tc>
          <w:tcPr>
            <w:tcW w:w="771" w:type="dxa"/>
            <w:tcBorders>
              <w:tl2br w:val="nil"/>
              <w:tr2bl w:val="nil"/>
            </w:tcBorders>
            <w:shd w:val="clear" w:color="auto" w:fill="auto"/>
            <w:noWrap w:val="0"/>
            <w:vAlign w:val="center"/>
          </w:tcPr>
          <w:p w14:paraId="078C068D">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2</w:t>
            </w:r>
          </w:p>
        </w:tc>
        <w:tc>
          <w:tcPr>
            <w:tcW w:w="772" w:type="dxa"/>
            <w:tcBorders>
              <w:tl2br w:val="nil"/>
              <w:tr2bl w:val="nil"/>
            </w:tcBorders>
            <w:shd w:val="clear" w:color="auto" w:fill="auto"/>
            <w:noWrap w:val="0"/>
            <w:vAlign w:val="center"/>
          </w:tcPr>
          <w:p w14:paraId="4B56ED6E">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张</w:t>
            </w:r>
          </w:p>
        </w:tc>
      </w:tr>
      <w:tr w14:paraId="1BC611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25" w:hRule="atLeast"/>
        </w:trPr>
        <w:tc>
          <w:tcPr>
            <w:tcW w:w="686" w:type="dxa"/>
            <w:tcBorders>
              <w:tl2br w:val="nil"/>
              <w:tr2bl w:val="nil"/>
            </w:tcBorders>
            <w:shd w:val="clear" w:color="auto" w:fill="auto"/>
            <w:noWrap w:val="0"/>
            <w:vAlign w:val="center"/>
          </w:tcPr>
          <w:p w14:paraId="6352B0B9">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1470" w:type="dxa"/>
            <w:tcBorders>
              <w:tl2br w:val="nil"/>
              <w:tr2bl w:val="nil"/>
            </w:tcBorders>
            <w:shd w:val="clear" w:color="auto" w:fill="auto"/>
            <w:noWrap w:val="0"/>
            <w:vAlign w:val="center"/>
          </w:tcPr>
          <w:p w14:paraId="70BCBD31">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文化布置</w:t>
            </w:r>
          </w:p>
        </w:tc>
        <w:tc>
          <w:tcPr>
            <w:tcW w:w="1425" w:type="dxa"/>
            <w:tcBorders>
              <w:tl2br w:val="nil"/>
              <w:tr2bl w:val="nil"/>
            </w:tcBorders>
            <w:shd w:val="clear" w:color="auto" w:fill="auto"/>
            <w:noWrap w:val="0"/>
            <w:vAlign w:val="center"/>
          </w:tcPr>
          <w:p w14:paraId="3411887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4740" w:type="dxa"/>
            <w:tcBorders>
              <w:tl2br w:val="nil"/>
              <w:tr2bl w:val="nil"/>
            </w:tcBorders>
            <w:shd w:val="clear" w:color="auto" w:fill="auto"/>
            <w:noWrap w:val="0"/>
            <w:vAlign w:val="center"/>
          </w:tcPr>
          <w:p w14:paraId="0350D7EA">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color w:val="auto"/>
                <w:kern w:val="0"/>
                <w:sz w:val="20"/>
                <w:szCs w:val="20"/>
                <w:vertAlign w:val="baseline"/>
                <w:lang w:val="zh-CN" w:eastAsia="zh-CN" w:bidi="ar"/>
              </w:rPr>
            </w:pPr>
            <w:r>
              <w:rPr>
                <w:rFonts w:hint="eastAsia" w:ascii="仿宋" w:hAnsi="仿宋" w:eastAsia="仿宋" w:cs="仿宋"/>
                <w:color w:val="auto"/>
                <w:kern w:val="0"/>
                <w:sz w:val="20"/>
                <w:szCs w:val="20"/>
                <w:vertAlign w:val="baseline"/>
                <w:lang w:val="en-US" w:eastAsia="zh-CN" w:bidi="ar"/>
              </w:rPr>
              <w:t>文化布置，设计方案经采购人确认后实施</w:t>
            </w:r>
          </w:p>
        </w:tc>
        <w:tc>
          <w:tcPr>
            <w:tcW w:w="771" w:type="dxa"/>
            <w:tcBorders>
              <w:tl2br w:val="nil"/>
              <w:tr2bl w:val="nil"/>
            </w:tcBorders>
            <w:shd w:val="clear" w:color="auto" w:fill="auto"/>
            <w:noWrap w:val="0"/>
            <w:vAlign w:val="center"/>
          </w:tcPr>
          <w:p w14:paraId="61143230">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default"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1</w:t>
            </w:r>
          </w:p>
        </w:tc>
        <w:tc>
          <w:tcPr>
            <w:tcW w:w="772" w:type="dxa"/>
            <w:tcBorders>
              <w:tl2br w:val="nil"/>
              <w:tr2bl w:val="nil"/>
            </w:tcBorders>
            <w:shd w:val="clear" w:color="auto" w:fill="auto"/>
            <w:noWrap w:val="0"/>
            <w:vAlign w:val="center"/>
          </w:tcPr>
          <w:p w14:paraId="22092915">
            <w:pPr>
              <w:keepNext w:val="0"/>
              <w:keepLines w:val="0"/>
              <w:pageBreakBefore w:val="0"/>
              <w:widowControl/>
              <w:suppressLineNumbers w:val="0"/>
              <w:kinsoku/>
              <w:wordWrap w:val="0"/>
              <w:overflowPunct/>
              <w:topLinePunct w:val="0"/>
              <w:autoSpaceDE w:val="0"/>
              <w:autoSpaceDN w:val="0"/>
              <w:bidi w:val="0"/>
              <w:adjustRightInd/>
              <w:snapToGrid/>
              <w:jc w:val="center"/>
              <w:textAlignment w:val="center"/>
              <w:rPr>
                <w:rFonts w:hint="eastAsia" w:ascii="仿宋" w:hAnsi="仿宋" w:eastAsia="仿宋" w:cs="仿宋"/>
                <w:color w:val="auto"/>
                <w:kern w:val="0"/>
                <w:sz w:val="20"/>
                <w:szCs w:val="20"/>
                <w:vertAlign w:val="baseline"/>
                <w:lang w:val="en-US" w:eastAsia="zh-CN" w:bidi="ar"/>
              </w:rPr>
            </w:pPr>
            <w:r>
              <w:rPr>
                <w:rFonts w:hint="eastAsia" w:ascii="仿宋" w:hAnsi="仿宋" w:eastAsia="仿宋" w:cs="仿宋"/>
                <w:color w:val="auto"/>
                <w:kern w:val="0"/>
                <w:sz w:val="20"/>
                <w:szCs w:val="20"/>
                <w:vertAlign w:val="baseline"/>
                <w:lang w:val="en-US" w:eastAsia="zh-CN" w:bidi="ar"/>
              </w:rPr>
              <w:t>批</w:t>
            </w:r>
          </w:p>
        </w:tc>
      </w:tr>
    </w:tbl>
    <w:p w14:paraId="187F52E9">
      <w:pPr>
        <w:pStyle w:val="36"/>
        <w:keepNext w:val="0"/>
        <w:keepLines w:val="0"/>
        <w:pageBreakBefore w:val="0"/>
        <w:widowControl w:val="0"/>
        <w:tabs>
          <w:tab w:val="left" w:pos="1679"/>
        </w:tabs>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仿宋" w:hAnsi="仿宋" w:eastAsia="仿宋" w:cs="仿宋"/>
          <w:b/>
          <w:bCs/>
          <w:color w:val="auto"/>
          <w:sz w:val="28"/>
          <w:szCs w:val="28"/>
          <w:lang w:val="en-US" w:eastAsia="zh-CN" w:bidi="zh-CN"/>
        </w:rPr>
      </w:pPr>
      <w:r>
        <w:rPr>
          <w:rFonts w:hint="eastAsia" w:ascii="仿宋" w:hAnsi="仿宋" w:eastAsia="仿宋" w:cs="仿宋"/>
          <w:b/>
          <w:bCs/>
          <w:color w:val="auto"/>
          <w:sz w:val="28"/>
          <w:szCs w:val="28"/>
          <w:lang w:val="en-US" w:eastAsia="zh-CN" w:bidi="zh-CN"/>
        </w:rPr>
        <w:t>三、商务要求</w:t>
      </w:r>
      <w:bookmarkEnd w:id="193"/>
      <w:bookmarkEnd w:id="194"/>
      <w:bookmarkEnd w:id="195"/>
    </w:p>
    <w:tbl>
      <w:tblPr>
        <w:tblStyle w:val="26"/>
        <w:tblW w:w="985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2022"/>
        <w:gridCol w:w="7830"/>
      </w:tblGrid>
      <w:tr w14:paraId="2964F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2022" w:type="dxa"/>
            <w:tcBorders>
              <w:tl2br w:val="nil"/>
              <w:tr2bl w:val="nil"/>
            </w:tcBorders>
            <w:shd w:val="clear" w:color="auto" w:fill="B6DDE8" w:themeFill="accent5" w:themeFillTint="66"/>
            <w:vAlign w:val="center"/>
          </w:tcPr>
          <w:p w14:paraId="023E788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sz w:val="24"/>
              </w:rPr>
            </w:pPr>
            <w:r>
              <w:rPr>
                <w:rFonts w:hint="eastAsia" w:ascii="仿宋" w:hAnsi="仿宋" w:eastAsia="仿宋" w:cs="仿宋"/>
                <w:b/>
                <w:bCs/>
                <w:color w:val="auto"/>
                <w:sz w:val="24"/>
              </w:rPr>
              <w:t>项目</w:t>
            </w:r>
          </w:p>
        </w:tc>
        <w:tc>
          <w:tcPr>
            <w:tcW w:w="7830" w:type="dxa"/>
            <w:tcBorders>
              <w:tl2br w:val="nil"/>
              <w:tr2bl w:val="nil"/>
            </w:tcBorders>
            <w:shd w:val="clear" w:color="auto" w:fill="B6DDE8" w:themeFill="accent5" w:themeFillTint="66"/>
            <w:vAlign w:val="center"/>
          </w:tcPr>
          <w:p w14:paraId="2D6BCD9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sz w:val="24"/>
              </w:rPr>
            </w:pPr>
            <w:r>
              <w:rPr>
                <w:rFonts w:hint="eastAsia" w:ascii="仿宋" w:hAnsi="仿宋" w:eastAsia="仿宋" w:cs="仿宋"/>
                <w:b/>
                <w:bCs/>
                <w:color w:val="auto"/>
                <w:sz w:val="24"/>
              </w:rPr>
              <w:t>要求</w:t>
            </w:r>
          </w:p>
        </w:tc>
      </w:tr>
      <w:tr w14:paraId="3CB757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2022" w:type="dxa"/>
            <w:tcBorders>
              <w:tl2br w:val="nil"/>
              <w:tr2bl w:val="nil"/>
            </w:tcBorders>
            <w:vAlign w:val="center"/>
          </w:tcPr>
          <w:p w14:paraId="2FD2406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质保期</w:t>
            </w:r>
          </w:p>
        </w:tc>
        <w:tc>
          <w:tcPr>
            <w:tcW w:w="7830" w:type="dxa"/>
            <w:tcBorders>
              <w:tl2br w:val="nil"/>
              <w:tr2bl w:val="nil"/>
            </w:tcBorders>
            <w:vAlign w:val="center"/>
          </w:tcPr>
          <w:p w14:paraId="72377113">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售后</w:t>
            </w:r>
            <w:r>
              <w:rPr>
                <w:rFonts w:hint="eastAsia" w:ascii="仿宋" w:hAnsi="仿宋" w:eastAsia="仿宋" w:cs="仿宋"/>
                <w:b w:val="0"/>
                <w:bCs w:val="0"/>
                <w:color w:val="auto"/>
                <w:sz w:val="24"/>
                <w:highlight w:val="none"/>
              </w:rPr>
              <w:t>服务参照国家相关标准执行:</w:t>
            </w:r>
            <w:r>
              <w:rPr>
                <w:rFonts w:hint="eastAsia" w:ascii="仿宋" w:hAnsi="仿宋" w:eastAsia="仿宋" w:cs="仿宋"/>
                <w:b w:val="0"/>
                <w:bCs w:val="0"/>
                <w:color w:val="auto"/>
                <w:sz w:val="24"/>
                <w:highlight w:val="none"/>
                <w:lang w:val="en-US" w:eastAsia="zh-CN"/>
              </w:rPr>
              <w:t>本项目所有产品质保期以履约验收通过之日起计三年</w:t>
            </w:r>
            <w:r>
              <w:rPr>
                <w:rFonts w:hint="eastAsia" w:ascii="仿宋" w:hAnsi="仿宋" w:eastAsia="仿宋" w:cs="仿宋"/>
                <w:b w:val="0"/>
                <w:bCs w:val="0"/>
                <w:color w:val="auto"/>
                <w:sz w:val="24"/>
                <w:highlight w:val="none"/>
              </w:rPr>
              <w:t>。人为原因造成的产品故障、损害及因此引发的售后服务问题不在质保范围之内。质保期外，</w:t>
            </w:r>
            <w:r>
              <w:rPr>
                <w:rFonts w:hint="eastAsia" w:ascii="仿宋" w:hAnsi="仿宋" w:eastAsia="仿宋" w:cs="仿宋"/>
                <w:b w:val="0"/>
                <w:bCs w:val="0"/>
                <w:color w:val="auto"/>
                <w:sz w:val="24"/>
                <w:highlight w:val="none"/>
                <w:lang w:val="en-US" w:eastAsia="zh-CN"/>
              </w:rPr>
              <w:t>中标人</w:t>
            </w:r>
            <w:r>
              <w:rPr>
                <w:rFonts w:hint="eastAsia" w:ascii="仿宋" w:hAnsi="仿宋" w:eastAsia="仿宋" w:cs="仿宋"/>
                <w:b w:val="0"/>
                <w:bCs w:val="0"/>
                <w:color w:val="auto"/>
                <w:sz w:val="24"/>
                <w:highlight w:val="none"/>
              </w:rPr>
              <w:t>只承担免费维修费，维修需替换的部件费，另按实结算。</w:t>
            </w:r>
          </w:p>
        </w:tc>
      </w:tr>
      <w:tr w14:paraId="578C8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2022" w:type="dxa"/>
            <w:tcBorders>
              <w:tl2br w:val="nil"/>
              <w:tr2bl w:val="nil"/>
            </w:tcBorders>
            <w:vAlign w:val="center"/>
          </w:tcPr>
          <w:p w14:paraId="4DC2C57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售后服务要求</w:t>
            </w:r>
          </w:p>
        </w:tc>
        <w:tc>
          <w:tcPr>
            <w:tcW w:w="7830" w:type="dxa"/>
            <w:tcBorders>
              <w:tl2br w:val="nil"/>
              <w:tr2bl w:val="nil"/>
            </w:tcBorders>
            <w:vAlign w:val="center"/>
          </w:tcPr>
          <w:p w14:paraId="671CF219">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所有</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提供不少于</w:t>
            </w:r>
            <w:r>
              <w:rPr>
                <w:rFonts w:hint="eastAsia" w:ascii="仿宋" w:hAnsi="仿宋" w:eastAsia="仿宋" w:cs="仿宋"/>
                <w:b w:val="0"/>
                <w:bCs w:val="0"/>
                <w:color w:val="auto"/>
                <w:sz w:val="24"/>
                <w:highlight w:val="none"/>
                <w:lang w:val="en-US" w:eastAsia="zh-CN"/>
              </w:rPr>
              <w:t>三</w:t>
            </w:r>
            <w:r>
              <w:rPr>
                <w:rFonts w:hint="eastAsia" w:ascii="仿宋" w:hAnsi="仿宋" w:eastAsia="仿宋" w:cs="仿宋"/>
                <w:color w:val="auto"/>
                <w:sz w:val="24"/>
                <w:highlight w:val="none"/>
              </w:rPr>
              <w:t>年5*8小时售后现场技术服务。提供7*24小时远程技术指导。接采购人维修通知后30分钟内响应，4小时内到场维修，24小时内解决；特殊情况若超24小时无法解决的应提供备</w:t>
            </w:r>
            <w:r>
              <w:rPr>
                <w:rFonts w:hint="eastAsia" w:ascii="仿宋" w:hAnsi="仿宋" w:eastAsia="仿宋" w:cs="仿宋"/>
                <w:color w:val="auto"/>
                <w:sz w:val="24"/>
                <w:highlight w:val="none"/>
                <w:lang w:val="en-US" w:eastAsia="zh-CN"/>
              </w:rPr>
              <w:t>品</w:t>
            </w:r>
            <w:r>
              <w:rPr>
                <w:rFonts w:hint="eastAsia" w:ascii="仿宋" w:hAnsi="仿宋" w:eastAsia="仿宋" w:cs="仿宋"/>
                <w:color w:val="auto"/>
                <w:sz w:val="24"/>
                <w:highlight w:val="none"/>
              </w:rPr>
              <w:t>，以保障教学任务正常推进。</w:t>
            </w:r>
          </w:p>
        </w:tc>
      </w:tr>
      <w:tr w14:paraId="7BE0BE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2022" w:type="dxa"/>
            <w:tcBorders>
              <w:tl2br w:val="nil"/>
              <w:tr2bl w:val="nil"/>
            </w:tcBorders>
            <w:vAlign w:val="center"/>
          </w:tcPr>
          <w:p w14:paraId="11BE7B9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质量标准</w:t>
            </w:r>
          </w:p>
        </w:tc>
        <w:tc>
          <w:tcPr>
            <w:tcW w:w="7830" w:type="dxa"/>
            <w:tcBorders>
              <w:tl2br w:val="nil"/>
              <w:tr2bl w:val="nil"/>
            </w:tcBorders>
            <w:vAlign w:val="center"/>
          </w:tcPr>
          <w:p w14:paraId="1C072B7C">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所投产品需为原厂全新产品，符合国家技术规格和质量标准的出厂合格产品</w:t>
            </w:r>
            <w:r>
              <w:rPr>
                <w:rFonts w:hint="eastAsia" w:ascii="仿宋" w:hAnsi="仿宋" w:eastAsia="仿宋" w:cs="仿宋"/>
                <w:color w:val="auto"/>
                <w:sz w:val="24"/>
                <w:szCs w:val="28"/>
              </w:rPr>
              <w:t>，通过国家有关部门检测合格的原产地产品</w:t>
            </w:r>
            <w:r>
              <w:rPr>
                <w:rFonts w:hint="eastAsia" w:ascii="仿宋" w:hAnsi="仿宋" w:eastAsia="仿宋" w:cs="仿宋"/>
                <w:color w:val="auto"/>
                <w:sz w:val="24"/>
              </w:rPr>
              <w:t>，未曾开箱使用；设备安装调试完毕后，能在其功能范围内保障用户的系统安全、稳定运行。如发生所供的货物与合同不符，采购人有权拒收或退货，由此产生的一切责任和后果由</w:t>
            </w:r>
            <w:r>
              <w:rPr>
                <w:rFonts w:hint="eastAsia" w:ascii="仿宋" w:hAnsi="仿宋" w:eastAsia="仿宋" w:cs="仿宋"/>
                <w:color w:val="auto"/>
                <w:sz w:val="24"/>
                <w:lang w:val="en-US" w:eastAsia="zh-CN"/>
              </w:rPr>
              <w:t>中标人</w:t>
            </w:r>
            <w:r>
              <w:rPr>
                <w:rFonts w:hint="eastAsia" w:ascii="仿宋" w:hAnsi="仿宋" w:eastAsia="仿宋" w:cs="仿宋"/>
                <w:color w:val="auto"/>
                <w:sz w:val="24"/>
              </w:rPr>
              <w:t>承担，在所供货物交付时，</w:t>
            </w:r>
            <w:r>
              <w:rPr>
                <w:rFonts w:hint="eastAsia" w:ascii="仿宋" w:hAnsi="仿宋" w:eastAsia="仿宋" w:cs="仿宋"/>
                <w:color w:val="auto"/>
                <w:sz w:val="24"/>
                <w:lang w:val="en-US" w:eastAsia="zh-CN"/>
              </w:rPr>
              <w:t>中标人</w:t>
            </w:r>
            <w:r>
              <w:rPr>
                <w:rFonts w:hint="eastAsia" w:ascii="仿宋" w:hAnsi="仿宋" w:eastAsia="仿宋" w:cs="仿宋"/>
                <w:color w:val="auto"/>
                <w:sz w:val="24"/>
              </w:rPr>
              <w:t>必须向采购人提供说明书、质量保证书、保修卡等必须具备的相关资料和必备附件。</w:t>
            </w:r>
          </w:p>
        </w:tc>
      </w:tr>
      <w:tr w14:paraId="05E208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2022" w:type="dxa"/>
            <w:tcBorders>
              <w:tl2br w:val="nil"/>
              <w:tr2bl w:val="nil"/>
            </w:tcBorders>
            <w:vAlign w:val="center"/>
          </w:tcPr>
          <w:p w14:paraId="2687384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交货时间</w:t>
            </w:r>
            <w:r>
              <w:rPr>
                <w:rFonts w:hint="eastAsia" w:ascii="仿宋" w:hAnsi="仿宋" w:eastAsia="仿宋" w:cs="仿宋"/>
                <w:color w:val="auto"/>
                <w:sz w:val="24"/>
                <w:lang w:eastAsia="zh-CN"/>
              </w:rPr>
              <w:t>、</w:t>
            </w:r>
            <w:r>
              <w:rPr>
                <w:rFonts w:hint="eastAsia" w:ascii="仿宋" w:hAnsi="仿宋" w:eastAsia="仿宋" w:cs="仿宋"/>
                <w:color w:val="auto"/>
                <w:sz w:val="24"/>
              </w:rPr>
              <w:t>交货地点</w:t>
            </w:r>
            <w:r>
              <w:rPr>
                <w:rFonts w:hint="eastAsia" w:ascii="仿宋" w:hAnsi="仿宋" w:eastAsia="仿宋" w:cs="仿宋"/>
                <w:color w:val="auto"/>
                <w:sz w:val="24"/>
                <w:lang w:val="en-US" w:eastAsia="zh-CN"/>
              </w:rPr>
              <w:t>及违约责任</w:t>
            </w:r>
          </w:p>
        </w:tc>
        <w:tc>
          <w:tcPr>
            <w:tcW w:w="7830" w:type="dxa"/>
            <w:tcBorders>
              <w:tl2br w:val="nil"/>
              <w:tr2bl w:val="nil"/>
            </w:tcBorders>
            <w:vAlign w:val="center"/>
          </w:tcPr>
          <w:p w14:paraId="0C8FACF7">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color w:val="auto"/>
                <w:sz w:val="24"/>
              </w:rPr>
              <w:t>交货时间：</w:t>
            </w:r>
            <w:r>
              <w:rPr>
                <w:rFonts w:hint="eastAsia" w:ascii="仿宋" w:hAnsi="仿宋" w:eastAsia="仿宋" w:cs="仿宋"/>
                <w:b w:val="0"/>
                <w:bCs w:val="0"/>
                <w:color w:val="auto"/>
                <w:sz w:val="24"/>
              </w:rPr>
              <w:t>中标人应在合同签订</w:t>
            </w:r>
            <w:r>
              <w:rPr>
                <w:rFonts w:hint="eastAsia" w:ascii="仿宋" w:hAnsi="仿宋" w:eastAsia="仿宋" w:cs="仿宋"/>
                <w:b w:val="0"/>
                <w:bCs w:val="0"/>
                <w:color w:val="auto"/>
                <w:sz w:val="24"/>
                <w:highlight w:val="none"/>
              </w:rPr>
              <w:t>后</w:t>
            </w:r>
            <w:r>
              <w:rPr>
                <w:rFonts w:hint="eastAsia" w:ascii="仿宋" w:hAnsi="仿宋" w:eastAsia="仿宋" w:cs="仿宋"/>
                <w:b w:val="0"/>
                <w:bCs w:val="0"/>
                <w:color w:val="auto"/>
                <w:sz w:val="24"/>
                <w:highlight w:val="none"/>
                <w:lang w:val="en-US" w:eastAsia="zh-CN"/>
              </w:rPr>
              <w:t>50日历天</w:t>
            </w:r>
            <w:r>
              <w:rPr>
                <w:rFonts w:hint="eastAsia" w:ascii="仿宋" w:hAnsi="仿宋" w:eastAsia="仿宋" w:cs="仿宋"/>
                <w:b w:val="0"/>
                <w:bCs w:val="0"/>
                <w:color w:val="auto"/>
                <w:sz w:val="24"/>
                <w:highlight w:val="none"/>
              </w:rPr>
              <w:t>内供货、安装、调试</w:t>
            </w:r>
            <w:r>
              <w:rPr>
                <w:rFonts w:hint="eastAsia" w:ascii="仿宋" w:hAnsi="仿宋" w:eastAsia="仿宋" w:cs="仿宋"/>
                <w:b w:val="0"/>
                <w:bCs w:val="0"/>
                <w:color w:val="auto"/>
                <w:sz w:val="24"/>
                <w:highlight w:val="none"/>
                <w:lang w:val="en-US" w:eastAsia="zh-CN"/>
              </w:rPr>
              <w:t>完毕</w:t>
            </w:r>
            <w:r>
              <w:rPr>
                <w:rFonts w:hint="eastAsia" w:ascii="仿宋" w:hAnsi="仿宋" w:eastAsia="仿宋" w:cs="仿宋"/>
                <w:b w:val="0"/>
                <w:bCs w:val="0"/>
                <w:color w:val="auto"/>
                <w:sz w:val="24"/>
                <w:highlight w:val="none"/>
              </w:rPr>
              <w:t>。</w:t>
            </w:r>
          </w:p>
          <w:p w14:paraId="345F2EED">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交货地点：</w:t>
            </w:r>
            <w:r>
              <w:rPr>
                <w:rFonts w:hint="eastAsia" w:ascii="仿宋" w:hAnsi="仿宋" w:eastAsia="仿宋" w:cs="仿宋"/>
                <w:b w:val="0"/>
                <w:bCs w:val="0"/>
                <w:color w:val="000000" w:themeColor="text1"/>
                <w:sz w:val="24"/>
                <w:highlight w:val="none"/>
                <w:lang w:eastAsia="zh-CN"/>
                <w14:textFill>
                  <w14:solidFill>
                    <w14:schemeClr w14:val="tx1"/>
                  </w14:solidFill>
                </w14:textFill>
              </w:rPr>
              <w:t>龙港市世纪中学。</w:t>
            </w:r>
          </w:p>
          <w:p w14:paraId="2F7A5B4D">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违约责任：延期交货违约责任按每延期一天罚款1万元处</w:t>
            </w:r>
            <w:r>
              <w:rPr>
                <w:rFonts w:hint="eastAsia" w:ascii="仿宋" w:hAnsi="仿宋" w:eastAsia="仿宋" w:cs="仿宋"/>
                <w:color w:val="auto"/>
                <w:sz w:val="24"/>
                <w:lang w:val="en-US" w:eastAsia="zh-CN"/>
              </w:rPr>
              <w:t>理，如果超出合同规定期限10天不能供货，则采购人可以终止合同，并收取中标人合同总价相应的违约金，中标人退还预付款。</w:t>
            </w:r>
          </w:p>
        </w:tc>
      </w:tr>
      <w:tr w14:paraId="43CCAC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2022" w:type="dxa"/>
            <w:tcBorders>
              <w:tl2br w:val="nil"/>
              <w:tr2bl w:val="nil"/>
            </w:tcBorders>
            <w:vAlign w:val="center"/>
          </w:tcPr>
          <w:p w14:paraId="0C541D0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付款方式</w:t>
            </w:r>
          </w:p>
        </w:tc>
        <w:tc>
          <w:tcPr>
            <w:tcW w:w="7830" w:type="dxa"/>
            <w:tcBorders>
              <w:tl2br w:val="nil"/>
              <w:tr2bl w:val="nil"/>
            </w:tcBorders>
            <w:vAlign w:val="center"/>
          </w:tcPr>
          <w:p w14:paraId="726DBD88">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（1）合同生效并具备实施条件后7个工作日内，采购人向中标人支付合同额的40%作为预付款；（若在签订合同时，中标人明确表示无需预付款的，采购人可不予支付预付款。预付款支付约定以合同中约定为准。）</w:t>
            </w:r>
          </w:p>
          <w:p w14:paraId="54C08E4D">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（2）所有货物安装、调试及合理摆放位置，且系统设备试运行不少于30天，试运行结束后，中标人提供完整验收资料且经采购人组织履约验收通过后支付至合同价的100%。</w:t>
            </w:r>
          </w:p>
          <w:p w14:paraId="6262CEDA">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default" w:ascii="仿宋" w:hAnsi="仿宋" w:eastAsia="仿宋" w:cs="仿宋"/>
                <w:color w:val="auto"/>
                <w:lang w:val="en-US" w:eastAsia="zh-CN"/>
              </w:rPr>
            </w:pPr>
            <w:r>
              <w:rPr>
                <w:rFonts w:hint="eastAsia" w:ascii="仿宋" w:hAnsi="仿宋" w:eastAsia="仿宋" w:cs="仿宋"/>
                <w:b w:val="0"/>
                <w:bCs w:val="0"/>
                <w:color w:val="auto"/>
                <w:sz w:val="24"/>
                <w:lang w:val="en-US" w:eastAsia="zh-CN"/>
              </w:rPr>
              <w:t>备注：①采购人有权根据实际需求情况对部分产品的数量进行调整，货款结算时以实际数量为准，结算单价以中标人所报单价为准，结算总价不超过中标总价。②款项支付前中标人须提供等额正式发票，采购人自收到发票之日起7个工作日内向</w:t>
            </w:r>
            <w:r>
              <w:rPr>
                <w:rFonts w:hint="eastAsia" w:ascii="仿宋" w:hAnsi="仿宋" w:eastAsia="仿宋" w:cs="仿宋"/>
                <w:b w:val="0"/>
                <w:bCs/>
                <w:color w:val="auto"/>
                <w:sz w:val="24"/>
                <w:szCs w:val="24"/>
              </w:rPr>
              <w:t>中标人</w:t>
            </w:r>
            <w:r>
              <w:rPr>
                <w:rFonts w:hint="eastAsia" w:ascii="仿宋" w:hAnsi="仿宋" w:eastAsia="仿宋" w:cs="仿宋"/>
                <w:b w:val="0"/>
                <w:bCs w:val="0"/>
                <w:color w:val="auto"/>
                <w:sz w:val="24"/>
                <w:lang w:val="en-US" w:eastAsia="zh-CN"/>
              </w:rPr>
              <w:t>支付资金。</w:t>
            </w:r>
          </w:p>
        </w:tc>
      </w:tr>
      <w:tr w14:paraId="34BF2E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2022" w:type="dxa"/>
            <w:tcBorders>
              <w:tl2br w:val="nil"/>
              <w:tr2bl w:val="nil"/>
            </w:tcBorders>
            <w:vAlign w:val="center"/>
          </w:tcPr>
          <w:p w14:paraId="7B39980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预付款担保</w:t>
            </w:r>
          </w:p>
        </w:tc>
        <w:tc>
          <w:tcPr>
            <w:tcW w:w="7830" w:type="dxa"/>
            <w:tcBorders>
              <w:tl2br w:val="nil"/>
              <w:tr2bl w:val="nil"/>
            </w:tcBorders>
            <w:vAlign w:val="center"/>
          </w:tcPr>
          <w:p w14:paraId="1938BD54">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预付款担保金额：同预付款相等金额；</w:t>
            </w:r>
          </w:p>
          <w:p w14:paraId="24566859">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预付款担保形式：银行出具的保函或保险公司出具的保单；</w:t>
            </w:r>
          </w:p>
          <w:p w14:paraId="1B658708">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预付款担保提交时间：合同签订，项目具备实施条件后7个工作日内；</w:t>
            </w:r>
          </w:p>
          <w:p w14:paraId="4218E311">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预付款担保期限：自采购人支付预付款之日起至</w:t>
            </w:r>
            <w:r>
              <w:rPr>
                <w:rFonts w:hint="eastAsia" w:ascii="仿宋" w:hAnsi="仿宋" w:eastAsia="仿宋" w:cs="仿宋"/>
                <w:color w:val="000000" w:themeColor="text1"/>
                <w:sz w:val="24"/>
                <w:lang w:val="en-US" w:eastAsia="zh-CN"/>
                <w14:textFill>
                  <w14:solidFill>
                    <w14:schemeClr w14:val="tx1"/>
                  </w14:solidFill>
                </w14:textFill>
              </w:rPr>
              <w:t>项目履约验收完毕</w:t>
            </w:r>
            <w:r>
              <w:rPr>
                <w:rFonts w:hint="eastAsia" w:ascii="仿宋" w:hAnsi="仿宋" w:eastAsia="仿宋" w:cs="仿宋"/>
                <w:color w:val="000000" w:themeColor="text1"/>
                <w:sz w:val="24"/>
                <w14:textFill>
                  <w14:solidFill>
                    <w14:schemeClr w14:val="tx1"/>
                  </w14:solidFill>
                </w14:textFill>
              </w:rPr>
              <w:t>止；</w:t>
            </w:r>
          </w:p>
          <w:p w14:paraId="154F8495">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预付款担保的退还：</w:t>
            </w:r>
            <w:r>
              <w:rPr>
                <w:rFonts w:hint="eastAsia" w:ascii="仿宋" w:hAnsi="仿宋" w:eastAsia="仿宋" w:cs="仿宋"/>
                <w:color w:val="000000" w:themeColor="text1"/>
                <w:sz w:val="24"/>
                <w:lang w:val="en-US" w:eastAsia="zh-CN"/>
                <w14:textFill>
                  <w14:solidFill>
                    <w14:schemeClr w14:val="tx1"/>
                  </w14:solidFill>
                </w14:textFill>
              </w:rPr>
              <w:t>项目履约验收完毕</w:t>
            </w:r>
            <w:r>
              <w:rPr>
                <w:rFonts w:hint="eastAsia" w:ascii="仿宋" w:hAnsi="仿宋" w:eastAsia="仿宋" w:cs="仿宋"/>
                <w:color w:val="000000" w:themeColor="text1"/>
                <w:sz w:val="24"/>
                <w14:textFill>
                  <w14:solidFill>
                    <w14:schemeClr w14:val="tx1"/>
                  </w14:solidFill>
                </w14:textFill>
              </w:rPr>
              <w:t>后退还预付款担保。</w:t>
            </w:r>
          </w:p>
        </w:tc>
      </w:tr>
      <w:tr w14:paraId="26142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2022" w:type="dxa"/>
            <w:tcBorders>
              <w:tl2br w:val="nil"/>
              <w:tr2bl w:val="nil"/>
            </w:tcBorders>
            <w:vAlign w:val="center"/>
          </w:tcPr>
          <w:p w14:paraId="4C8681A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施工作业要求</w:t>
            </w:r>
          </w:p>
        </w:tc>
        <w:tc>
          <w:tcPr>
            <w:tcW w:w="7830" w:type="dxa"/>
            <w:tcBorders>
              <w:tl2br w:val="nil"/>
              <w:tr2bl w:val="nil"/>
            </w:tcBorders>
            <w:vAlign w:val="center"/>
          </w:tcPr>
          <w:p w14:paraId="5930B888">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）在安装过程中，必须做到文明安装。工序衔接交叉合理，交接责任明确，施工场地整洁、卫生、及时清理现场垃圾。</w:t>
            </w:r>
          </w:p>
          <w:p w14:paraId="5FC62279">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）产品在安装过程中如对场地原有设施产生破坏的，</w:t>
            </w:r>
            <w:r>
              <w:rPr>
                <w:rFonts w:hint="eastAsia" w:ascii="仿宋" w:hAnsi="仿宋" w:eastAsia="仿宋" w:cs="仿宋"/>
                <w:color w:val="auto"/>
                <w:sz w:val="24"/>
                <w:lang w:val="en-US" w:eastAsia="zh-CN"/>
              </w:rPr>
              <w:t>中标人</w:t>
            </w:r>
            <w:r>
              <w:rPr>
                <w:rFonts w:hint="eastAsia" w:ascii="仿宋" w:hAnsi="仿宋" w:eastAsia="仿宋" w:cs="仿宋"/>
                <w:color w:val="auto"/>
                <w:sz w:val="24"/>
                <w:lang w:eastAsia="zh-CN"/>
              </w:rPr>
              <w:t>必须自行完成修复和复原，所需费用按风险金计入投标总价中，如果投标</w:t>
            </w:r>
            <w:r>
              <w:rPr>
                <w:rFonts w:hint="eastAsia" w:ascii="仿宋" w:hAnsi="仿宋" w:eastAsia="仿宋" w:cs="仿宋"/>
                <w:color w:val="auto"/>
                <w:sz w:val="24"/>
                <w:lang w:val="en-US" w:eastAsia="zh-CN"/>
              </w:rPr>
              <w:t>人</w:t>
            </w:r>
            <w:r>
              <w:rPr>
                <w:rFonts w:hint="eastAsia" w:ascii="仿宋" w:hAnsi="仿宋" w:eastAsia="仿宋" w:cs="仿宋"/>
                <w:color w:val="auto"/>
                <w:sz w:val="24"/>
                <w:lang w:eastAsia="zh-CN"/>
              </w:rPr>
              <w:t>在报价时未考虑，视为已计入投标总价。</w:t>
            </w:r>
          </w:p>
          <w:p w14:paraId="65A9E5DB">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中标人</w:t>
            </w:r>
            <w:r>
              <w:rPr>
                <w:rFonts w:hint="eastAsia" w:ascii="仿宋" w:hAnsi="仿宋" w:eastAsia="仿宋" w:cs="仿宋"/>
                <w:color w:val="auto"/>
                <w:sz w:val="24"/>
                <w:lang w:eastAsia="zh-CN"/>
              </w:rPr>
              <w:t>必须重视安全生产工作，</w:t>
            </w:r>
            <w:r>
              <w:rPr>
                <w:rFonts w:hint="eastAsia" w:ascii="仿宋" w:hAnsi="仿宋" w:eastAsia="仿宋" w:cs="仿宋"/>
                <w:color w:val="auto"/>
                <w:sz w:val="24"/>
                <w:lang w:val="en-US" w:eastAsia="zh-CN"/>
              </w:rPr>
              <w:t>避免发生</w:t>
            </w:r>
            <w:r>
              <w:rPr>
                <w:rFonts w:hint="eastAsia" w:ascii="仿宋" w:hAnsi="仿宋" w:eastAsia="仿宋" w:cs="仿宋"/>
                <w:color w:val="auto"/>
                <w:sz w:val="24"/>
                <w:lang w:eastAsia="zh-CN"/>
              </w:rPr>
              <w:t>安全生产责任事故。如发生安全生产责任事故或公众安全事故，一切责任及损失由中标人承担。</w:t>
            </w:r>
          </w:p>
        </w:tc>
      </w:tr>
      <w:tr w14:paraId="42D8D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28" w:type="dxa"/>
            <w:bottom w:w="11" w:type="dxa"/>
            <w:right w:w="28" w:type="dxa"/>
          </w:tblCellMar>
        </w:tblPrEx>
        <w:trPr>
          <w:trHeight w:val="454" w:hRule="atLeast"/>
        </w:trPr>
        <w:tc>
          <w:tcPr>
            <w:tcW w:w="2022" w:type="dxa"/>
            <w:tcBorders>
              <w:tl2br w:val="nil"/>
              <w:tr2bl w:val="nil"/>
            </w:tcBorders>
            <w:vAlign w:val="center"/>
          </w:tcPr>
          <w:p w14:paraId="3E027ED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仿宋" w:hAnsi="仿宋" w:eastAsia="仿宋" w:cs="仿宋"/>
                <w:color w:val="auto"/>
                <w:sz w:val="24"/>
                <w:lang w:val="en-US" w:eastAsia="zh-CN"/>
              </w:rPr>
            </w:pPr>
            <w:bookmarkStart w:id="197" w:name="_Toc27288"/>
            <w:bookmarkStart w:id="198" w:name="_Toc3459"/>
            <w:r>
              <w:rPr>
                <w:rFonts w:hint="eastAsia" w:ascii="仿宋" w:hAnsi="仿宋" w:eastAsia="仿宋" w:cs="仿宋"/>
                <w:color w:val="auto"/>
                <w:sz w:val="24"/>
                <w:lang w:val="en-US" w:eastAsia="zh-CN"/>
              </w:rPr>
              <w:t>资料审查</w:t>
            </w:r>
          </w:p>
        </w:tc>
        <w:tc>
          <w:tcPr>
            <w:tcW w:w="7830" w:type="dxa"/>
            <w:tcBorders>
              <w:tl2br w:val="nil"/>
              <w:tr2bl w:val="nil"/>
            </w:tcBorders>
            <w:vAlign w:val="center"/>
          </w:tcPr>
          <w:p w14:paraId="6B29BEBA">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中标人须在本项目</w:t>
            </w:r>
            <w:r>
              <w:rPr>
                <w:rFonts w:hint="eastAsia" w:ascii="仿宋" w:hAnsi="仿宋" w:eastAsia="仿宋" w:cs="仿宋"/>
                <w:color w:val="auto"/>
                <w:sz w:val="24"/>
                <w:lang w:val="en-US" w:eastAsia="zh-CN"/>
              </w:rPr>
              <w:t>签订合同</w:t>
            </w:r>
            <w:r>
              <w:rPr>
                <w:rFonts w:hint="eastAsia" w:ascii="仿宋" w:hAnsi="仿宋" w:eastAsia="仿宋" w:cs="仿宋"/>
                <w:color w:val="auto"/>
                <w:sz w:val="24"/>
                <w:lang w:eastAsia="zh-CN"/>
              </w:rPr>
              <w:t>前向招标人提供招标需求清单中要求的有关货物的检测报告、质保承诺、截图、证书、报告、样品、证明文件等相关材料原件，否则招标人有权取消其中标资格，</w:t>
            </w:r>
            <w:r>
              <w:rPr>
                <w:rFonts w:hint="eastAsia" w:ascii="仿宋" w:hAnsi="仿宋" w:eastAsia="仿宋" w:cs="仿宋"/>
                <w:color w:val="auto"/>
                <w:sz w:val="24"/>
                <w:lang w:val="en-US" w:eastAsia="zh-CN"/>
              </w:rPr>
              <w:t>并报同级政府采购监督管理部门</w:t>
            </w:r>
            <w:r>
              <w:rPr>
                <w:rFonts w:hint="eastAsia" w:ascii="仿宋" w:hAnsi="仿宋" w:eastAsia="仿宋" w:cs="仿宋"/>
                <w:color w:val="auto"/>
                <w:sz w:val="24"/>
                <w:lang w:eastAsia="zh-CN"/>
              </w:rPr>
              <w:t>。</w:t>
            </w:r>
          </w:p>
        </w:tc>
      </w:tr>
    </w:tbl>
    <w:p w14:paraId="01F58F0B">
      <w:pPr>
        <w:keepNext w:val="0"/>
        <w:keepLines w:val="0"/>
        <w:pageBreakBefore w:val="0"/>
        <w:widowControl w:val="0"/>
        <w:tabs>
          <w:tab w:val="left" w:pos="2585"/>
        </w:tabs>
        <w:kinsoku/>
        <w:wordWrap/>
        <w:overflowPunct/>
        <w:topLinePunct w:val="0"/>
        <w:autoSpaceDE w:val="0"/>
        <w:autoSpaceDN w:val="0"/>
        <w:bidi w:val="0"/>
        <w:adjustRightInd/>
        <w:snapToGrid/>
        <w:spacing w:before="0" w:beforeLines="50" w:line="360" w:lineRule="auto"/>
        <w:textAlignment w:val="auto"/>
        <w:outlineLvl w:val="1"/>
        <w:rPr>
          <w:rFonts w:ascii="仿宋" w:hAnsi="仿宋" w:eastAsia="仿宋" w:cs="仿宋"/>
          <w:b/>
          <w:bCs/>
          <w:color w:val="auto"/>
          <w:sz w:val="30"/>
          <w:szCs w:val="30"/>
          <w:lang w:val="en-US"/>
        </w:rPr>
      </w:pPr>
      <w:bookmarkStart w:id="199" w:name="_Toc29987"/>
      <w:bookmarkStart w:id="200" w:name="_Toc19154"/>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lang w:val="en-US"/>
        </w:rPr>
        <w:t>、特别说明与规定</w:t>
      </w:r>
      <w:bookmarkEnd w:id="197"/>
      <w:bookmarkEnd w:id="198"/>
      <w:bookmarkEnd w:id="199"/>
      <w:bookmarkEnd w:id="200"/>
      <w:r>
        <w:rPr>
          <w:rFonts w:hint="eastAsia" w:ascii="仿宋" w:hAnsi="仿宋" w:eastAsia="仿宋" w:cs="仿宋"/>
          <w:b/>
          <w:bCs/>
          <w:color w:val="auto"/>
          <w:sz w:val="30"/>
          <w:szCs w:val="30"/>
          <w:lang w:val="en-US"/>
        </w:rPr>
        <w:t xml:space="preserve"> </w:t>
      </w:r>
    </w:p>
    <w:p w14:paraId="749BAAB8">
      <w:pPr>
        <w:spacing w:line="360" w:lineRule="auto"/>
        <w:ind w:firstLine="480" w:firstLineChars="200"/>
        <w:rPr>
          <w:rFonts w:ascii="仿宋" w:hAnsi="仿宋" w:eastAsia="仿宋" w:cs="仿宋"/>
          <w:b w:val="0"/>
          <w:bCs/>
          <w:color w:val="auto"/>
          <w:sz w:val="24"/>
          <w:szCs w:val="24"/>
        </w:rPr>
      </w:pPr>
      <w:r>
        <w:rPr>
          <w:rFonts w:hint="eastAsia" w:ascii="仿宋" w:hAnsi="仿宋" w:eastAsia="仿宋" w:cs="仿宋"/>
          <w:b w:val="0"/>
          <w:bCs/>
          <w:color w:val="auto"/>
          <w:sz w:val="24"/>
          <w:szCs w:val="24"/>
        </w:rPr>
        <w:t>本部分内容均为采购人基本要求，如</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无法响应，须在《关于对采购文件中有关条款的拒绝声明》中详细说明，未说明的，视为认可并接受所有条款。</w:t>
      </w:r>
    </w:p>
    <w:p w14:paraId="2FFFBCE4">
      <w:pPr>
        <w:spacing w:line="360" w:lineRule="auto"/>
        <w:ind w:firstLine="480" w:firstLineChars="200"/>
        <w:rPr>
          <w:rFonts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本项目单独一个标项，标项是最小投标单位，</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必须对标项内的所有内容发起投标响应。</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在投标时缺漏的内容视为“未响应”按负偏离处理，如中标，须自行如数补齐并承担相应后果。</w:t>
      </w:r>
    </w:p>
    <w:p w14:paraId="2127AF09">
      <w:pPr>
        <w:spacing w:line="360" w:lineRule="auto"/>
        <w:ind w:firstLine="480" w:firstLineChars="200"/>
        <w:rPr>
          <w:rFonts w:ascii="仿宋" w:hAnsi="仿宋" w:eastAsia="仿宋" w:cs="仿宋"/>
          <w:b w:val="0"/>
          <w:bCs/>
          <w:color w:val="auto"/>
          <w:sz w:val="24"/>
          <w:szCs w:val="24"/>
        </w:rPr>
      </w:pPr>
      <w:r>
        <w:rPr>
          <w:rFonts w:hint="eastAsia" w:ascii="仿宋" w:hAnsi="仿宋" w:eastAsia="仿宋" w:cs="仿宋"/>
          <w:b w:val="0"/>
          <w:bCs/>
          <w:color w:val="auto"/>
          <w:sz w:val="24"/>
          <w:szCs w:val="24"/>
        </w:rPr>
        <w:t>2</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本章（第</w:t>
      </w:r>
      <w:r>
        <w:rPr>
          <w:rFonts w:hint="eastAsia" w:ascii="仿宋" w:hAnsi="仿宋" w:eastAsia="仿宋" w:cs="仿宋"/>
          <w:b w:val="0"/>
          <w:bCs/>
          <w:color w:val="auto"/>
          <w:sz w:val="24"/>
          <w:szCs w:val="24"/>
          <w:lang w:val="en-US" w:eastAsia="zh-CN"/>
        </w:rPr>
        <w:t>三</w:t>
      </w:r>
      <w:r>
        <w:rPr>
          <w:rFonts w:hint="eastAsia" w:ascii="仿宋" w:hAnsi="仿宋" w:eastAsia="仿宋" w:cs="仿宋"/>
          <w:b w:val="0"/>
          <w:bCs/>
          <w:color w:val="auto"/>
          <w:sz w:val="24"/>
          <w:szCs w:val="24"/>
        </w:rPr>
        <w:t>章 采购需求）是采购人需求的最基本描述，</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不得擅自改动或删减。</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如认为采购内容中缺少了满足采购要求所必需的设备、材料或其他工作内容，</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应在投标时自行补充并说明具体理由，所需费用包含在投标总价内。</w:t>
      </w:r>
      <w:r>
        <w:rPr>
          <w:rFonts w:hint="eastAsia" w:ascii="仿宋" w:hAnsi="仿宋" w:eastAsia="仿宋" w:cs="仿宋"/>
          <w:b/>
          <w:bCs w:val="0"/>
          <w:color w:val="auto"/>
          <w:sz w:val="24"/>
          <w:szCs w:val="24"/>
        </w:rPr>
        <w:t>采购人不接受</w:t>
      </w:r>
      <w:r>
        <w:rPr>
          <w:rFonts w:hint="eastAsia" w:ascii="仿宋" w:hAnsi="仿宋" w:eastAsia="仿宋" w:cs="仿宋"/>
          <w:b/>
          <w:bCs w:val="0"/>
          <w:color w:val="auto"/>
          <w:sz w:val="24"/>
          <w:szCs w:val="24"/>
          <w:lang w:eastAsia="zh-CN"/>
        </w:rPr>
        <w:t>投标人</w:t>
      </w:r>
      <w:r>
        <w:rPr>
          <w:rFonts w:hint="eastAsia" w:ascii="仿宋" w:hAnsi="仿宋" w:eastAsia="仿宋" w:cs="仿宋"/>
          <w:b/>
          <w:bCs w:val="0"/>
          <w:color w:val="auto"/>
          <w:sz w:val="24"/>
          <w:szCs w:val="24"/>
        </w:rPr>
        <w:t>给予的任何“赠品”或者与采购无关的其他商品、服务，不接受任何形式的“0 元报价”（“0 元报价”一律视为无效报价，作无效标处理）。</w:t>
      </w:r>
    </w:p>
    <w:p w14:paraId="6E113327">
      <w:pPr>
        <w:spacing w:line="360" w:lineRule="auto"/>
        <w:ind w:firstLine="480" w:firstLineChars="200"/>
        <w:rPr>
          <w:rFonts w:ascii="仿宋" w:hAnsi="仿宋" w:eastAsia="仿宋" w:cs="仿宋"/>
          <w:b w:val="0"/>
          <w:bCs/>
          <w:color w:val="auto"/>
          <w:sz w:val="24"/>
          <w:szCs w:val="24"/>
        </w:rPr>
      </w:pPr>
      <w:r>
        <w:rPr>
          <w:rFonts w:hint="eastAsia" w:ascii="仿宋" w:hAnsi="仿宋" w:eastAsia="仿宋" w:cs="仿宋"/>
          <w:b w:val="0"/>
          <w:bCs/>
          <w:color w:val="auto"/>
          <w:sz w:val="24"/>
          <w:szCs w:val="24"/>
        </w:rPr>
        <w:t>3</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本章（第</w:t>
      </w:r>
      <w:r>
        <w:rPr>
          <w:rFonts w:hint="eastAsia" w:ascii="仿宋" w:hAnsi="仿宋" w:eastAsia="仿宋" w:cs="仿宋"/>
          <w:b w:val="0"/>
          <w:bCs/>
          <w:color w:val="auto"/>
          <w:sz w:val="24"/>
          <w:szCs w:val="24"/>
          <w:lang w:val="en-US" w:eastAsia="zh-CN"/>
        </w:rPr>
        <w:t>三</w:t>
      </w:r>
      <w:r>
        <w:rPr>
          <w:rFonts w:hint="eastAsia" w:ascii="仿宋" w:hAnsi="仿宋" w:eastAsia="仿宋" w:cs="仿宋"/>
          <w:b w:val="0"/>
          <w:bCs/>
          <w:color w:val="auto"/>
          <w:sz w:val="24"/>
          <w:szCs w:val="24"/>
        </w:rPr>
        <w:t>章 采购需求）中对技术、服务和商务的要求是采购人最低要求，负偏离的，由评委按照招标文件的约定在商务技术评审时进行负偏离扣分。</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应尽可能的选择符合采购人采购需求的产品参加投标。</w:t>
      </w:r>
    </w:p>
    <w:p w14:paraId="5110017F">
      <w:pPr>
        <w:spacing w:line="360" w:lineRule="auto"/>
        <w:ind w:firstLine="480" w:firstLineChars="200"/>
        <w:rPr>
          <w:rFonts w:ascii="仿宋" w:hAnsi="仿宋" w:eastAsia="仿宋" w:cs="仿宋"/>
          <w:b w:val="0"/>
          <w:bCs/>
          <w:color w:val="auto"/>
          <w:sz w:val="24"/>
          <w:szCs w:val="24"/>
        </w:rPr>
      </w:pPr>
      <w:r>
        <w:rPr>
          <w:rFonts w:hint="eastAsia" w:ascii="仿宋" w:hAnsi="仿宋" w:eastAsia="仿宋" w:cs="仿宋"/>
          <w:b w:val="0"/>
          <w:bCs/>
          <w:color w:val="auto"/>
          <w:sz w:val="24"/>
          <w:szCs w:val="24"/>
        </w:rPr>
        <w:t>4</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应当完整、明确的逐条对照采购要求作出投标响应，投标响应缺项或因复制粘贴采购要求导致投标响应不明确的，均按负偏离认定；投标响应前后矛盾导致评标委员会有疑问的，评标委员会认为必要时可以要求</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在规定的时间（30分钟）内提供相关技术证明材料，</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不能按时提供相关技术证明材料的视为“未响应”作负偏离处理。</w:t>
      </w:r>
    </w:p>
    <w:p w14:paraId="6D5115E9">
      <w:pPr>
        <w:spacing w:line="360" w:lineRule="auto"/>
        <w:ind w:firstLine="480" w:firstLineChars="200"/>
        <w:rPr>
          <w:rFonts w:ascii="仿宋" w:hAnsi="仿宋" w:eastAsia="仿宋" w:cs="仿宋"/>
          <w:b w:val="0"/>
          <w:bCs/>
          <w:color w:val="auto"/>
          <w:sz w:val="24"/>
          <w:szCs w:val="24"/>
        </w:rPr>
      </w:pPr>
      <w:r>
        <w:rPr>
          <w:rFonts w:hint="eastAsia" w:ascii="仿宋" w:hAnsi="仿宋" w:eastAsia="仿宋" w:cs="仿宋"/>
          <w:b w:val="0"/>
          <w:bCs/>
          <w:color w:val="auto"/>
          <w:sz w:val="24"/>
          <w:szCs w:val="24"/>
        </w:rPr>
        <w:t>5</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采购人在本章中提出采购需求</w:t>
      </w:r>
      <w:r>
        <w:rPr>
          <w:rFonts w:hint="eastAsia" w:ascii="仿宋" w:hAnsi="仿宋" w:eastAsia="仿宋" w:cs="仿宋"/>
          <w:b w:val="0"/>
          <w:bCs/>
          <w:color w:val="auto"/>
          <w:sz w:val="24"/>
          <w:szCs w:val="24"/>
          <w:lang w:val="en-US" w:eastAsia="zh-CN"/>
        </w:rPr>
        <w:t>的产品描述</w:t>
      </w:r>
      <w:r>
        <w:rPr>
          <w:rFonts w:hint="eastAsia" w:ascii="仿宋" w:hAnsi="仿宋" w:eastAsia="仿宋" w:cs="仿宋"/>
          <w:b w:val="0"/>
          <w:bCs/>
          <w:color w:val="auto"/>
          <w:sz w:val="24"/>
          <w:szCs w:val="24"/>
        </w:rPr>
        <w:t>，并不是对产品进行指定，欢迎</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选择更好的方案和产品前来投标。</w:t>
      </w:r>
    </w:p>
    <w:p w14:paraId="6795F4B3">
      <w:pPr>
        <w:spacing w:line="360" w:lineRule="auto"/>
        <w:ind w:firstLine="480" w:firstLineChars="200"/>
        <w:rPr>
          <w:rFonts w:ascii="仿宋" w:hAnsi="仿宋" w:eastAsia="仿宋" w:cs="仿宋"/>
          <w:b w:val="0"/>
          <w:bCs/>
          <w:color w:val="auto"/>
          <w:sz w:val="24"/>
          <w:szCs w:val="24"/>
        </w:rPr>
      </w:pPr>
      <w:r>
        <w:rPr>
          <w:rFonts w:hint="eastAsia" w:ascii="仿宋" w:hAnsi="仿宋" w:eastAsia="仿宋" w:cs="仿宋"/>
          <w:b w:val="0"/>
          <w:bCs/>
          <w:color w:val="auto"/>
          <w:sz w:val="24"/>
          <w:szCs w:val="24"/>
        </w:rPr>
        <w:t>6</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中标供应商所供产品的规格以投标承诺为准，未经采购人同意，不得擅自更改。</w:t>
      </w:r>
    </w:p>
    <w:p w14:paraId="47DC5824">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投标</w:t>
      </w:r>
      <w:r>
        <w:rPr>
          <w:rFonts w:hint="eastAsia" w:ascii="仿宋" w:hAnsi="仿宋" w:eastAsia="仿宋" w:cs="仿宋"/>
          <w:b w:val="0"/>
          <w:bCs/>
          <w:color w:val="auto"/>
          <w:sz w:val="24"/>
          <w:szCs w:val="24"/>
          <w:lang w:val="en-US" w:eastAsia="zh-CN"/>
        </w:rPr>
        <w:t>人</w:t>
      </w:r>
      <w:r>
        <w:rPr>
          <w:rFonts w:hint="eastAsia" w:ascii="仿宋" w:hAnsi="仿宋" w:eastAsia="仿宋" w:cs="仿宋"/>
          <w:b w:val="0"/>
          <w:bCs/>
          <w:color w:val="auto"/>
          <w:sz w:val="24"/>
          <w:szCs w:val="24"/>
        </w:rPr>
        <w:t>须对采购中涉及到的专利、知识产权等负责，并保证不伤害采购人及其他第三方的合法利益。在法律范围内，所有文字、商标和技术侵权造成的相关费用，一律由</w:t>
      </w:r>
      <w:r>
        <w:rPr>
          <w:rFonts w:hint="eastAsia" w:ascii="仿宋" w:hAnsi="仿宋" w:eastAsia="仿宋" w:cs="仿宋"/>
          <w:b w:val="0"/>
          <w:bCs/>
          <w:color w:val="auto"/>
          <w:sz w:val="24"/>
          <w:szCs w:val="24"/>
          <w:lang w:eastAsia="zh-CN"/>
        </w:rPr>
        <w:t>投标人</w:t>
      </w:r>
      <w:r>
        <w:rPr>
          <w:rFonts w:hint="eastAsia" w:ascii="仿宋" w:hAnsi="仿宋" w:eastAsia="仿宋" w:cs="仿宋"/>
          <w:b w:val="0"/>
          <w:bCs/>
          <w:color w:val="auto"/>
          <w:sz w:val="24"/>
          <w:szCs w:val="24"/>
        </w:rPr>
        <w:t>自行承担，采购人概不负责。</w:t>
      </w:r>
    </w:p>
    <w:p w14:paraId="712604E8">
      <w:pPr>
        <w:spacing w:line="360" w:lineRule="auto"/>
        <w:ind w:firstLine="480" w:firstLineChars="200"/>
        <w:rPr>
          <w:rFonts w:ascii="仿宋" w:hAnsi="仿宋" w:eastAsia="仿宋" w:cs="仿宋"/>
          <w:b w:val="0"/>
          <w:bCs/>
          <w:color w:val="auto"/>
          <w:sz w:val="24"/>
          <w:szCs w:val="24"/>
        </w:rPr>
      </w:pP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本项目为后授权，中标供应商应按采购人要求提供</w:t>
      </w:r>
      <w:r>
        <w:rPr>
          <w:rFonts w:hint="eastAsia" w:ascii="仿宋" w:hAnsi="仿宋" w:eastAsia="仿宋" w:cs="仿宋"/>
          <w:b w:val="0"/>
          <w:bCs/>
          <w:color w:val="auto"/>
          <w:sz w:val="24"/>
          <w:szCs w:val="24"/>
          <w:highlight w:val="none"/>
          <w:lang w:eastAsia="zh-CN"/>
        </w:rPr>
        <w:t>产品</w:t>
      </w:r>
      <w:r>
        <w:rPr>
          <w:rFonts w:hint="eastAsia" w:ascii="仿宋" w:hAnsi="仿宋" w:eastAsia="仿宋" w:cs="仿宋"/>
          <w:b w:val="0"/>
          <w:bCs/>
          <w:color w:val="auto"/>
          <w:sz w:val="24"/>
          <w:szCs w:val="24"/>
          <w:highlight w:val="none"/>
        </w:rPr>
        <w:t>制造商授权或质保证明，中标供应商在</w:t>
      </w:r>
      <w:r>
        <w:rPr>
          <w:rFonts w:hint="eastAsia" w:ascii="仿宋" w:hAnsi="仿宋" w:eastAsia="仿宋" w:cs="仿宋"/>
          <w:b w:val="0"/>
          <w:bCs/>
          <w:color w:val="auto"/>
          <w:sz w:val="24"/>
          <w:szCs w:val="24"/>
          <w:highlight w:val="none"/>
          <w:lang w:eastAsia="zh-CN"/>
        </w:rPr>
        <w:t>收到中标通知书后15日内</w:t>
      </w:r>
      <w:r>
        <w:rPr>
          <w:rFonts w:hint="eastAsia" w:ascii="仿宋" w:hAnsi="仿宋" w:eastAsia="仿宋" w:cs="仿宋"/>
          <w:b w:val="0"/>
          <w:bCs/>
          <w:color w:val="auto"/>
          <w:sz w:val="24"/>
          <w:szCs w:val="24"/>
          <w:highlight w:val="none"/>
        </w:rPr>
        <w:t>提供产品的原厂质保函。</w:t>
      </w:r>
      <w:bookmarkEnd w:id="196"/>
    </w:p>
    <w:p w14:paraId="4814D190">
      <w:pPr>
        <w:rPr>
          <w:rFonts w:hint="eastAsia" w:ascii="仿宋" w:hAnsi="仿宋" w:eastAsia="仿宋" w:cs="仿宋"/>
          <w:b/>
          <w:bCs/>
          <w:color w:val="auto"/>
          <w:sz w:val="36"/>
          <w:szCs w:val="36"/>
        </w:rPr>
        <w:sectPr>
          <w:footerReference r:id="rId5" w:type="default"/>
          <w:pgSz w:w="11910" w:h="16840"/>
          <w:pgMar w:top="1134" w:right="1134" w:bottom="1134" w:left="1134" w:header="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pPr>
    </w:p>
    <w:p w14:paraId="24C48242">
      <w:pPr>
        <w:spacing w:line="360" w:lineRule="auto"/>
        <w:ind w:firstLine="602" w:firstLineChars="200"/>
        <w:outlineLvl w:val="1"/>
        <w:rPr>
          <w:rFonts w:ascii="仿宋" w:hAnsi="仿宋" w:eastAsia="仿宋" w:cs="仿宋"/>
          <w:b/>
          <w:bCs/>
          <w:color w:val="auto"/>
          <w:sz w:val="30"/>
          <w:szCs w:val="30"/>
          <w:lang w:val="en-US"/>
        </w:rPr>
      </w:pPr>
      <w:bookmarkStart w:id="201" w:name="_Toc7377"/>
      <w:r>
        <w:rPr>
          <w:rFonts w:hint="eastAsia" w:ascii="仿宋" w:hAnsi="仿宋" w:eastAsia="仿宋" w:cs="仿宋"/>
          <w:b/>
          <w:bCs/>
          <w:color w:val="auto"/>
          <w:sz w:val="30"/>
          <w:szCs w:val="30"/>
          <w:lang w:val="en-US" w:eastAsia="zh-CN"/>
        </w:rPr>
        <w:t>五</w:t>
      </w:r>
      <w:r>
        <w:rPr>
          <w:rFonts w:hint="eastAsia" w:ascii="仿宋" w:hAnsi="仿宋" w:eastAsia="仿宋" w:cs="仿宋"/>
          <w:b/>
          <w:bCs/>
          <w:color w:val="auto"/>
          <w:sz w:val="30"/>
          <w:szCs w:val="30"/>
          <w:lang w:val="en-US"/>
        </w:rPr>
        <w:t>、投标样品要求</w:t>
      </w:r>
      <w:bookmarkEnd w:id="201"/>
    </w:p>
    <w:p w14:paraId="1A31A391">
      <w:pPr>
        <w:pStyle w:val="2"/>
        <w:spacing w:line="360" w:lineRule="auto"/>
        <w:ind w:firstLine="482" w:firstLineChars="200"/>
        <w:rPr>
          <w:rFonts w:ascii="仿宋" w:hAnsi="仿宋" w:eastAsia="仿宋" w:cs="仿宋"/>
          <w:b/>
          <w:color w:val="auto"/>
          <w:lang w:val="en-US"/>
        </w:rPr>
      </w:pPr>
      <w:r>
        <w:rPr>
          <w:rFonts w:hint="eastAsia" w:ascii="仿宋" w:hAnsi="仿宋" w:eastAsia="仿宋" w:cs="仿宋"/>
          <w:b/>
          <w:color w:val="auto"/>
          <w:lang w:val="en-US"/>
        </w:rPr>
        <w:t>为了更加直观、准确的评价各供应商所投产品与采购需求的符合性，以及评价各供应商所投产品的材质、制造工艺等，本项目要求投标供应商按以下要求递交投标样品，投标供应商未递交投标样品的，投标样品评分以零分计算。</w:t>
      </w:r>
    </w:p>
    <w:p w14:paraId="68584013">
      <w:pPr>
        <w:pStyle w:val="2"/>
        <w:spacing w:line="360" w:lineRule="auto"/>
        <w:ind w:firstLine="562" w:firstLineChars="200"/>
        <w:rPr>
          <w:rFonts w:ascii="仿宋" w:hAnsi="仿宋" w:eastAsia="仿宋" w:cs="仿宋"/>
          <w:b/>
          <w:color w:val="auto"/>
          <w:lang w:val="en-US"/>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lang w:val="en-US"/>
        </w:rPr>
        <w:t>.1 投标样品清单及要求</w:t>
      </w:r>
    </w:p>
    <w:tbl>
      <w:tblPr>
        <w:tblStyle w:val="27"/>
        <w:tblW w:w="14237" w:type="dxa"/>
        <w:tblInd w:w="19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27"/>
        <w:gridCol w:w="1991"/>
        <w:gridCol w:w="3055"/>
        <w:gridCol w:w="6204"/>
        <w:gridCol w:w="1030"/>
        <w:gridCol w:w="1030"/>
      </w:tblGrid>
      <w:tr w14:paraId="09C42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0" w:hRule="atLeast"/>
        </w:trPr>
        <w:tc>
          <w:tcPr>
            <w:tcW w:w="927" w:type="dxa"/>
            <w:tcBorders>
              <w:tl2br w:val="nil"/>
              <w:tr2bl w:val="nil"/>
            </w:tcBorders>
            <w:shd w:val="clear" w:color="auto" w:fill="B6DDE8" w:themeFill="accent5" w:themeFillTint="66"/>
            <w:vAlign w:val="center"/>
          </w:tcPr>
          <w:p w14:paraId="67BFE13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s="仿宋"/>
                <w:b/>
                <w:bCs w:val="0"/>
                <w:color w:val="auto"/>
                <w:sz w:val="22"/>
                <w:szCs w:val="18"/>
                <w:lang w:val="en-US"/>
              </w:rPr>
            </w:pPr>
            <w:r>
              <w:rPr>
                <w:rFonts w:hint="eastAsia" w:ascii="仿宋" w:hAnsi="仿宋" w:eastAsia="仿宋" w:cs="仿宋"/>
                <w:b/>
                <w:bCs w:val="0"/>
                <w:color w:val="auto"/>
                <w:sz w:val="22"/>
                <w:szCs w:val="18"/>
                <w:lang w:val="en-US"/>
              </w:rPr>
              <w:t>序号</w:t>
            </w:r>
          </w:p>
        </w:tc>
        <w:tc>
          <w:tcPr>
            <w:tcW w:w="1991" w:type="dxa"/>
            <w:tcBorders>
              <w:tl2br w:val="nil"/>
              <w:tr2bl w:val="nil"/>
            </w:tcBorders>
            <w:shd w:val="clear" w:color="auto" w:fill="B6DDE8" w:themeFill="accent5" w:themeFillTint="66"/>
            <w:vAlign w:val="center"/>
          </w:tcPr>
          <w:p w14:paraId="3BAA309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s="仿宋"/>
                <w:b/>
                <w:bCs w:val="0"/>
                <w:color w:val="auto"/>
                <w:sz w:val="22"/>
                <w:szCs w:val="18"/>
                <w:lang w:val="en-US"/>
              </w:rPr>
            </w:pPr>
            <w:r>
              <w:rPr>
                <w:rFonts w:hint="eastAsia" w:ascii="仿宋" w:hAnsi="仿宋" w:eastAsia="仿宋" w:cs="仿宋"/>
                <w:b/>
                <w:bCs w:val="0"/>
                <w:color w:val="auto"/>
                <w:sz w:val="22"/>
                <w:szCs w:val="18"/>
                <w:lang w:val="en-US"/>
              </w:rPr>
              <w:t>采购清单序号</w:t>
            </w:r>
          </w:p>
        </w:tc>
        <w:tc>
          <w:tcPr>
            <w:tcW w:w="3055" w:type="dxa"/>
            <w:tcBorders>
              <w:tl2br w:val="nil"/>
              <w:tr2bl w:val="nil"/>
            </w:tcBorders>
            <w:shd w:val="clear" w:color="auto" w:fill="B6DDE8" w:themeFill="accent5" w:themeFillTint="66"/>
            <w:vAlign w:val="center"/>
          </w:tcPr>
          <w:p w14:paraId="339BA01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s="仿宋"/>
                <w:b/>
                <w:bCs w:val="0"/>
                <w:color w:val="auto"/>
                <w:sz w:val="22"/>
                <w:szCs w:val="18"/>
                <w:lang w:val="en-US"/>
              </w:rPr>
            </w:pPr>
            <w:r>
              <w:rPr>
                <w:rFonts w:hint="eastAsia" w:ascii="仿宋" w:hAnsi="仿宋" w:eastAsia="仿宋" w:cs="仿宋"/>
                <w:b/>
                <w:bCs w:val="0"/>
                <w:color w:val="auto"/>
                <w:sz w:val="22"/>
                <w:szCs w:val="18"/>
                <w:lang w:val="en-US"/>
              </w:rPr>
              <w:t>样品名称</w:t>
            </w:r>
          </w:p>
        </w:tc>
        <w:tc>
          <w:tcPr>
            <w:tcW w:w="6204" w:type="dxa"/>
            <w:tcBorders>
              <w:tl2br w:val="nil"/>
              <w:tr2bl w:val="nil"/>
            </w:tcBorders>
            <w:shd w:val="clear" w:color="auto" w:fill="B6DDE8" w:themeFill="accent5" w:themeFillTint="66"/>
            <w:vAlign w:val="center"/>
          </w:tcPr>
          <w:p w14:paraId="2D28083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s="仿宋"/>
                <w:b/>
                <w:bCs w:val="0"/>
                <w:color w:val="auto"/>
                <w:sz w:val="22"/>
                <w:szCs w:val="18"/>
                <w:lang w:val="en-US"/>
              </w:rPr>
            </w:pPr>
            <w:r>
              <w:rPr>
                <w:rFonts w:hint="eastAsia" w:ascii="仿宋" w:hAnsi="仿宋" w:eastAsia="仿宋" w:cs="仿宋"/>
                <w:b/>
                <w:bCs w:val="0"/>
                <w:color w:val="auto"/>
                <w:sz w:val="22"/>
                <w:szCs w:val="18"/>
                <w:lang w:val="en-US"/>
              </w:rPr>
              <w:t>样品制作要求</w:t>
            </w:r>
          </w:p>
        </w:tc>
        <w:tc>
          <w:tcPr>
            <w:tcW w:w="1030" w:type="dxa"/>
            <w:tcBorders>
              <w:tl2br w:val="nil"/>
              <w:tr2bl w:val="nil"/>
            </w:tcBorders>
            <w:shd w:val="clear" w:color="auto" w:fill="B6DDE8" w:themeFill="accent5" w:themeFillTint="66"/>
            <w:vAlign w:val="center"/>
          </w:tcPr>
          <w:p w14:paraId="69A6E07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s="仿宋"/>
                <w:b/>
                <w:bCs w:val="0"/>
                <w:color w:val="auto"/>
                <w:sz w:val="22"/>
                <w:szCs w:val="18"/>
                <w:lang w:val="en-US"/>
              </w:rPr>
            </w:pPr>
            <w:r>
              <w:rPr>
                <w:rFonts w:hint="eastAsia" w:ascii="仿宋" w:hAnsi="仿宋" w:eastAsia="仿宋" w:cs="仿宋"/>
                <w:b/>
                <w:bCs w:val="0"/>
                <w:color w:val="auto"/>
                <w:sz w:val="22"/>
                <w:szCs w:val="18"/>
                <w:lang w:val="en-US"/>
              </w:rPr>
              <w:t>数量</w:t>
            </w:r>
          </w:p>
        </w:tc>
        <w:tc>
          <w:tcPr>
            <w:tcW w:w="1030" w:type="dxa"/>
            <w:tcBorders>
              <w:tl2br w:val="nil"/>
              <w:tr2bl w:val="nil"/>
            </w:tcBorders>
            <w:shd w:val="clear" w:color="auto" w:fill="B6DDE8" w:themeFill="accent5" w:themeFillTint="66"/>
            <w:vAlign w:val="center"/>
          </w:tcPr>
          <w:p w14:paraId="7F0073D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bCs w:val="0"/>
                <w:color w:val="auto"/>
                <w:sz w:val="22"/>
                <w:szCs w:val="18"/>
                <w:lang w:val="en-US" w:eastAsia="zh-CN"/>
              </w:rPr>
            </w:pPr>
            <w:r>
              <w:rPr>
                <w:rFonts w:hint="eastAsia" w:ascii="仿宋" w:hAnsi="仿宋" w:eastAsia="仿宋" w:cs="仿宋"/>
                <w:b/>
                <w:bCs w:val="0"/>
                <w:color w:val="auto"/>
                <w:sz w:val="22"/>
                <w:szCs w:val="18"/>
                <w:lang w:val="en-US" w:eastAsia="zh-CN"/>
              </w:rPr>
              <w:t>单位</w:t>
            </w:r>
          </w:p>
        </w:tc>
      </w:tr>
      <w:tr w14:paraId="0CBA3E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1437" w:hRule="atLeast"/>
        </w:trPr>
        <w:tc>
          <w:tcPr>
            <w:tcW w:w="927" w:type="dxa"/>
            <w:tcBorders>
              <w:tl2br w:val="nil"/>
              <w:tr2bl w:val="nil"/>
            </w:tcBorders>
            <w:vAlign w:val="center"/>
          </w:tcPr>
          <w:p w14:paraId="0B2B918C">
            <w:pPr>
              <w:spacing w:line="360" w:lineRule="auto"/>
              <w:jc w:val="center"/>
              <w:rPr>
                <w:rFonts w:hint="eastAsia" w:ascii="仿宋" w:hAnsi="仿宋" w:eastAsia="仿宋" w:cs="仿宋"/>
                <w:bCs/>
                <w:color w:val="auto"/>
                <w:sz w:val="24"/>
                <w:szCs w:val="20"/>
                <w:highlight w:val="none"/>
                <w:lang w:val="en-US" w:eastAsia="zh-CN"/>
              </w:rPr>
            </w:pPr>
            <w:r>
              <w:rPr>
                <w:rFonts w:hint="eastAsia" w:ascii="仿宋" w:hAnsi="仿宋" w:eastAsia="仿宋" w:cs="仿宋"/>
                <w:bCs/>
                <w:color w:val="auto"/>
                <w:sz w:val="24"/>
                <w:szCs w:val="20"/>
                <w:highlight w:val="none"/>
                <w:lang w:val="en-US" w:eastAsia="zh-CN"/>
              </w:rPr>
              <w:t>1</w:t>
            </w:r>
          </w:p>
        </w:tc>
        <w:tc>
          <w:tcPr>
            <w:tcW w:w="1991" w:type="dxa"/>
            <w:tcBorders>
              <w:tl2br w:val="nil"/>
              <w:tr2bl w:val="nil"/>
            </w:tcBorders>
            <w:vAlign w:val="center"/>
          </w:tcPr>
          <w:p w14:paraId="7E299B63">
            <w:pPr>
              <w:spacing w:line="370" w:lineRule="exact"/>
              <w:jc w:val="center"/>
              <w:rPr>
                <w:rFonts w:hint="default" w:ascii="仿宋" w:hAnsi="仿宋" w:eastAsia="仿宋" w:cs="仿宋"/>
                <w:bCs/>
                <w:color w:val="auto"/>
                <w:sz w:val="24"/>
                <w:szCs w:val="20"/>
                <w:highlight w:val="none"/>
                <w:lang w:val="en-US"/>
              </w:rPr>
            </w:pPr>
            <w:r>
              <w:rPr>
                <w:rFonts w:hint="eastAsia" w:ascii="仿宋" w:hAnsi="仿宋" w:eastAsia="仿宋" w:cs="仿宋"/>
                <w:color w:val="auto"/>
                <w:sz w:val="22"/>
                <w:szCs w:val="22"/>
                <w:highlight w:val="none"/>
                <w:lang w:val="en-US" w:eastAsia="zh-CN"/>
              </w:rPr>
              <w:t>化学实验室序号18</w:t>
            </w:r>
          </w:p>
        </w:tc>
        <w:tc>
          <w:tcPr>
            <w:tcW w:w="3055" w:type="dxa"/>
            <w:tcBorders>
              <w:tl2br w:val="nil"/>
              <w:tr2bl w:val="nil"/>
            </w:tcBorders>
            <w:vAlign w:val="center"/>
          </w:tcPr>
          <w:p w14:paraId="6222A4D5">
            <w:pPr>
              <w:spacing w:line="370" w:lineRule="exact"/>
              <w:jc w:val="center"/>
              <w:rPr>
                <w:rFonts w:hint="default" w:ascii="仿宋" w:hAnsi="仿宋" w:eastAsia="仿宋" w:cs="仿宋"/>
                <w:bCs/>
                <w:color w:val="auto"/>
                <w:sz w:val="24"/>
                <w:szCs w:val="20"/>
                <w:highlight w:val="none"/>
                <w:lang w:val="en-US" w:eastAsia="zh-CN"/>
              </w:rPr>
            </w:pPr>
            <w:r>
              <w:rPr>
                <w:rFonts w:hint="default" w:ascii="仿宋" w:hAnsi="仿宋" w:eastAsia="仿宋" w:cs="仿宋"/>
                <w:bCs/>
                <w:color w:val="auto"/>
                <w:sz w:val="22"/>
                <w:szCs w:val="22"/>
                <w:highlight w:val="none"/>
                <w:lang w:val="en-US" w:eastAsia="zh-CN"/>
              </w:rPr>
              <w:t>水槽柜</w:t>
            </w:r>
          </w:p>
        </w:tc>
        <w:tc>
          <w:tcPr>
            <w:tcW w:w="6204" w:type="dxa"/>
            <w:tcBorders>
              <w:tl2br w:val="nil"/>
              <w:tr2bl w:val="nil"/>
            </w:tcBorders>
            <w:vAlign w:val="center"/>
          </w:tcPr>
          <w:p w14:paraId="48145FCD">
            <w:pPr>
              <w:keepNext w:val="0"/>
              <w:keepLines w:val="0"/>
              <w:pageBreakBefore w:val="0"/>
              <w:widowControl/>
              <w:suppressLineNumbers w:val="0"/>
              <w:kinsoku/>
              <w:wordWrap w:val="0"/>
              <w:overflowPunct/>
              <w:topLinePunct w:val="0"/>
              <w:autoSpaceDE w:val="0"/>
              <w:autoSpaceDN w:val="0"/>
              <w:bidi w:val="0"/>
              <w:adjustRightInd/>
              <w:snapToGrid/>
              <w:jc w:val="left"/>
              <w:textAlignment w:val="center"/>
              <w:rPr>
                <w:rFonts w:hint="eastAsia" w:ascii="仿宋" w:hAnsi="仿宋" w:eastAsia="仿宋" w:cs="仿宋"/>
                <w:bCs/>
                <w:color w:val="auto"/>
                <w:szCs w:val="18"/>
                <w:highlight w:val="none"/>
                <w:lang w:val="en-US" w:eastAsia="zh-CN"/>
              </w:rPr>
            </w:pPr>
            <w:r>
              <w:rPr>
                <w:rFonts w:hint="eastAsia" w:ascii="仿宋" w:hAnsi="仿宋" w:eastAsia="仿宋" w:cs="仿宋"/>
                <w:bCs/>
                <w:color w:val="auto"/>
                <w:szCs w:val="18"/>
                <w:highlight w:val="none"/>
                <w:lang w:val="en-US" w:eastAsia="zh-CN"/>
              </w:rPr>
              <w:t>详见第三章采购需求 二、招标需求表相应的技术参数</w:t>
            </w:r>
          </w:p>
        </w:tc>
        <w:tc>
          <w:tcPr>
            <w:tcW w:w="1030" w:type="dxa"/>
            <w:tcBorders>
              <w:tl2br w:val="nil"/>
              <w:tr2bl w:val="nil"/>
            </w:tcBorders>
            <w:vAlign w:val="center"/>
          </w:tcPr>
          <w:p w14:paraId="512FE037">
            <w:pPr>
              <w:spacing w:line="360" w:lineRule="auto"/>
              <w:jc w:val="center"/>
              <w:rPr>
                <w:rFonts w:hint="eastAsia" w:ascii="仿宋" w:hAnsi="仿宋" w:eastAsia="仿宋" w:cs="仿宋"/>
                <w:bCs/>
                <w:color w:val="auto"/>
                <w:sz w:val="22"/>
                <w:szCs w:val="18"/>
                <w:highlight w:val="none"/>
                <w:lang w:val="en-US" w:eastAsia="zh-CN"/>
              </w:rPr>
            </w:pPr>
            <w:r>
              <w:rPr>
                <w:rFonts w:hint="eastAsia" w:ascii="仿宋" w:hAnsi="仿宋" w:eastAsia="仿宋" w:cs="仿宋"/>
                <w:bCs/>
                <w:color w:val="auto"/>
                <w:sz w:val="22"/>
                <w:szCs w:val="18"/>
                <w:highlight w:val="none"/>
                <w:lang w:val="en-US" w:eastAsia="zh-CN"/>
              </w:rPr>
              <w:t>1</w:t>
            </w:r>
          </w:p>
        </w:tc>
        <w:tc>
          <w:tcPr>
            <w:tcW w:w="1030" w:type="dxa"/>
            <w:tcBorders>
              <w:tl2br w:val="nil"/>
              <w:tr2bl w:val="nil"/>
            </w:tcBorders>
            <w:vAlign w:val="center"/>
          </w:tcPr>
          <w:p w14:paraId="73D0F9E9">
            <w:pPr>
              <w:spacing w:line="360" w:lineRule="auto"/>
              <w:jc w:val="center"/>
              <w:rPr>
                <w:rFonts w:hint="eastAsia" w:ascii="仿宋" w:hAnsi="仿宋" w:eastAsia="仿宋" w:cs="仿宋"/>
                <w:bCs/>
                <w:color w:val="auto"/>
                <w:sz w:val="22"/>
                <w:szCs w:val="18"/>
                <w:highlight w:val="none"/>
                <w:lang w:val="en-US" w:eastAsia="zh-CN"/>
              </w:rPr>
            </w:pPr>
            <w:r>
              <w:rPr>
                <w:rFonts w:hint="eastAsia" w:ascii="仿宋" w:hAnsi="仿宋" w:eastAsia="仿宋" w:cs="仿宋"/>
                <w:bCs/>
                <w:color w:val="auto"/>
                <w:sz w:val="22"/>
                <w:szCs w:val="18"/>
                <w:highlight w:val="none"/>
                <w:lang w:val="en-US" w:eastAsia="zh-CN"/>
              </w:rPr>
              <w:t>套</w:t>
            </w:r>
          </w:p>
        </w:tc>
      </w:tr>
    </w:tbl>
    <w:p w14:paraId="50A95767">
      <w:pPr>
        <w:pStyle w:val="25"/>
        <w:ind w:left="0" w:leftChars="0" w:firstLine="0" w:firstLineChars="0"/>
        <w:rPr>
          <w:rFonts w:hint="eastAsia"/>
          <w:color w:val="auto"/>
        </w:rPr>
        <w:sectPr>
          <w:pgSz w:w="16840" w:h="11910" w:orient="landscape"/>
          <w:pgMar w:top="1134" w:right="1134" w:bottom="1134" w:left="1134" w:header="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pPr>
    </w:p>
    <w:p w14:paraId="605E4DE8">
      <w:pPr>
        <w:spacing w:line="360" w:lineRule="auto"/>
        <w:ind w:firstLine="562" w:firstLineChars="200"/>
        <w:rPr>
          <w:rFonts w:ascii="仿宋" w:hAnsi="仿宋" w:eastAsia="仿宋" w:cs="仿宋"/>
          <w:b/>
          <w:color w:val="auto"/>
          <w:sz w:val="28"/>
          <w:szCs w:val="28"/>
          <w:lang w:val="en-US"/>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lang w:val="en-US"/>
        </w:rPr>
        <w:t xml:space="preserve">.2 投标样品的递交 </w:t>
      </w:r>
    </w:p>
    <w:p w14:paraId="6B2AAA13">
      <w:pPr>
        <w:spacing w:line="360" w:lineRule="auto"/>
        <w:ind w:firstLine="480" w:firstLineChars="200"/>
        <w:rPr>
          <w:b/>
          <w:color w:val="auto"/>
          <w:sz w:val="32"/>
        </w:rPr>
      </w:pPr>
      <w:r>
        <w:rPr>
          <w:rFonts w:hint="eastAsia" w:ascii="仿宋" w:hAnsi="仿宋" w:eastAsia="仿宋" w:cs="仿宋"/>
          <w:b w:val="0"/>
          <w:bCs/>
          <w:color w:val="auto"/>
          <w:sz w:val="24"/>
          <w:szCs w:val="24"/>
          <w:lang w:val="en-US"/>
        </w:rPr>
        <w:t>投标供应商应在投标截止时间前</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highlight w:val="yellow"/>
          <w:lang w:val="en-US" w:eastAsia="zh-CN"/>
        </w:rPr>
        <w:t>2025年5月12日09:30:00前</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lang w:val="en-US"/>
        </w:rPr>
        <w:t>，按照投标样品清单要求,将投标样品递交至</w:t>
      </w:r>
      <w:r>
        <w:rPr>
          <w:rFonts w:hint="eastAsia" w:ascii="仿宋" w:hAnsi="仿宋" w:eastAsia="仿宋" w:cs="仿宋"/>
          <w:b w:val="0"/>
          <w:bCs/>
          <w:color w:val="auto"/>
          <w:sz w:val="24"/>
          <w:szCs w:val="24"/>
          <w:u w:val="single"/>
          <w:lang w:val="en-US" w:eastAsia="zh-CN"/>
        </w:rPr>
        <w:t>龙港市政务服务中心四楼</w:t>
      </w:r>
      <w:r>
        <w:rPr>
          <w:rFonts w:hint="eastAsia" w:ascii="仿宋" w:hAnsi="仿宋" w:eastAsia="仿宋" w:cs="仿宋"/>
          <w:b w:val="0"/>
          <w:bCs/>
          <w:color w:val="auto"/>
          <w:sz w:val="24"/>
          <w:szCs w:val="24"/>
          <w:u w:val="single"/>
          <w:lang w:val="en-US"/>
        </w:rPr>
        <w:t>评标区（联系人：</w:t>
      </w:r>
      <w:r>
        <w:rPr>
          <w:rFonts w:hint="eastAsia" w:ascii="仿宋" w:hAnsi="仿宋" w:eastAsia="仿宋" w:cs="仿宋"/>
          <w:b w:val="0"/>
          <w:bCs/>
          <w:color w:val="auto"/>
          <w:sz w:val="24"/>
          <w:szCs w:val="24"/>
          <w:u w:val="single"/>
          <w:lang w:val="en-US" w:eastAsia="zh-CN"/>
        </w:rPr>
        <w:t>黄先生</w:t>
      </w:r>
      <w:r>
        <w:rPr>
          <w:rFonts w:hint="eastAsia" w:ascii="仿宋" w:hAnsi="仿宋" w:eastAsia="仿宋" w:cs="仿宋"/>
          <w:b w:val="0"/>
          <w:bCs/>
          <w:color w:val="auto"/>
          <w:sz w:val="24"/>
          <w:szCs w:val="24"/>
          <w:u w:val="single"/>
          <w:lang w:val="en-US"/>
        </w:rPr>
        <w:t xml:space="preserve"> </w:t>
      </w:r>
      <w:r>
        <w:rPr>
          <w:rFonts w:hint="eastAsia" w:ascii="仿宋" w:hAnsi="仿宋" w:eastAsia="仿宋" w:cs="仿宋"/>
          <w:b w:val="0"/>
          <w:bCs/>
          <w:color w:val="auto"/>
          <w:sz w:val="24"/>
          <w:szCs w:val="24"/>
          <w:u w:val="single"/>
          <w:lang w:val="en-US" w:eastAsia="zh-CN"/>
        </w:rPr>
        <w:t>18267891565</w:t>
      </w:r>
      <w:r>
        <w:rPr>
          <w:rFonts w:hint="eastAsia" w:ascii="仿宋" w:hAnsi="仿宋" w:eastAsia="仿宋" w:cs="仿宋"/>
          <w:b w:val="0"/>
          <w:bCs/>
          <w:color w:val="auto"/>
          <w:sz w:val="24"/>
          <w:szCs w:val="24"/>
          <w:u w:val="single"/>
          <w:lang w:val="en-US"/>
        </w:rPr>
        <w:t>）</w:t>
      </w:r>
      <w:r>
        <w:rPr>
          <w:rFonts w:hint="eastAsia" w:ascii="仿宋" w:hAnsi="仿宋" w:eastAsia="仿宋" w:cs="仿宋"/>
          <w:b w:val="0"/>
          <w:bCs/>
          <w:color w:val="auto"/>
          <w:sz w:val="24"/>
          <w:szCs w:val="24"/>
          <w:lang w:val="en-US"/>
        </w:rPr>
        <w:t>，否则视为未递交。</w:t>
      </w:r>
    </w:p>
    <w:p w14:paraId="06AA7135">
      <w:pPr>
        <w:spacing w:line="360" w:lineRule="auto"/>
        <w:ind w:firstLine="562" w:firstLineChars="200"/>
        <w:rPr>
          <w:rFonts w:ascii="仿宋" w:hAnsi="仿宋" w:eastAsia="仿宋" w:cs="仿宋"/>
          <w:b/>
          <w:color w:val="auto"/>
          <w:sz w:val="28"/>
          <w:szCs w:val="28"/>
          <w:lang w:val="en-US"/>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lang w:val="en-US"/>
        </w:rPr>
        <w:t>.3 投标样品的标识</w:t>
      </w:r>
    </w:p>
    <w:p w14:paraId="63613A1E">
      <w:pPr>
        <w:spacing w:line="360" w:lineRule="auto"/>
        <w:ind w:firstLine="480" w:firstLineChars="200"/>
        <w:rPr>
          <w:rFonts w:ascii="仿宋" w:hAnsi="仿宋" w:eastAsia="仿宋" w:cs="仿宋"/>
          <w:b/>
          <w:color w:val="auto"/>
          <w:sz w:val="24"/>
          <w:szCs w:val="24"/>
          <w:lang w:val="en-US"/>
        </w:rPr>
      </w:pPr>
      <w:r>
        <w:rPr>
          <w:rFonts w:hint="eastAsia" w:ascii="仿宋" w:hAnsi="仿宋" w:eastAsia="仿宋" w:cs="仿宋"/>
          <w:b w:val="0"/>
          <w:bCs/>
          <w:color w:val="auto"/>
          <w:sz w:val="24"/>
          <w:szCs w:val="24"/>
          <w:lang w:val="en-US"/>
        </w:rPr>
        <w:t>投标样品上应标明投标供应商名称，并加盖投标供应商公章，否则因此造成的错评、漏评评标委员会概不负责。</w:t>
      </w:r>
    </w:p>
    <w:p w14:paraId="65A17040">
      <w:pPr>
        <w:spacing w:line="360" w:lineRule="auto"/>
        <w:ind w:firstLine="562" w:firstLineChars="200"/>
        <w:rPr>
          <w:rFonts w:ascii="仿宋" w:hAnsi="仿宋" w:eastAsia="仿宋" w:cs="仿宋"/>
          <w:b/>
          <w:color w:val="auto"/>
          <w:sz w:val="28"/>
          <w:szCs w:val="28"/>
          <w:lang w:val="en-US"/>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lang w:val="en-US"/>
        </w:rPr>
        <w:t>.4 投标样品封存与退还</w:t>
      </w:r>
    </w:p>
    <w:p w14:paraId="637F712F">
      <w:pPr>
        <w:spacing w:line="360" w:lineRule="auto"/>
        <w:ind w:firstLine="480" w:firstLineChars="200"/>
        <w:rPr>
          <w:rFonts w:hint="eastAsia" w:ascii="仿宋" w:hAnsi="仿宋" w:eastAsia="仿宋" w:cs="仿宋"/>
          <w:b w:val="0"/>
          <w:bCs/>
          <w:color w:val="auto"/>
          <w:sz w:val="24"/>
          <w:szCs w:val="24"/>
          <w:lang w:val="en-US"/>
        </w:rPr>
      </w:pPr>
      <w:r>
        <w:rPr>
          <w:rFonts w:hint="eastAsia" w:ascii="仿宋" w:hAnsi="仿宋" w:eastAsia="仿宋" w:cs="仿宋"/>
          <w:b w:val="0"/>
          <w:bCs/>
          <w:color w:val="auto"/>
          <w:sz w:val="24"/>
          <w:szCs w:val="24"/>
          <w:lang w:val="en-US"/>
        </w:rPr>
        <w:t>中标供应商的投标样品由采购人封存，作为合同验收的依据之一，未中标的供应商的投标样品在评审结束后 1 小时内由各供应商自行取回，否则采购组织机构有权自行处理。</w:t>
      </w:r>
    </w:p>
    <w:p w14:paraId="0D769443">
      <w:pPr>
        <w:spacing w:line="360" w:lineRule="auto"/>
        <w:ind w:firstLine="723" w:firstLineChars="200"/>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4DD7CEEA">
      <w:pPr>
        <w:pStyle w:val="3"/>
        <w:rPr>
          <w:rFonts w:hint="eastAsia"/>
          <w:color w:val="auto"/>
        </w:rPr>
      </w:pPr>
    </w:p>
    <w:p w14:paraId="3160B5ED">
      <w:pPr>
        <w:jc w:val="center"/>
        <w:outlineLvl w:val="0"/>
        <w:rPr>
          <w:rFonts w:hint="eastAsia" w:ascii="仿宋" w:hAnsi="仿宋" w:eastAsia="仿宋" w:cs="仿宋"/>
          <w:b/>
          <w:bCs/>
          <w:color w:val="auto"/>
          <w:sz w:val="36"/>
          <w:szCs w:val="36"/>
        </w:rPr>
      </w:pPr>
      <w:bookmarkStart w:id="202" w:name="_Toc457"/>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val="en-US" w:eastAsia="zh-CN"/>
        </w:rPr>
        <w:t>四</w:t>
      </w:r>
      <w:r>
        <w:rPr>
          <w:rFonts w:hint="eastAsia" w:ascii="仿宋" w:hAnsi="仿宋" w:eastAsia="仿宋" w:cs="仿宋"/>
          <w:b/>
          <w:bCs/>
          <w:color w:val="auto"/>
          <w:sz w:val="36"/>
          <w:szCs w:val="36"/>
        </w:rPr>
        <w:t>章</w:t>
      </w:r>
      <w:r>
        <w:rPr>
          <w:rFonts w:hint="eastAsia" w:ascii="仿宋" w:hAnsi="仿宋" w:eastAsia="仿宋" w:cs="仿宋"/>
          <w:b/>
          <w:bCs/>
          <w:color w:val="auto"/>
          <w:sz w:val="36"/>
          <w:szCs w:val="36"/>
          <w:lang w:val="en-US"/>
        </w:rPr>
        <w:t xml:space="preserve"> </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评标办法及评标标准</w:t>
      </w:r>
      <w:bookmarkEnd w:id="186"/>
      <w:bookmarkEnd w:id="202"/>
    </w:p>
    <w:tbl>
      <w:tblPr>
        <w:tblStyle w:val="26"/>
        <w:tblpPr w:leftFromText="180" w:rightFromText="180" w:vertAnchor="text" w:horzAnchor="page" w:tblpX="1184" w:tblpY="599"/>
        <w:tblOverlap w:val="never"/>
        <w:tblW w:w="967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16"/>
        <w:gridCol w:w="1704"/>
        <w:gridCol w:w="765"/>
        <w:gridCol w:w="6290"/>
      </w:tblGrid>
      <w:tr w14:paraId="6BF266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567" w:hRule="atLeast"/>
        </w:trPr>
        <w:tc>
          <w:tcPr>
            <w:tcW w:w="9675" w:type="dxa"/>
            <w:gridSpan w:val="4"/>
            <w:tcBorders>
              <w:tl2br w:val="nil"/>
              <w:tr2bl w:val="nil"/>
            </w:tcBorders>
            <w:shd w:val="clear" w:color="auto" w:fill="B6DDE8" w:themeFill="accent5" w:themeFillTint="66"/>
            <w:noWrap w:val="0"/>
            <w:vAlign w:val="center"/>
          </w:tcPr>
          <w:p w14:paraId="30D3E92B">
            <w:pPr>
              <w:snapToGrid w:val="0"/>
              <w:spacing w:line="240" w:lineRule="auto"/>
              <w:jc w:val="center"/>
              <w:rPr>
                <w:rFonts w:hint="default" w:ascii="仿宋" w:hAnsi="仿宋" w:eastAsia="仿宋" w:cs="仿宋"/>
                <w:b/>
                <w:bCs/>
                <w:color w:val="auto"/>
                <w:spacing w:val="0"/>
                <w:position w:val="0"/>
                <w:sz w:val="28"/>
                <w:szCs w:val="28"/>
                <w:highlight w:val="none"/>
                <w:shd w:val="clear" w:fill="B6DDE8" w:themeFill="accent5" w:themeFillTint="66"/>
                <w:lang w:val="en-US" w:eastAsia="zh-CN"/>
              </w:rPr>
            </w:pPr>
            <w:r>
              <w:rPr>
                <w:rFonts w:hint="eastAsia" w:ascii="仿宋" w:hAnsi="仿宋" w:eastAsia="仿宋" w:cs="仿宋"/>
                <w:b/>
                <w:bCs/>
                <w:color w:val="auto"/>
                <w:spacing w:val="0"/>
                <w:position w:val="0"/>
                <w:sz w:val="28"/>
                <w:szCs w:val="28"/>
                <w:highlight w:val="none"/>
                <w:shd w:val="clear" w:fill="B6DDE8" w:themeFill="accent5" w:themeFillTint="66"/>
                <w:lang w:val="en-US" w:eastAsia="zh-CN"/>
              </w:rPr>
              <w:t>评标办法前附表</w:t>
            </w:r>
          </w:p>
        </w:tc>
      </w:tr>
      <w:tr w14:paraId="2F89F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567" w:hRule="atLeast"/>
        </w:trPr>
        <w:tc>
          <w:tcPr>
            <w:tcW w:w="9675" w:type="dxa"/>
            <w:gridSpan w:val="4"/>
            <w:tcBorders>
              <w:tl2br w:val="nil"/>
              <w:tr2bl w:val="nil"/>
            </w:tcBorders>
            <w:shd w:val="clear" w:color="auto" w:fill="auto"/>
            <w:noWrap w:val="0"/>
            <w:vAlign w:val="center"/>
          </w:tcPr>
          <w:p w14:paraId="3B335134">
            <w:pPr>
              <w:snapToGrid w:val="0"/>
              <w:spacing w:line="240" w:lineRule="auto"/>
              <w:jc w:val="left"/>
              <w:rPr>
                <w:rFonts w:hint="eastAsia" w:ascii="仿宋" w:hAnsi="仿宋" w:eastAsia="仿宋" w:cs="仿宋"/>
                <w:b/>
                <w:bCs/>
                <w:color w:val="auto"/>
                <w:spacing w:val="0"/>
                <w:position w:val="0"/>
                <w:sz w:val="22"/>
                <w:szCs w:val="22"/>
                <w:highlight w:val="none"/>
                <w:lang w:val="en-US" w:eastAsia="zh-CN"/>
              </w:rPr>
            </w:pPr>
            <w:r>
              <w:rPr>
                <w:rFonts w:hint="eastAsia" w:ascii="仿宋" w:hAnsi="仿宋" w:eastAsia="仿宋" w:cs="仿宋"/>
                <w:b/>
                <w:bCs/>
                <w:color w:val="auto"/>
                <w:spacing w:val="0"/>
                <w:position w:val="0"/>
                <w:sz w:val="24"/>
                <w:szCs w:val="24"/>
                <w:highlight w:val="none"/>
                <w:shd w:val="clear"/>
                <w:lang w:val="en-US" w:eastAsia="zh-CN"/>
              </w:rPr>
              <w:t>（一）技术资信分（满分70分）</w:t>
            </w:r>
          </w:p>
        </w:tc>
      </w:tr>
      <w:tr w14:paraId="2059B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489" w:hRule="atLeast"/>
        </w:trPr>
        <w:tc>
          <w:tcPr>
            <w:tcW w:w="916" w:type="dxa"/>
            <w:tcBorders>
              <w:tl2br w:val="nil"/>
              <w:tr2bl w:val="nil"/>
            </w:tcBorders>
            <w:noWrap w:val="0"/>
            <w:vAlign w:val="center"/>
          </w:tcPr>
          <w:p w14:paraId="1E26186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color w:val="auto"/>
                <w:spacing w:val="0"/>
                <w:position w:val="0"/>
                <w:sz w:val="22"/>
                <w:szCs w:val="22"/>
                <w:highlight w:val="none"/>
              </w:rPr>
            </w:pPr>
            <w:r>
              <w:rPr>
                <w:rFonts w:hint="eastAsia" w:ascii="仿宋" w:hAnsi="仿宋" w:eastAsia="仿宋" w:cs="仿宋"/>
                <w:b/>
                <w:bCs/>
                <w:color w:val="auto"/>
                <w:spacing w:val="0"/>
                <w:position w:val="0"/>
                <w:sz w:val="22"/>
                <w:szCs w:val="22"/>
                <w:highlight w:val="none"/>
              </w:rPr>
              <w:t>序号</w:t>
            </w:r>
          </w:p>
        </w:tc>
        <w:tc>
          <w:tcPr>
            <w:tcW w:w="1704" w:type="dxa"/>
            <w:tcBorders>
              <w:tl2br w:val="nil"/>
              <w:tr2bl w:val="nil"/>
            </w:tcBorders>
            <w:noWrap w:val="0"/>
            <w:vAlign w:val="center"/>
          </w:tcPr>
          <w:p w14:paraId="236A479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color w:val="auto"/>
                <w:spacing w:val="0"/>
                <w:position w:val="0"/>
                <w:sz w:val="22"/>
                <w:szCs w:val="22"/>
                <w:highlight w:val="none"/>
              </w:rPr>
            </w:pPr>
            <w:r>
              <w:rPr>
                <w:rFonts w:hint="eastAsia" w:ascii="仿宋" w:hAnsi="仿宋" w:eastAsia="仿宋" w:cs="仿宋"/>
                <w:b/>
                <w:bCs/>
                <w:color w:val="auto"/>
                <w:spacing w:val="0"/>
                <w:position w:val="0"/>
                <w:sz w:val="22"/>
                <w:szCs w:val="22"/>
                <w:highlight w:val="none"/>
              </w:rPr>
              <w:t>评分内容</w:t>
            </w:r>
          </w:p>
        </w:tc>
        <w:tc>
          <w:tcPr>
            <w:tcW w:w="765" w:type="dxa"/>
            <w:tcBorders>
              <w:tl2br w:val="nil"/>
              <w:tr2bl w:val="nil"/>
            </w:tcBorders>
            <w:noWrap w:val="0"/>
            <w:vAlign w:val="center"/>
          </w:tcPr>
          <w:p w14:paraId="55183EC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color w:val="auto"/>
                <w:spacing w:val="0"/>
                <w:position w:val="0"/>
                <w:sz w:val="22"/>
                <w:szCs w:val="22"/>
                <w:highlight w:val="none"/>
              </w:rPr>
            </w:pPr>
            <w:r>
              <w:rPr>
                <w:rFonts w:hint="eastAsia" w:ascii="仿宋" w:hAnsi="仿宋" w:eastAsia="仿宋" w:cs="仿宋"/>
                <w:b/>
                <w:bCs/>
                <w:color w:val="auto"/>
                <w:spacing w:val="0"/>
                <w:position w:val="0"/>
                <w:sz w:val="22"/>
                <w:szCs w:val="22"/>
                <w:highlight w:val="none"/>
              </w:rPr>
              <w:t>分值</w:t>
            </w:r>
          </w:p>
        </w:tc>
        <w:tc>
          <w:tcPr>
            <w:tcW w:w="6290" w:type="dxa"/>
            <w:tcBorders>
              <w:tl2br w:val="nil"/>
              <w:tr2bl w:val="nil"/>
            </w:tcBorders>
            <w:noWrap w:val="0"/>
            <w:vAlign w:val="center"/>
          </w:tcPr>
          <w:p w14:paraId="1042381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color w:val="auto"/>
                <w:spacing w:val="0"/>
                <w:position w:val="0"/>
                <w:sz w:val="22"/>
                <w:szCs w:val="22"/>
                <w:highlight w:val="none"/>
                <w:lang w:val="en-US" w:eastAsia="zh-CN"/>
              </w:rPr>
            </w:pPr>
            <w:r>
              <w:rPr>
                <w:rFonts w:hint="eastAsia" w:ascii="仿宋" w:hAnsi="仿宋" w:eastAsia="仿宋" w:cs="仿宋"/>
                <w:b/>
                <w:bCs/>
                <w:color w:val="auto"/>
                <w:spacing w:val="0"/>
                <w:position w:val="0"/>
                <w:sz w:val="22"/>
                <w:szCs w:val="22"/>
                <w:highlight w:val="none"/>
                <w:lang w:val="en-US" w:eastAsia="zh-CN"/>
              </w:rPr>
              <w:t>评分细则</w:t>
            </w:r>
          </w:p>
        </w:tc>
      </w:tr>
      <w:tr w14:paraId="600BF1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2127" w:hRule="atLeast"/>
        </w:trPr>
        <w:tc>
          <w:tcPr>
            <w:tcW w:w="916" w:type="dxa"/>
            <w:tcBorders>
              <w:tl2br w:val="nil"/>
              <w:tr2bl w:val="nil"/>
            </w:tcBorders>
            <w:noWrap w:val="0"/>
            <w:vAlign w:val="center"/>
          </w:tcPr>
          <w:p w14:paraId="4C368F4B">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仿宋" w:hAnsi="仿宋" w:eastAsia="仿宋" w:cs="仿宋"/>
                <w:b/>
                <w:bCs/>
                <w:color w:val="auto"/>
                <w:spacing w:val="0"/>
                <w:position w:val="0"/>
                <w:sz w:val="22"/>
                <w:szCs w:val="22"/>
                <w:highlight w:val="none"/>
                <w:lang w:eastAsia="zh-CN"/>
              </w:rPr>
            </w:pPr>
            <w:r>
              <w:rPr>
                <w:rFonts w:hint="eastAsia" w:ascii="仿宋" w:hAnsi="仿宋" w:eastAsia="仿宋" w:cs="仿宋"/>
                <w:i w:val="0"/>
                <w:iCs w:val="0"/>
                <w:color w:val="auto"/>
                <w:spacing w:val="0"/>
                <w:kern w:val="0"/>
                <w:position w:val="0"/>
                <w:sz w:val="22"/>
                <w:szCs w:val="22"/>
                <w:highlight w:val="none"/>
                <w:u w:val="none"/>
                <w:lang w:val="en-US" w:eastAsia="zh-CN" w:bidi="ar"/>
              </w:rPr>
              <w:t>1</w:t>
            </w:r>
          </w:p>
        </w:tc>
        <w:tc>
          <w:tcPr>
            <w:tcW w:w="1704" w:type="dxa"/>
            <w:tcBorders>
              <w:tl2br w:val="nil"/>
              <w:tr2bl w:val="nil"/>
            </w:tcBorders>
            <w:noWrap w:val="0"/>
            <w:vAlign w:val="center"/>
          </w:tcPr>
          <w:p w14:paraId="769C33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rPr>
              <w:t>投标</w:t>
            </w:r>
            <w:r>
              <w:rPr>
                <w:rFonts w:hint="eastAsia" w:ascii="仿宋" w:hAnsi="仿宋" w:eastAsia="仿宋" w:cs="仿宋"/>
                <w:b w:val="0"/>
                <w:bCs w:val="0"/>
                <w:color w:val="auto"/>
                <w:spacing w:val="0"/>
                <w:position w:val="0"/>
                <w:sz w:val="22"/>
                <w:szCs w:val="22"/>
                <w:highlight w:val="none"/>
                <w:lang w:val="en-US" w:eastAsia="zh-CN"/>
              </w:rPr>
              <w:t>单位综合实力</w:t>
            </w:r>
          </w:p>
        </w:tc>
        <w:tc>
          <w:tcPr>
            <w:tcW w:w="765" w:type="dxa"/>
            <w:tcBorders>
              <w:tl2br w:val="nil"/>
              <w:tr2bl w:val="nil"/>
            </w:tcBorders>
            <w:noWrap w:val="0"/>
            <w:vAlign w:val="center"/>
          </w:tcPr>
          <w:p w14:paraId="44C88C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lang w:eastAsia="zh-CN"/>
              </w:rPr>
            </w:pPr>
            <w:r>
              <w:rPr>
                <w:rFonts w:hint="eastAsia" w:ascii="仿宋" w:hAnsi="仿宋" w:eastAsia="仿宋" w:cs="仿宋"/>
                <w:b w:val="0"/>
                <w:bCs w:val="0"/>
                <w:color w:val="auto"/>
                <w:spacing w:val="0"/>
                <w:position w:val="0"/>
                <w:sz w:val="22"/>
                <w:szCs w:val="22"/>
                <w:highlight w:val="none"/>
              </w:rPr>
              <w:t>0-</w:t>
            </w:r>
            <w:r>
              <w:rPr>
                <w:rFonts w:hint="eastAsia" w:ascii="仿宋" w:hAnsi="仿宋" w:eastAsia="仿宋" w:cs="仿宋"/>
                <w:b w:val="0"/>
                <w:bCs w:val="0"/>
                <w:color w:val="auto"/>
                <w:spacing w:val="0"/>
                <w:position w:val="0"/>
                <w:sz w:val="22"/>
                <w:szCs w:val="22"/>
                <w:highlight w:val="none"/>
                <w:lang w:val="en-US" w:eastAsia="zh-CN"/>
              </w:rPr>
              <w:t>6</w:t>
            </w:r>
          </w:p>
        </w:tc>
        <w:tc>
          <w:tcPr>
            <w:tcW w:w="6290" w:type="dxa"/>
            <w:tcBorders>
              <w:tl2br w:val="nil"/>
              <w:tr2bl w:val="nil"/>
            </w:tcBorders>
            <w:noWrap w:val="0"/>
            <w:vAlign w:val="center"/>
          </w:tcPr>
          <w:p w14:paraId="78A271DE">
            <w:pPr>
              <w:keepNext w:val="0"/>
              <w:keepLines w:val="0"/>
              <w:pageBreakBefore w:val="0"/>
              <w:widowControl w:val="0"/>
              <w:kinsoku/>
              <w:wordWrap w:val="0"/>
              <w:overflowPunct/>
              <w:topLinePunct w:val="0"/>
              <w:autoSpaceDE/>
              <w:autoSpaceDN/>
              <w:bidi w:val="0"/>
              <w:adjustRightInd/>
              <w:snapToGrid/>
              <w:spacing w:line="340" w:lineRule="exact"/>
              <w:textAlignment w:val="auto"/>
              <w:rPr>
                <w:rFonts w:hint="eastAsia" w:ascii="仿宋" w:hAnsi="仿宋" w:eastAsia="仿宋" w:cs="仿宋"/>
                <w:b w:val="0"/>
                <w:bCs w:val="0"/>
                <w:color w:val="auto"/>
                <w:spacing w:val="0"/>
                <w:position w:val="0"/>
                <w:sz w:val="22"/>
                <w:szCs w:val="22"/>
                <w:highlight w:val="none"/>
              </w:rPr>
            </w:pPr>
            <w:r>
              <w:rPr>
                <w:rFonts w:hint="eastAsia" w:ascii="仿宋" w:hAnsi="仿宋" w:eastAsia="仿宋" w:cs="仿宋"/>
                <w:b w:val="0"/>
                <w:bCs w:val="0"/>
                <w:color w:val="auto"/>
                <w:spacing w:val="0"/>
                <w:position w:val="0"/>
                <w:sz w:val="22"/>
                <w:szCs w:val="22"/>
                <w:highlight w:val="none"/>
              </w:rPr>
              <w:t>投标人</w:t>
            </w:r>
            <w:r>
              <w:rPr>
                <w:rFonts w:hint="eastAsia" w:ascii="仿宋" w:hAnsi="仿宋" w:eastAsia="仿宋" w:cs="仿宋"/>
                <w:b w:val="0"/>
                <w:bCs w:val="0"/>
                <w:color w:val="auto"/>
                <w:spacing w:val="0"/>
                <w:position w:val="0"/>
                <w:sz w:val="22"/>
                <w:szCs w:val="22"/>
                <w:highlight w:val="none"/>
                <w:lang w:eastAsia="zh-CN"/>
              </w:rPr>
              <w:t>具有</w:t>
            </w:r>
            <w:r>
              <w:rPr>
                <w:rFonts w:hint="eastAsia" w:ascii="仿宋" w:hAnsi="仿宋" w:eastAsia="仿宋" w:cs="仿宋"/>
                <w:b w:val="0"/>
                <w:bCs w:val="0"/>
                <w:color w:val="auto"/>
                <w:spacing w:val="0"/>
                <w:position w:val="0"/>
                <w:sz w:val="22"/>
                <w:szCs w:val="22"/>
                <w:highlight w:val="none"/>
              </w:rPr>
              <w:t>有效期内的质量管理体系认证</w:t>
            </w:r>
            <w:r>
              <w:rPr>
                <w:rFonts w:hint="eastAsia" w:ascii="仿宋" w:hAnsi="仿宋" w:eastAsia="仿宋" w:cs="仿宋"/>
                <w:b w:val="0"/>
                <w:bCs w:val="0"/>
                <w:color w:val="auto"/>
                <w:spacing w:val="0"/>
                <w:position w:val="0"/>
                <w:sz w:val="22"/>
                <w:szCs w:val="22"/>
                <w:highlight w:val="none"/>
                <w:lang w:eastAsia="zh-CN"/>
              </w:rPr>
              <w:t>证书</w:t>
            </w:r>
            <w:r>
              <w:rPr>
                <w:rFonts w:hint="eastAsia" w:ascii="仿宋" w:hAnsi="仿宋" w:eastAsia="仿宋" w:cs="仿宋"/>
                <w:b w:val="0"/>
                <w:bCs w:val="0"/>
                <w:color w:val="auto"/>
                <w:spacing w:val="0"/>
                <w:position w:val="0"/>
                <w:sz w:val="22"/>
                <w:szCs w:val="22"/>
                <w:highlight w:val="none"/>
              </w:rPr>
              <w:t>、环境管理体系认证</w:t>
            </w:r>
            <w:r>
              <w:rPr>
                <w:rFonts w:hint="eastAsia" w:ascii="仿宋" w:hAnsi="仿宋" w:eastAsia="仿宋" w:cs="仿宋"/>
                <w:b w:val="0"/>
                <w:bCs w:val="0"/>
                <w:color w:val="auto"/>
                <w:spacing w:val="0"/>
                <w:position w:val="0"/>
                <w:sz w:val="22"/>
                <w:szCs w:val="22"/>
                <w:highlight w:val="none"/>
                <w:lang w:eastAsia="zh-CN"/>
              </w:rPr>
              <w:t>证书</w:t>
            </w:r>
            <w:r>
              <w:rPr>
                <w:rFonts w:hint="eastAsia" w:ascii="仿宋" w:hAnsi="仿宋" w:eastAsia="仿宋" w:cs="仿宋"/>
                <w:b w:val="0"/>
                <w:bCs w:val="0"/>
                <w:color w:val="auto"/>
                <w:spacing w:val="0"/>
                <w:position w:val="0"/>
                <w:sz w:val="22"/>
                <w:szCs w:val="22"/>
                <w:highlight w:val="none"/>
              </w:rPr>
              <w:t>、职业健康安全管理体系认证</w:t>
            </w:r>
            <w:r>
              <w:rPr>
                <w:rFonts w:hint="eastAsia" w:ascii="仿宋" w:hAnsi="仿宋" w:eastAsia="仿宋" w:cs="仿宋"/>
                <w:b w:val="0"/>
                <w:bCs w:val="0"/>
                <w:color w:val="auto"/>
                <w:spacing w:val="0"/>
                <w:position w:val="0"/>
                <w:sz w:val="22"/>
                <w:szCs w:val="22"/>
                <w:highlight w:val="none"/>
                <w:lang w:eastAsia="zh-CN"/>
              </w:rPr>
              <w:t>证书的</w:t>
            </w:r>
            <w:r>
              <w:rPr>
                <w:rFonts w:hint="eastAsia" w:ascii="仿宋" w:hAnsi="仿宋" w:eastAsia="仿宋" w:cs="仿宋"/>
                <w:b w:val="0"/>
                <w:bCs w:val="0"/>
                <w:color w:val="auto"/>
                <w:spacing w:val="0"/>
                <w:position w:val="0"/>
                <w:sz w:val="22"/>
                <w:szCs w:val="22"/>
                <w:highlight w:val="none"/>
                <w:lang w:val="en-US" w:eastAsia="zh-CN"/>
              </w:rPr>
              <w:t>，</w:t>
            </w:r>
            <w:r>
              <w:rPr>
                <w:rFonts w:hint="eastAsia" w:ascii="仿宋" w:hAnsi="仿宋" w:eastAsia="仿宋" w:cs="仿宋"/>
                <w:b w:val="0"/>
                <w:bCs w:val="0"/>
                <w:color w:val="auto"/>
                <w:spacing w:val="0"/>
                <w:position w:val="0"/>
                <w:sz w:val="22"/>
                <w:szCs w:val="22"/>
                <w:highlight w:val="none"/>
              </w:rPr>
              <w:t>每提供一个得</w:t>
            </w:r>
            <w:r>
              <w:rPr>
                <w:rFonts w:hint="eastAsia" w:ascii="仿宋" w:hAnsi="仿宋" w:eastAsia="仿宋" w:cs="仿宋"/>
                <w:b w:val="0"/>
                <w:bCs w:val="0"/>
                <w:color w:val="auto"/>
                <w:spacing w:val="0"/>
                <w:position w:val="0"/>
                <w:sz w:val="22"/>
                <w:szCs w:val="22"/>
                <w:highlight w:val="none"/>
                <w:lang w:val="en-US" w:eastAsia="zh-CN"/>
              </w:rPr>
              <w:t>2</w:t>
            </w:r>
            <w:r>
              <w:rPr>
                <w:rFonts w:hint="eastAsia" w:ascii="仿宋" w:hAnsi="仿宋" w:eastAsia="仿宋" w:cs="仿宋"/>
                <w:b w:val="0"/>
                <w:bCs w:val="0"/>
                <w:color w:val="auto"/>
                <w:spacing w:val="0"/>
                <w:position w:val="0"/>
                <w:sz w:val="22"/>
                <w:szCs w:val="22"/>
                <w:highlight w:val="none"/>
              </w:rPr>
              <w:t>分，最高</w:t>
            </w:r>
            <w:r>
              <w:rPr>
                <w:rFonts w:hint="eastAsia" w:ascii="仿宋" w:hAnsi="仿宋" w:eastAsia="仿宋" w:cs="仿宋"/>
                <w:b w:val="0"/>
                <w:bCs w:val="0"/>
                <w:color w:val="auto"/>
                <w:spacing w:val="0"/>
                <w:position w:val="0"/>
                <w:sz w:val="22"/>
                <w:szCs w:val="22"/>
                <w:highlight w:val="none"/>
                <w:lang w:eastAsia="zh-CN"/>
              </w:rPr>
              <w:t>得</w:t>
            </w:r>
            <w:r>
              <w:rPr>
                <w:rFonts w:hint="eastAsia" w:ascii="仿宋" w:hAnsi="仿宋" w:eastAsia="仿宋" w:cs="仿宋"/>
                <w:b w:val="0"/>
                <w:bCs w:val="0"/>
                <w:color w:val="auto"/>
                <w:spacing w:val="0"/>
                <w:position w:val="0"/>
                <w:sz w:val="22"/>
                <w:szCs w:val="22"/>
                <w:highlight w:val="none"/>
                <w:lang w:val="en-US" w:eastAsia="zh-CN"/>
              </w:rPr>
              <w:t>6</w:t>
            </w:r>
            <w:r>
              <w:rPr>
                <w:rFonts w:hint="eastAsia" w:ascii="仿宋" w:hAnsi="仿宋" w:eastAsia="仿宋" w:cs="仿宋"/>
                <w:b w:val="0"/>
                <w:bCs w:val="0"/>
                <w:color w:val="auto"/>
                <w:spacing w:val="0"/>
                <w:position w:val="0"/>
                <w:sz w:val="22"/>
                <w:szCs w:val="22"/>
                <w:highlight w:val="none"/>
              </w:rPr>
              <w:t>分。</w:t>
            </w:r>
          </w:p>
          <w:p w14:paraId="68F6C4D6">
            <w:pPr>
              <w:keepNext w:val="0"/>
              <w:keepLines w:val="0"/>
              <w:pageBreakBefore w:val="0"/>
              <w:widowControl w:val="0"/>
              <w:kinsoku/>
              <w:wordWrap w:val="0"/>
              <w:overflowPunct/>
              <w:topLinePunct w:val="0"/>
              <w:autoSpaceDE/>
              <w:autoSpaceDN/>
              <w:bidi w:val="0"/>
              <w:adjustRightInd/>
              <w:snapToGrid/>
              <w:spacing w:line="340" w:lineRule="exact"/>
              <w:textAlignment w:val="auto"/>
              <w:rPr>
                <w:rFonts w:hint="eastAsia" w:ascii="仿宋" w:hAnsi="仿宋" w:eastAsia="仿宋" w:cs="仿宋"/>
                <w:bCs/>
                <w:color w:val="auto"/>
                <w:spacing w:val="0"/>
                <w:kern w:val="28"/>
                <w:position w:val="0"/>
                <w:sz w:val="22"/>
                <w:szCs w:val="22"/>
                <w:highlight w:val="none"/>
              </w:rPr>
            </w:pPr>
            <w:r>
              <w:rPr>
                <w:rFonts w:hint="eastAsia" w:ascii="仿宋" w:hAnsi="仿宋" w:eastAsia="仿宋" w:cs="仿宋"/>
                <w:b w:val="0"/>
                <w:bCs w:val="0"/>
                <w:color w:val="auto"/>
                <w:spacing w:val="0"/>
                <w:position w:val="0"/>
                <w:sz w:val="22"/>
                <w:szCs w:val="22"/>
                <w:highlight w:val="none"/>
              </w:rPr>
              <w:t>注：提供证书</w:t>
            </w:r>
            <w:r>
              <w:rPr>
                <w:rFonts w:hint="eastAsia" w:ascii="仿宋" w:hAnsi="仿宋" w:eastAsia="仿宋" w:cs="仿宋"/>
                <w:b w:val="0"/>
                <w:bCs w:val="0"/>
                <w:color w:val="auto"/>
                <w:spacing w:val="0"/>
                <w:position w:val="0"/>
                <w:sz w:val="22"/>
                <w:szCs w:val="22"/>
                <w:highlight w:val="none"/>
                <w:lang w:eastAsia="zh-CN"/>
              </w:rPr>
              <w:t>扫描</w:t>
            </w:r>
            <w:r>
              <w:rPr>
                <w:rFonts w:hint="eastAsia" w:ascii="仿宋" w:hAnsi="仿宋" w:eastAsia="仿宋" w:cs="仿宋"/>
                <w:b w:val="0"/>
                <w:bCs w:val="0"/>
                <w:color w:val="auto"/>
                <w:spacing w:val="0"/>
                <w:position w:val="0"/>
                <w:sz w:val="22"/>
                <w:szCs w:val="22"/>
                <w:highlight w:val="none"/>
              </w:rPr>
              <w:t>件</w:t>
            </w:r>
            <w:r>
              <w:rPr>
                <w:rFonts w:hint="eastAsia" w:ascii="仿宋" w:hAnsi="仿宋" w:eastAsia="仿宋" w:cs="仿宋"/>
                <w:b w:val="0"/>
                <w:bCs w:val="0"/>
                <w:color w:val="auto"/>
                <w:spacing w:val="0"/>
                <w:position w:val="0"/>
                <w:sz w:val="22"/>
                <w:szCs w:val="22"/>
                <w:highlight w:val="none"/>
                <w:lang w:eastAsia="zh-CN"/>
              </w:rPr>
              <w:t>及</w:t>
            </w:r>
            <w:r>
              <w:rPr>
                <w:rFonts w:hint="eastAsia" w:ascii="仿宋" w:hAnsi="仿宋" w:eastAsia="仿宋" w:cs="仿宋"/>
                <w:b w:val="0"/>
                <w:bCs w:val="0"/>
                <w:color w:val="auto"/>
                <w:spacing w:val="0"/>
                <w:position w:val="0"/>
                <w:sz w:val="22"/>
                <w:szCs w:val="22"/>
                <w:highlight w:val="none"/>
              </w:rPr>
              <w:t>全国认证认可信息公共服务平台(http://cx.cnca.cn) 查询结果为有效状态的截图</w:t>
            </w:r>
            <w:r>
              <w:rPr>
                <w:rFonts w:hint="eastAsia" w:ascii="仿宋" w:hAnsi="仿宋" w:eastAsia="仿宋" w:cs="仿宋"/>
                <w:b w:val="0"/>
                <w:bCs w:val="0"/>
                <w:color w:val="auto"/>
                <w:spacing w:val="0"/>
                <w:position w:val="0"/>
                <w:sz w:val="22"/>
                <w:szCs w:val="22"/>
                <w:highlight w:val="none"/>
                <w:lang w:eastAsia="zh-CN"/>
              </w:rPr>
              <w:t>并加盖公章</w:t>
            </w:r>
            <w:r>
              <w:rPr>
                <w:rFonts w:hint="eastAsia" w:ascii="仿宋" w:hAnsi="仿宋" w:eastAsia="仿宋" w:cs="仿宋"/>
                <w:b w:val="0"/>
                <w:bCs w:val="0"/>
                <w:color w:val="auto"/>
                <w:spacing w:val="0"/>
                <w:position w:val="0"/>
                <w:sz w:val="22"/>
                <w:szCs w:val="22"/>
                <w:highlight w:val="none"/>
              </w:rPr>
              <w:t>，否则得0分。</w:t>
            </w:r>
          </w:p>
        </w:tc>
      </w:tr>
      <w:tr w14:paraId="1F8CE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1399" w:hRule="atLeast"/>
        </w:trPr>
        <w:tc>
          <w:tcPr>
            <w:tcW w:w="916" w:type="dxa"/>
            <w:tcBorders>
              <w:tl2br w:val="nil"/>
              <w:tr2bl w:val="nil"/>
            </w:tcBorders>
            <w:shd w:val="clear" w:color="auto" w:fill="auto"/>
            <w:noWrap w:val="0"/>
            <w:vAlign w:val="center"/>
          </w:tcPr>
          <w:p w14:paraId="58534D3C">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仿宋" w:hAnsi="仿宋" w:eastAsia="仿宋" w:cs="仿宋"/>
                <w:b/>
                <w:bCs/>
                <w:color w:val="auto"/>
                <w:spacing w:val="0"/>
                <w:kern w:val="2"/>
                <w:position w:val="0"/>
                <w:sz w:val="22"/>
                <w:szCs w:val="22"/>
                <w:highlight w:val="none"/>
                <w:lang w:val="en-US" w:eastAsia="zh-CN" w:bidi="ar-SA"/>
              </w:rPr>
            </w:pPr>
            <w:r>
              <w:rPr>
                <w:rFonts w:hint="eastAsia" w:ascii="仿宋" w:hAnsi="仿宋" w:eastAsia="仿宋" w:cs="仿宋"/>
                <w:i w:val="0"/>
                <w:iCs w:val="0"/>
                <w:color w:val="auto"/>
                <w:spacing w:val="0"/>
                <w:kern w:val="0"/>
                <w:position w:val="0"/>
                <w:sz w:val="22"/>
                <w:szCs w:val="22"/>
                <w:highlight w:val="none"/>
                <w:u w:val="none"/>
                <w:lang w:val="en-US" w:eastAsia="zh-CN" w:bidi="ar"/>
              </w:rPr>
              <w:t>2</w:t>
            </w:r>
          </w:p>
        </w:tc>
        <w:tc>
          <w:tcPr>
            <w:tcW w:w="1704" w:type="dxa"/>
            <w:tcBorders>
              <w:tl2br w:val="nil"/>
              <w:tr2bl w:val="nil"/>
            </w:tcBorders>
            <w:shd w:val="clear" w:color="auto" w:fill="auto"/>
            <w:noWrap w:val="0"/>
            <w:vAlign w:val="center"/>
          </w:tcPr>
          <w:p w14:paraId="30DF0C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lang w:val="zh-CN" w:eastAsia="zh-CN" w:bidi="zh-CN"/>
              </w:rPr>
            </w:pPr>
            <w:r>
              <w:rPr>
                <w:rFonts w:hint="eastAsia" w:ascii="仿宋" w:hAnsi="仿宋" w:eastAsia="仿宋" w:cs="仿宋"/>
                <w:b w:val="0"/>
                <w:bCs w:val="0"/>
                <w:color w:val="auto"/>
                <w:spacing w:val="0"/>
                <w:position w:val="0"/>
                <w:sz w:val="22"/>
                <w:szCs w:val="22"/>
                <w:highlight w:val="none"/>
              </w:rPr>
              <w:t>投标人同类</w:t>
            </w:r>
            <w:r>
              <w:rPr>
                <w:rFonts w:hint="eastAsia" w:ascii="仿宋" w:hAnsi="仿宋" w:eastAsia="仿宋" w:cs="仿宋"/>
                <w:b w:val="0"/>
                <w:bCs w:val="0"/>
                <w:color w:val="auto"/>
                <w:spacing w:val="0"/>
                <w:position w:val="0"/>
                <w:sz w:val="22"/>
                <w:szCs w:val="22"/>
                <w:highlight w:val="none"/>
                <w:lang w:val="en-US" w:eastAsia="zh-CN"/>
              </w:rPr>
              <w:t>项目</w:t>
            </w:r>
            <w:r>
              <w:rPr>
                <w:rFonts w:hint="eastAsia" w:ascii="仿宋" w:hAnsi="仿宋" w:eastAsia="仿宋" w:cs="仿宋"/>
                <w:b w:val="0"/>
                <w:bCs w:val="0"/>
                <w:color w:val="auto"/>
                <w:spacing w:val="0"/>
                <w:position w:val="0"/>
                <w:sz w:val="22"/>
                <w:szCs w:val="22"/>
                <w:highlight w:val="none"/>
              </w:rPr>
              <w:t>业绩</w:t>
            </w:r>
          </w:p>
        </w:tc>
        <w:tc>
          <w:tcPr>
            <w:tcW w:w="765" w:type="dxa"/>
            <w:tcBorders>
              <w:tl2br w:val="nil"/>
              <w:tr2bl w:val="nil"/>
            </w:tcBorders>
            <w:shd w:val="clear" w:color="auto" w:fill="auto"/>
            <w:noWrap w:val="0"/>
            <w:vAlign w:val="center"/>
          </w:tcPr>
          <w:p w14:paraId="1E6A88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lang w:val="zh-CN" w:eastAsia="zh-CN" w:bidi="zh-CN"/>
              </w:rPr>
            </w:pPr>
            <w:r>
              <w:rPr>
                <w:rFonts w:hint="eastAsia" w:ascii="仿宋" w:hAnsi="仿宋" w:eastAsia="仿宋" w:cs="仿宋"/>
                <w:b w:val="0"/>
                <w:bCs w:val="0"/>
                <w:color w:val="auto"/>
                <w:spacing w:val="0"/>
                <w:position w:val="0"/>
                <w:sz w:val="22"/>
                <w:szCs w:val="22"/>
                <w:highlight w:val="none"/>
              </w:rPr>
              <w:t>0-</w:t>
            </w:r>
            <w:r>
              <w:rPr>
                <w:rFonts w:hint="eastAsia" w:ascii="仿宋" w:hAnsi="仿宋" w:eastAsia="仿宋" w:cs="仿宋"/>
                <w:b w:val="0"/>
                <w:bCs w:val="0"/>
                <w:color w:val="auto"/>
                <w:spacing w:val="0"/>
                <w:position w:val="0"/>
                <w:sz w:val="22"/>
                <w:szCs w:val="22"/>
                <w:highlight w:val="none"/>
                <w:lang w:val="en-US" w:eastAsia="zh-CN"/>
              </w:rPr>
              <w:t>3</w:t>
            </w:r>
          </w:p>
        </w:tc>
        <w:tc>
          <w:tcPr>
            <w:tcW w:w="6290" w:type="dxa"/>
            <w:tcBorders>
              <w:tl2br w:val="nil"/>
              <w:tr2bl w:val="nil"/>
            </w:tcBorders>
            <w:shd w:val="clear" w:color="auto" w:fill="auto"/>
            <w:noWrap w:val="0"/>
            <w:vAlign w:val="top"/>
          </w:tcPr>
          <w:p w14:paraId="5FB8C6F0">
            <w:pPr>
              <w:keepNext w:val="0"/>
              <w:keepLines w:val="0"/>
              <w:pageBreakBefore w:val="0"/>
              <w:widowControl w:val="0"/>
              <w:kinsoku/>
              <w:wordWrap/>
              <w:overflowPunct/>
              <w:topLinePunct w:val="0"/>
              <w:autoSpaceDE w:val="0"/>
              <w:autoSpaceDN w:val="0"/>
              <w:bidi w:val="0"/>
              <w:adjustRightInd/>
              <w:snapToGrid/>
              <w:spacing w:line="340" w:lineRule="exact"/>
              <w:ind w:right="0"/>
              <w:textAlignment w:val="auto"/>
              <w:rPr>
                <w:rFonts w:hint="eastAsia" w:ascii="仿宋" w:hAnsi="仿宋" w:eastAsia="仿宋" w:cs="仿宋"/>
                <w:color w:val="auto"/>
                <w:spacing w:val="0"/>
                <w:position w:val="0"/>
                <w:sz w:val="22"/>
                <w:szCs w:val="22"/>
                <w:highlight w:val="none"/>
                <w:lang w:val="en-US" w:eastAsia="zh-CN"/>
              </w:rPr>
            </w:pPr>
            <w:r>
              <w:rPr>
                <w:rFonts w:hint="eastAsia" w:ascii="仿宋" w:hAnsi="仿宋" w:eastAsia="仿宋" w:cs="仿宋"/>
                <w:color w:val="auto"/>
                <w:spacing w:val="0"/>
                <w:position w:val="0"/>
                <w:sz w:val="22"/>
                <w:szCs w:val="22"/>
                <w:highlight w:val="none"/>
                <w:lang w:val="en-US" w:eastAsia="zh-CN"/>
              </w:rPr>
              <w:t>投标人2021年7月1日至今(以合同签订时间为准)的同类项目业绩，每提供一个得1分，满分3分。</w:t>
            </w:r>
          </w:p>
          <w:p w14:paraId="6A2B15A2">
            <w:pPr>
              <w:keepNext w:val="0"/>
              <w:keepLines w:val="0"/>
              <w:pageBreakBefore w:val="0"/>
              <w:widowControl w:val="0"/>
              <w:kinsoku/>
              <w:wordWrap/>
              <w:overflowPunct/>
              <w:topLinePunct w:val="0"/>
              <w:autoSpaceDE w:val="0"/>
              <w:autoSpaceDN w:val="0"/>
              <w:bidi w:val="0"/>
              <w:adjustRightInd/>
              <w:snapToGrid/>
              <w:spacing w:line="340" w:lineRule="exact"/>
              <w:ind w:right="0" w:rightChars="0"/>
              <w:textAlignment w:val="auto"/>
              <w:rPr>
                <w:rFonts w:hint="eastAsia" w:ascii="仿宋" w:hAnsi="仿宋" w:eastAsia="仿宋" w:cs="仿宋"/>
                <w:color w:val="auto"/>
                <w:spacing w:val="0"/>
                <w:position w:val="0"/>
                <w:sz w:val="22"/>
                <w:szCs w:val="22"/>
                <w:highlight w:val="none"/>
                <w:lang w:val="en-US" w:eastAsia="zh-CN" w:bidi="zh-CN"/>
              </w:rPr>
            </w:pPr>
            <w:r>
              <w:rPr>
                <w:rFonts w:hint="eastAsia" w:ascii="仿宋" w:hAnsi="仿宋" w:eastAsia="仿宋" w:cs="仿宋"/>
                <w:color w:val="auto"/>
                <w:spacing w:val="0"/>
                <w:position w:val="0"/>
                <w:sz w:val="22"/>
                <w:szCs w:val="22"/>
                <w:highlight w:val="none"/>
                <w:lang w:val="en-US" w:eastAsia="zh-CN"/>
              </w:rPr>
              <w:t>注：须同时提供合同及验收报告扫描件，不提供或提供资料不全的不得分。</w:t>
            </w:r>
          </w:p>
        </w:tc>
      </w:tr>
      <w:tr w14:paraId="0DC393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2082" w:hRule="atLeast"/>
        </w:trPr>
        <w:tc>
          <w:tcPr>
            <w:tcW w:w="916" w:type="dxa"/>
            <w:tcBorders>
              <w:tl2br w:val="nil"/>
              <w:tr2bl w:val="nil"/>
            </w:tcBorders>
            <w:shd w:val="clear" w:color="auto" w:fill="auto"/>
            <w:noWrap w:val="0"/>
            <w:vAlign w:val="center"/>
          </w:tcPr>
          <w:p w14:paraId="1F43D428">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仿宋" w:hAnsi="仿宋" w:eastAsia="仿宋" w:cs="仿宋"/>
                <w:i w:val="0"/>
                <w:iCs w:val="0"/>
                <w:color w:val="auto"/>
                <w:spacing w:val="0"/>
                <w:kern w:val="0"/>
                <w:position w:val="0"/>
                <w:sz w:val="22"/>
                <w:szCs w:val="22"/>
                <w:highlight w:val="none"/>
                <w:u w:val="none"/>
                <w:lang w:val="en-US" w:eastAsia="zh-CN" w:bidi="ar"/>
              </w:rPr>
            </w:pPr>
            <w:r>
              <w:rPr>
                <w:rFonts w:hint="eastAsia" w:ascii="仿宋" w:hAnsi="仿宋" w:eastAsia="仿宋" w:cs="仿宋"/>
                <w:i w:val="0"/>
                <w:iCs w:val="0"/>
                <w:color w:val="auto"/>
                <w:spacing w:val="0"/>
                <w:kern w:val="0"/>
                <w:position w:val="0"/>
                <w:sz w:val="22"/>
                <w:szCs w:val="22"/>
                <w:highlight w:val="none"/>
                <w:u w:val="none"/>
                <w:lang w:val="en-US" w:eastAsia="zh-CN" w:bidi="ar"/>
              </w:rPr>
              <w:t>3</w:t>
            </w:r>
          </w:p>
        </w:tc>
        <w:tc>
          <w:tcPr>
            <w:tcW w:w="1704" w:type="dxa"/>
            <w:tcBorders>
              <w:tl2br w:val="nil"/>
              <w:tr2bl w:val="nil"/>
            </w:tcBorders>
            <w:noWrap w:val="0"/>
            <w:vAlign w:val="center"/>
          </w:tcPr>
          <w:p w14:paraId="1BC19D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rPr>
            </w:pPr>
            <w:r>
              <w:rPr>
                <w:rFonts w:hint="eastAsia" w:ascii="仿宋" w:hAnsi="仿宋" w:eastAsia="仿宋" w:cs="仿宋"/>
                <w:b w:val="0"/>
                <w:bCs w:val="0"/>
                <w:color w:val="auto"/>
                <w:spacing w:val="0"/>
                <w:position w:val="0"/>
                <w:sz w:val="22"/>
                <w:szCs w:val="22"/>
                <w:highlight w:val="none"/>
              </w:rPr>
              <w:t>投标产品响应程度</w:t>
            </w:r>
          </w:p>
        </w:tc>
        <w:tc>
          <w:tcPr>
            <w:tcW w:w="765" w:type="dxa"/>
            <w:tcBorders>
              <w:tl2br w:val="nil"/>
              <w:tr2bl w:val="nil"/>
            </w:tcBorders>
            <w:noWrap w:val="0"/>
            <w:vAlign w:val="center"/>
          </w:tcPr>
          <w:p w14:paraId="213339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rPr>
              <w:t>0-</w:t>
            </w:r>
            <w:r>
              <w:rPr>
                <w:rFonts w:hint="eastAsia" w:ascii="仿宋" w:hAnsi="仿宋" w:eastAsia="仿宋" w:cs="仿宋"/>
                <w:b w:val="0"/>
                <w:bCs w:val="0"/>
                <w:color w:val="auto"/>
                <w:spacing w:val="0"/>
                <w:position w:val="0"/>
                <w:sz w:val="22"/>
                <w:szCs w:val="22"/>
                <w:highlight w:val="none"/>
                <w:lang w:val="en-US" w:eastAsia="zh-CN"/>
              </w:rPr>
              <w:t>19</w:t>
            </w:r>
          </w:p>
        </w:tc>
        <w:tc>
          <w:tcPr>
            <w:tcW w:w="6290" w:type="dxa"/>
            <w:tcBorders>
              <w:tl2br w:val="nil"/>
              <w:tr2bl w:val="nil"/>
            </w:tcBorders>
            <w:noWrap w:val="0"/>
            <w:vAlign w:val="center"/>
          </w:tcPr>
          <w:p w14:paraId="6D3D45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val="0"/>
                <w:bCs w:val="0"/>
                <w:color w:val="auto"/>
                <w:spacing w:val="0"/>
                <w:position w:val="0"/>
                <w:sz w:val="22"/>
                <w:szCs w:val="22"/>
                <w:highlight w:val="none"/>
              </w:rPr>
            </w:pPr>
            <w:r>
              <w:rPr>
                <w:rFonts w:hint="eastAsia" w:ascii="仿宋" w:hAnsi="仿宋" w:eastAsia="仿宋" w:cs="仿宋"/>
                <w:b w:val="0"/>
                <w:bCs w:val="0"/>
                <w:color w:val="auto"/>
                <w:spacing w:val="0"/>
                <w:position w:val="0"/>
                <w:sz w:val="22"/>
                <w:szCs w:val="22"/>
                <w:highlight w:val="none"/>
              </w:rPr>
              <w:t>根据所投产品技术指标与</w:t>
            </w:r>
            <w:r>
              <w:rPr>
                <w:rFonts w:hint="eastAsia" w:ascii="仿宋" w:hAnsi="仿宋" w:eastAsia="仿宋" w:cs="仿宋"/>
                <w:b w:val="0"/>
                <w:bCs w:val="0"/>
                <w:color w:val="auto"/>
                <w:spacing w:val="0"/>
                <w:position w:val="0"/>
                <w:sz w:val="22"/>
                <w:szCs w:val="22"/>
                <w:highlight w:val="none"/>
                <w:lang w:val="en-US" w:eastAsia="zh-CN"/>
              </w:rPr>
              <w:t>采购</w:t>
            </w:r>
            <w:r>
              <w:rPr>
                <w:rFonts w:hint="eastAsia" w:ascii="仿宋" w:hAnsi="仿宋" w:eastAsia="仿宋" w:cs="仿宋"/>
                <w:b w:val="0"/>
                <w:bCs w:val="0"/>
                <w:color w:val="auto"/>
                <w:spacing w:val="0"/>
                <w:position w:val="0"/>
                <w:sz w:val="22"/>
                <w:szCs w:val="22"/>
                <w:highlight w:val="none"/>
              </w:rPr>
              <w:t>文件要求的响应程度完全响应的得</w:t>
            </w:r>
            <w:r>
              <w:rPr>
                <w:rFonts w:hint="eastAsia" w:ascii="仿宋" w:hAnsi="仿宋" w:eastAsia="仿宋" w:cs="仿宋"/>
                <w:b w:val="0"/>
                <w:bCs w:val="0"/>
                <w:color w:val="auto"/>
                <w:spacing w:val="0"/>
                <w:position w:val="0"/>
                <w:sz w:val="22"/>
                <w:szCs w:val="22"/>
                <w:highlight w:val="none"/>
                <w:lang w:val="en-US" w:eastAsia="zh-CN"/>
              </w:rPr>
              <w:t>19</w:t>
            </w:r>
            <w:r>
              <w:rPr>
                <w:rFonts w:hint="eastAsia" w:ascii="仿宋" w:hAnsi="仿宋" w:eastAsia="仿宋" w:cs="仿宋"/>
                <w:b w:val="0"/>
                <w:bCs w:val="0"/>
                <w:color w:val="auto"/>
                <w:spacing w:val="0"/>
                <w:position w:val="0"/>
                <w:sz w:val="22"/>
                <w:szCs w:val="22"/>
                <w:highlight w:val="none"/>
              </w:rPr>
              <w:t>分，每</w:t>
            </w:r>
            <w:r>
              <w:rPr>
                <w:rFonts w:hint="eastAsia" w:ascii="仿宋" w:hAnsi="仿宋" w:eastAsia="仿宋" w:cs="仿宋"/>
                <w:b w:val="0"/>
                <w:bCs w:val="0"/>
                <w:color w:val="auto"/>
                <w:spacing w:val="0"/>
                <w:position w:val="0"/>
                <w:sz w:val="22"/>
                <w:szCs w:val="22"/>
                <w:highlight w:val="none"/>
                <w:lang w:val="en-US" w:eastAsia="zh-CN"/>
              </w:rPr>
              <w:t>负</w:t>
            </w:r>
            <w:r>
              <w:rPr>
                <w:rFonts w:hint="eastAsia" w:ascii="仿宋" w:hAnsi="仿宋" w:eastAsia="仿宋" w:cs="仿宋"/>
                <w:b w:val="0"/>
                <w:bCs w:val="0"/>
                <w:color w:val="auto"/>
                <w:spacing w:val="0"/>
                <w:position w:val="0"/>
                <w:sz w:val="22"/>
                <w:szCs w:val="22"/>
                <w:highlight w:val="none"/>
              </w:rPr>
              <w:t>偏离一条标“</w:t>
            </w:r>
            <w:r>
              <w:rPr>
                <w:rFonts w:hint="eastAsia" w:ascii="仿宋" w:hAnsi="仿宋" w:eastAsia="仿宋" w:cs="仿宋"/>
                <w:b w:val="0"/>
                <w:bCs w:val="0"/>
                <w:i w:val="0"/>
                <w:iCs w:val="0"/>
                <w:color w:val="auto"/>
                <w:kern w:val="0"/>
                <w:sz w:val="22"/>
                <w:szCs w:val="22"/>
                <w:highlight w:val="none"/>
                <w:u w:val="none"/>
                <w:lang w:val="en-US" w:eastAsia="zh-CN" w:bidi="ar"/>
              </w:rPr>
              <w:t>★</w:t>
            </w:r>
            <w:r>
              <w:rPr>
                <w:rFonts w:hint="eastAsia" w:ascii="仿宋" w:hAnsi="仿宋" w:eastAsia="仿宋" w:cs="仿宋"/>
                <w:b w:val="0"/>
                <w:bCs w:val="0"/>
                <w:color w:val="auto"/>
                <w:spacing w:val="0"/>
                <w:position w:val="0"/>
                <w:sz w:val="22"/>
                <w:szCs w:val="22"/>
                <w:highlight w:val="none"/>
              </w:rPr>
              <w:t>”指标扣</w:t>
            </w:r>
            <w:r>
              <w:rPr>
                <w:rFonts w:hint="eastAsia" w:ascii="仿宋" w:hAnsi="仿宋" w:eastAsia="仿宋" w:cs="仿宋"/>
                <w:b w:val="0"/>
                <w:bCs w:val="0"/>
                <w:color w:val="auto"/>
                <w:spacing w:val="0"/>
                <w:position w:val="0"/>
                <w:sz w:val="22"/>
                <w:szCs w:val="22"/>
                <w:highlight w:val="none"/>
                <w:lang w:val="en-US" w:eastAsia="zh-CN"/>
              </w:rPr>
              <w:t>2</w:t>
            </w:r>
            <w:r>
              <w:rPr>
                <w:rFonts w:hint="eastAsia" w:ascii="仿宋" w:hAnsi="仿宋" w:eastAsia="仿宋" w:cs="仿宋"/>
                <w:b w:val="0"/>
                <w:bCs w:val="0"/>
                <w:color w:val="auto"/>
                <w:spacing w:val="0"/>
                <w:position w:val="0"/>
                <w:sz w:val="22"/>
                <w:szCs w:val="22"/>
                <w:highlight w:val="none"/>
              </w:rPr>
              <w:t>分</w:t>
            </w:r>
            <w:r>
              <w:rPr>
                <w:rFonts w:hint="eastAsia" w:ascii="仿宋" w:hAnsi="仿宋" w:eastAsia="仿宋" w:cs="仿宋"/>
                <w:b w:val="0"/>
                <w:bCs w:val="0"/>
                <w:strike w:val="0"/>
                <w:dstrike w:val="0"/>
                <w:color w:val="auto"/>
                <w:spacing w:val="0"/>
                <w:position w:val="0"/>
                <w:sz w:val="22"/>
                <w:szCs w:val="22"/>
                <w:highlight w:val="none"/>
                <w:lang w:eastAsia="zh-CN"/>
              </w:rPr>
              <w:t>，</w:t>
            </w:r>
            <w:r>
              <w:rPr>
                <w:rFonts w:hint="eastAsia" w:ascii="仿宋" w:hAnsi="仿宋" w:eastAsia="仿宋" w:cs="仿宋"/>
                <w:b w:val="0"/>
                <w:bCs w:val="0"/>
                <w:strike w:val="0"/>
                <w:dstrike w:val="0"/>
                <w:color w:val="auto"/>
                <w:spacing w:val="0"/>
                <w:position w:val="0"/>
                <w:sz w:val="22"/>
                <w:szCs w:val="22"/>
                <w:highlight w:val="none"/>
              </w:rPr>
              <w:t>其余指标每项负偏离扣1分</w:t>
            </w:r>
            <w:r>
              <w:rPr>
                <w:rFonts w:hint="eastAsia" w:ascii="仿宋" w:hAnsi="仿宋" w:eastAsia="仿宋" w:cs="仿宋"/>
                <w:b w:val="0"/>
                <w:bCs w:val="0"/>
                <w:strike w:val="0"/>
                <w:dstrike w:val="0"/>
                <w:color w:val="auto"/>
                <w:spacing w:val="0"/>
                <w:position w:val="0"/>
                <w:sz w:val="22"/>
                <w:szCs w:val="22"/>
                <w:highlight w:val="none"/>
                <w:lang w:eastAsia="zh-CN"/>
              </w:rPr>
              <w:t>，</w:t>
            </w:r>
            <w:r>
              <w:rPr>
                <w:rFonts w:hint="eastAsia" w:ascii="仿宋" w:hAnsi="仿宋" w:eastAsia="仿宋" w:cs="仿宋"/>
                <w:b w:val="0"/>
                <w:bCs w:val="0"/>
                <w:strike w:val="0"/>
                <w:dstrike w:val="0"/>
                <w:color w:val="auto"/>
                <w:spacing w:val="0"/>
                <w:position w:val="0"/>
                <w:sz w:val="22"/>
                <w:szCs w:val="22"/>
                <w:highlight w:val="none"/>
              </w:rPr>
              <w:t>扣完为止。</w:t>
            </w:r>
          </w:p>
          <w:p w14:paraId="1220C9E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lang w:val="en-US" w:eastAsia="zh-CN"/>
              </w:rPr>
              <w:t>注：</w:t>
            </w:r>
            <w:r>
              <w:rPr>
                <w:rFonts w:hint="eastAsia" w:ascii="仿宋" w:hAnsi="仿宋" w:eastAsia="仿宋" w:cs="仿宋"/>
                <w:b w:val="0"/>
                <w:bCs w:val="0"/>
                <w:color w:val="auto"/>
                <w:spacing w:val="0"/>
                <w:position w:val="0"/>
                <w:sz w:val="22"/>
                <w:szCs w:val="22"/>
                <w:highlight w:val="none"/>
              </w:rPr>
              <w:t>标“</w:t>
            </w:r>
            <w:r>
              <w:rPr>
                <w:rFonts w:hint="eastAsia" w:ascii="仿宋" w:hAnsi="仿宋" w:eastAsia="仿宋" w:cs="仿宋"/>
                <w:b w:val="0"/>
                <w:bCs w:val="0"/>
                <w:color w:val="auto"/>
                <w:spacing w:val="0"/>
                <w:position w:val="0"/>
                <w:sz w:val="22"/>
                <w:szCs w:val="22"/>
                <w:highlight w:val="none"/>
                <w:lang w:val="en-US" w:eastAsia="zh-CN"/>
              </w:rPr>
              <w:t>★</w:t>
            </w:r>
            <w:r>
              <w:rPr>
                <w:rFonts w:hint="eastAsia" w:ascii="仿宋" w:hAnsi="仿宋" w:eastAsia="仿宋" w:cs="仿宋"/>
                <w:b w:val="0"/>
                <w:bCs w:val="0"/>
                <w:color w:val="auto"/>
                <w:spacing w:val="0"/>
                <w:position w:val="0"/>
                <w:sz w:val="22"/>
                <w:szCs w:val="22"/>
                <w:highlight w:val="none"/>
              </w:rPr>
              <w:t>”</w:t>
            </w:r>
            <w:r>
              <w:rPr>
                <w:rFonts w:hint="eastAsia" w:ascii="仿宋" w:hAnsi="仿宋" w:eastAsia="仿宋" w:cs="仿宋"/>
                <w:b w:val="0"/>
                <w:bCs w:val="0"/>
                <w:color w:val="auto"/>
                <w:spacing w:val="0"/>
                <w:position w:val="0"/>
                <w:sz w:val="22"/>
                <w:szCs w:val="22"/>
                <w:highlight w:val="none"/>
                <w:lang w:val="en-US" w:eastAsia="zh-CN"/>
              </w:rPr>
              <w:t>的</w:t>
            </w:r>
            <w:r>
              <w:rPr>
                <w:rFonts w:hint="eastAsia" w:ascii="仿宋" w:hAnsi="仿宋" w:eastAsia="仿宋" w:cs="仿宋"/>
                <w:b w:val="0"/>
                <w:bCs w:val="0"/>
                <w:color w:val="auto"/>
                <w:spacing w:val="0"/>
                <w:position w:val="0"/>
                <w:sz w:val="22"/>
                <w:szCs w:val="22"/>
                <w:highlight w:val="none"/>
              </w:rPr>
              <w:t>响应条款必须提供相应的证明材料</w:t>
            </w:r>
            <w:r>
              <w:rPr>
                <w:rFonts w:hint="eastAsia" w:ascii="仿宋" w:hAnsi="仿宋" w:eastAsia="仿宋" w:cs="仿宋"/>
                <w:b w:val="0"/>
                <w:bCs w:val="0"/>
                <w:color w:val="auto"/>
                <w:spacing w:val="0"/>
                <w:position w:val="0"/>
                <w:sz w:val="22"/>
                <w:szCs w:val="22"/>
                <w:highlight w:val="none"/>
                <w:lang w:val="en-US" w:eastAsia="zh-CN"/>
              </w:rPr>
              <w:t>，其余指标若存在偏离在</w:t>
            </w:r>
            <w:r>
              <w:rPr>
                <w:rFonts w:hint="eastAsia" w:ascii="仿宋" w:hAnsi="仿宋" w:eastAsia="仿宋" w:cs="仿宋"/>
                <w:color w:val="auto"/>
                <w:sz w:val="22"/>
                <w:szCs w:val="22"/>
                <w:highlight w:val="none"/>
                <w:lang w:val="en-US" w:eastAsia="zh-CN"/>
              </w:rPr>
              <w:t>商务技术偏离表中列明，</w:t>
            </w:r>
            <w:r>
              <w:rPr>
                <w:rFonts w:hint="eastAsia" w:ascii="仿宋" w:hAnsi="仿宋" w:eastAsia="仿宋" w:cs="仿宋"/>
                <w:b w:val="0"/>
                <w:bCs w:val="0"/>
                <w:color w:val="auto"/>
                <w:spacing w:val="0"/>
                <w:position w:val="0"/>
                <w:sz w:val="22"/>
                <w:szCs w:val="22"/>
                <w:highlight w:val="none"/>
              </w:rPr>
              <w:t>负偏离或未提供证明材料</w:t>
            </w:r>
            <w:r>
              <w:rPr>
                <w:rFonts w:hint="eastAsia" w:ascii="仿宋" w:hAnsi="仿宋" w:eastAsia="仿宋" w:cs="仿宋"/>
                <w:b w:val="0"/>
                <w:bCs w:val="0"/>
                <w:color w:val="auto"/>
                <w:spacing w:val="0"/>
                <w:position w:val="0"/>
                <w:sz w:val="22"/>
                <w:szCs w:val="22"/>
                <w:highlight w:val="none"/>
                <w:lang w:eastAsia="zh-CN"/>
              </w:rPr>
              <w:t>均扣分。</w:t>
            </w:r>
            <w:r>
              <w:rPr>
                <w:rFonts w:hint="eastAsia" w:ascii="仿宋" w:hAnsi="仿宋" w:eastAsia="仿宋" w:cs="仿宋"/>
                <w:b w:val="0"/>
                <w:bCs w:val="0"/>
                <w:color w:val="auto"/>
                <w:spacing w:val="0"/>
                <w:position w:val="0"/>
                <w:sz w:val="22"/>
                <w:szCs w:val="22"/>
                <w:highlight w:val="none"/>
              </w:rPr>
              <w:t xml:space="preserve"> </w:t>
            </w:r>
          </w:p>
        </w:tc>
      </w:tr>
      <w:tr w14:paraId="7381D0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567" w:hRule="atLeast"/>
        </w:trPr>
        <w:tc>
          <w:tcPr>
            <w:tcW w:w="916" w:type="dxa"/>
            <w:tcBorders>
              <w:tl2br w:val="nil"/>
              <w:tr2bl w:val="nil"/>
            </w:tcBorders>
            <w:shd w:val="clear" w:color="auto" w:fill="auto"/>
            <w:noWrap w:val="0"/>
            <w:vAlign w:val="center"/>
          </w:tcPr>
          <w:p w14:paraId="155F5FEB">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仿宋" w:hAnsi="仿宋" w:eastAsia="仿宋" w:cs="仿宋"/>
                <w:b/>
                <w:bCs/>
                <w:color w:val="auto"/>
                <w:spacing w:val="0"/>
                <w:kern w:val="2"/>
                <w:position w:val="0"/>
                <w:sz w:val="22"/>
                <w:szCs w:val="22"/>
                <w:highlight w:val="none"/>
                <w:lang w:val="en-US" w:eastAsia="zh-CN" w:bidi="ar-SA"/>
              </w:rPr>
            </w:pPr>
            <w:r>
              <w:rPr>
                <w:rFonts w:hint="eastAsia" w:ascii="仿宋" w:hAnsi="仿宋" w:eastAsia="仿宋" w:cs="仿宋"/>
                <w:i w:val="0"/>
                <w:iCs w:val="0"/>
                <w:color w:val="auto"/>
                <w:spacing w:val="0"/>
                <w:kern w:val="0"/>
                <w:position w:val="0"/>
                <w:sz w:val="22"/>
                <w:szCs w:val="22"/>
                <w:highlight w:val="none"/>
                <w:u w:val="none"/>
                <w:lang w:val="en-US" w:eastAsia="zh-CN" w:bidi="ar"/>
              </w:rPr>
              <w:t>4</w:t>
            </w:r>
          </w:p>
        </w:tc>
        <w:tc>
          <w:tcPr>
            <w:tcW w:w="1704" w:type="dxa"/>
            <w:tcBorders>
              <w:tl2br w:val="nil"/>
              <w:tr2bl w:val="nil"/>
            </w:tcBorders>
            <w:noWrap w:val="0"/>
            <w:vAlign w:val="center"/>
          </w:tcPr>
          <w:p w14:paraId="57EC94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rPr>
            </w:pPr>
            <w:r>
              <w:rPr>
                <w:rFonts w:hint="eastAsia" w:ascii="仿宋" w:hAnsi="仿宋" w:eastAsia="仿宋" w:cs="仿宋"/>
                <w:b w:val="0"/>
                <w:bCs w:val="0"/>
                <w:color w:val="auto"/>
                <w:sz w:val="22"/>
                <w:szCs w:val="22"/>
                <w:highlight w:val="none"/>
                <w:lang w:val="en-US" w:eastAsia="zh-CN"/>
              </w:rPr>
              <w:t>产品</w:t>
            </w:r>
            <w:r>
              <w:rPr>
                <w:rFonts w:hint="eastAsia" w:ascii="仿宋" w:hAnsi="仿宋" w:eastAsia="仿宋" w:cs="仿宋"/>
                <w:b w:val="0"/>
                <w:bCs w:val="0"/>
                <w:color w:val="auto"/>
                <w:sz w:val="22"/>
                <w:szCs w:val="22"/>
                <w:highlight w:val="none"/>
              </w:rPr>
              <w:t>功能演示</w:t>
            </w:r>
          </w:p>
        </w:tc>
        <w:tc>
          <w:tcPr>
            <w:tcW w:w="765" w:type="dxa"/>
            <w:tcBorders>
              <w:tl2br w:val="nil"/>
              <w:tr2bl w:val="nil"/>
            </w:tcBorders>
            <w:noWrap w:val="0"/>
            <w:vAlign w:val="center"/>
          </w:tcPr>
          <w:p w14:paraId="7AFCC2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lang w:val="en-US" w:eastAsia="zh-CN"/>
              </w:rPr>
              <w:t>0-11</w:t>
            </w:r>
          </w:p>
        </w:tc>
        <w:tc>
          <w:tcPr>
            <w:tcW w:w="6290" w:type="dxa"/>
            <w:tcBorders>
              <w:tl2br w:val="nil"/>
              <w:tr2bl w:val="nil"/>
            </w:tcBorders>
            <w:noWrap w:val="0"/>
            <w:vAlign w:val="center"/>
          </w:tcPr>
          <w:p w14:paraId="394C0FCC">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演示一、智能控制平台：</w:t>
            </w:r>
            <w:r>
              <w:rPr>
                <w:rFonts w:hint="eastAsia" w:ascii="仿宋" w:hAnsi="仿宋" w:eastAsia="仿宋" w:cs="仿宋"/>
                <w:b/>
                <w:bCs/>
                <w:sz w:val="22"/>
                <w:szCs w:val="22"/>
                <w:highlight w:val="none"/>
                <w:lang w:eastAsia="zh-CN"/>
              </w:rPr>
              <w:t>（</w:t>
            </w:r>
            <w:r>
              <w:rPr>
                <w:rFonts w:hint="eastAsia" w:ascii="仿宋" w:hAnsi="仿宋" w:eastAsia="仿宋" w:cs="仿宋"/>
                <w:b/>
                <w:bCs/>
                <w:sz w:val="22"/>
                <w:szCs w:val="22"/>
                <w:highlight w:val="none"/>
                <w:lang w:val="en-US" w:eastAsia="zh-CN"/>
              </w:rPr>
              <w:t>4分</w:t>
            </w:r>
            <w:r>
              <w:rPr>
                <w:rFonts w:hint="eastAsia" w:ascii="仿宋" w:hAnsi="仿宋" w:eastAsia="仿宋" w:cs="仿宋"/>
                <w:b/>
                <w:bCs/>
                <w:sz w:val="22"/>
                <w:szCs w:val="22"/>
                <w:highlight w:val="none"/>
                <w:lang w:eastAsia="zh-CN"/>
              </w:rPr>
              <w:t>）</w:t>
            </w:r>
          </w:p>
          <w:p w14:paraId="6179955D">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lang w:val="zh-CN" w:eastAsia="zh-CN"/>
              </w:rPr>
              <w:t>智能摇臂及实验电源系统对学生电源0-30V输出控制及锁定。</w:t>
            </w:r>
            <w:r>
              <w:rPr>
                <w:rFonts w:hint="eastAsia" w:ascii="仿宋" w:hAnsi="仿宋" w:eastAsia="仿宋" w:cs="仿宋"/>
                <w:b w:val="0"/>
                <w:bCs w:val="0"/>
                <w:color w:val="auto"/>
                <w:sz w:val="22"/>
                <w:szCs w:val="22"/>
                <w:highlight w:val="none"/>
                <w:lang w:val="en-US" w:eastAsia="zh-CN"/>
              </w:rPr>
              <w:t>实现学生分组控制，可以随意选中不同组别，进行同时或单组控制。满足得1分，不满足不得分。</w:t>
            </w:r>
          </w:p>
          <w:p w14:paraId="6217C5CD">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val="0"/>
                <w:bCs w:val="0"/>
                <w:color w:val="auto"/>
                <w:sz w:val="22"/>
                <w:szCs w:val="22"/>
                <w:highlight w:val="none"/>
                <w:lang w:val="zh-CN" w:eastAsia="zh-CN"/>
              </w:rPr>
            </w:pPr>
            <w:r>
              <w:rPr>
                <w:rFonts w:hint="eastAsia" w:ascii="仿宋" w:hAnsi="仿宋" w:eastAsia="仿宋" w:cs="仿宋"/>
                <w:b w:val="0"/>
                <w:bCs w:val="0"/>
                <w:color w:val="auto"/>
                <w:sz w:val="22"/>
                <w:szCs w:val="22"/>
                <w:highlight w:val="none"/>
                <w:lang w:val="en-US" w:eastAsia="zh-CN"/>
              </w:rPr>
              <w:t>2.可以实现摇臂上下90°运动。</w:t>
            </w:r>
            <w:r>
              <w:rPr>
                <w:rFonts w:hint="eastAsia" w:ascii="仿宋" w:hAnsi="仿宋" w:eastAsia="仿宋" w:cs="仿宋"/>
                <w:b w:val="0"/>
                <w:bCs w:val="0"/>
                <w:color w:val="auto"/>
                <w:sz w:val="22"/>
                <w:szCs w:val="22"/>
                <w:highlight w:val="none"/>
                <w:lang w:val="zh-CN" w:eastAsia="zh-CN"/>
              </w:rPr>
              <w:t>学生端按举手键求助模块，教师控制终端实时定位显示当前学生求助座位号。</w:t>
            </w:r>
            <w:r>
              <w:rPr>
                <w:rFonts w:hint="eastAsia" w:ascii="仿宋" w:hAnsi="仿宋" w:eastAsia="仿宋" w:cs="仿宋"/>
                <w:b w:val="0"/>
                <w:bCs w:val="0"/>
                <w:color w:val="auto"/>
                <w:sz w:val="22"/>
                <w:szCs w:val="22"/>
                <w:highlight w:val="none"/>
                <w:lang w:val="en-US" w:eastAsia="zh-CN"/>
              </w:rPr>
              <w:t>满足得1分，不满足不得分。</w:t>
            </w:r>
          </w:p>
          <w:p w14:paraId="6FB229BE">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3.在摇臂运行过程中，按下急停按钮，摇臂可以再任意角度停止运行。</w:t>
            </w:r>
            <w:r>
              <w:rPr>
                <w:rFonts w:hint="eastAsia" w:ascii="仿宋" w:hAnsi="仿宋" w:eastAsia="仿宋" w:cs="仿宋"/>
                <w:b w:val="0"/>
                <w:bCs w:val="0"/>
                <w:color w:val="auto"/>
                <w:sz w:val="22"/>
                <w:szCs w:val="22"/>
                <w:highlight w:val="none"/>
                <w:lang w:val="zh-CN" w:eastAsia="zh-CN"/>
              </w:rPr>
              <w:t>可实时显示摇臂运行状态指示，当摆臂功能运行故障时，设备开启会出现红色线性灯光；当摆臂功能运行正常时，设备开启出现绿色线性灯光；通过2种不同颜色显示设备是否正常运行。</w:t>
            </w:r>
            <w:r>
              <w:rPr>
                <w:rFonts w:hint="eastAsia" w:ascii="仿宋" w:hAnsi="仿宋" w:eastAsia="仿宋" w:cs="仿宋"/>
                <w:b w:val="0"/>
                <w:bCs w:val="0"/>
                <w:color w:val="auto"/>
                <w:sz w:val="22"/>
                <w:szCs w:val="22"/>
                <w:highlight w:val="none"/>
                <w:lang w:val="en-US" w:eastAsia="zh-CN"/>
              </w:rPr>
              <w:t>满足得1分，不满足不得分。</w:t>
            </w:r>
          </w:p>
          <w:p w14:paraId="56EC625E">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4.智能灯光照明装置可以实现多种灯光分组控制，以便于在实验过程中进行光照补充。满足得1分，不满足不得分。</w:t>
            </w:r>
          </w:p>
          <w:p w14:paraId="5403FD37">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演示二、无线终端控制系统：</w:t>
            </w:r>
            <w:r>
              <w:rPr>
                <w:rFonts w:hint="eastAsia" w:ascii="仿宋" w:hAnsi="仿宋" w:eastAsia="仿宋" w:cs="仿宋"/>
                <w:b/>
                <w:bCs/>
                <w:sz w:val="22"/>
                <w:szCs w:val="22"/>
                <w:highlight w:val="none"/>
                <w:lang w:eastAsia="zh-CN"/>
              </w:rPr>
              <w:t>（</w:t>
            </w:r>
            <w:r>
              <w:rPr>
                <w:rFonts w:hint="eastAsia" w:ascii="仿宋" w:hAnsi="仿宋" w:eastAsia="仿宋" w:cs="仿宋"/>
                <w:b/>
                <w:bCs/>
                <w:sz w:val="22"/>
                <w:szCs w:val="22"/>
                <w:highlight w:val="none"/>
                <w:lang w:val="en-US" w:eastAsia="zh-CN"/>
              </w:rPr>
              <w:t>4分</w:t>
            </w:r>
            <w:r>
              <w:rPr>
                <w:rFonts w:hint="eastAsia" w:ascii="仿宋" w:hAnsi="仿宋" w:eastAsia="仿宋" w:cs="仿宋"/>
                <w:b/>
                <w:bCs/>
                <w:sz w:val="22"/>
                <w:szCs w:val="22"/>
                <w:highlight w:val="none"/>
                <w:lang w:eastAsia="zh-CN"/>
              </w:rPr>
              <w:t>）</w:t>
            </w:r>
          </w:p>
          <w:p w14:paraId="3FC9A61D">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val="0"/>
                <w:bCs w:val="0"/>
                <w:color w:val="auto"/>
                <w:sz w:val="22"/>
                <w:szCs w:val="22"/>
                <w:highlight w:val="none"/>
                <w:lang w:val="zh-CN" w:eastAsia="zh-CN"/>
              </w:rPr>
            </w:pPr>
            <w:r>
              <w:rPr>
                <w:rFonts w:hint="eastAsia" w:ascii="仿宋" w:hAnsi="仿宋" w:eastAsia="仿宋" w:cs="仿宋"/>
                <w:b w:val="0"/>
                <w:bCs w:val="0"/>
                <w:color w:val="auto"/>
                <w:sz w:val="22"/>
                <w:szCs w:val="22"/>
                <w:highlight w:val="none"/>
                <w:lang w:val="zh-CN" w:eastAsia="zh-CN"/>
              </w:rPr>
              <w:t>1、可兼容60种外部传感器，该外部接口可同时连接四种外置传感器，同时采集四种数据。</w:t>
            </w:r>
            <w:r>
              <w:rPr>
                <w:rFonts w:hint="eastAsia" w:ascii="仿宋" w:hAnsi="仿宋" w:eastAsia="仿宋" w:cs="仿宋"/>
                <w:b w:val="0"/>
                <w:bCs w:val="0"/>
                <w:color w:val="auto"/>
                <w:sz w:val="22"/>
                <w:szCs w:val="22"/>
                <w:highlight w:val="none"/>
                <w:lang w:val="en-US" w:eastAsia="zh-CN"/>
              </w:rPr>
              <w:t>满足得1分，不满足不得分。</w:t>
            </w:r>
          </w:p>
          <w:p w14:paraId="6A70D9BF">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val="0"/>
                <w:bCs w:val="0"/>
                <w:color w:val="auto"/>
                <w:sz w:val="22"/>
                <w:szCs w:val="22"/>
                <w:highlight w:val="none"/>
                <w:lang w:val="zh-CN" w:eastAsia="zh-CN"/>
              </w:rPr>
            </w:pPr>
            <w:r>
              <w:rPr>
                <w:rFonts w:hint="eastAsia" w:ascii="仿宋" w:hAnsi="仿宋" w:eastAsia="仿宋" w:cs="仿宋"/>
                <w:b w:val="0"/>
                <w:bCs w:val="0"/>
                <w:color w:val="auto"/>
                <w:sz w:val="22"/>
                <w:szCs w:val="22"/>
                <w:highlight w:val="none"/>
                <w:lang w:val="zh-CN" w:eastAsia="zh-CN"/>
              </w:rPr>
              <w:t>2、采集数据图文无需外接任何设备，系统可自成多种图文表格及统计形态。</w:t>
            </w:r>
            <w:r>
              <w:rPr>
                <w:rFonts w:hint="eastAsia" w:ascii="仿宋" w:hAnsi="仿宋" w:eastAsia="仿宋" w:cs="仿宋"/>
                <w:b w:val="0"/>
                <w:bCs w:val="0"/>
                <w:color w:val="auto"/>
                <w:sz w:val="22"/>
                <w:szCs w:val="22"/>
                <w:highlight w:val="none"/>
                <w:lang w:val="en-US" w:eastAsia="zh-CN"/>
              </w:rPr>
              <w:t>满足得1分，不满足不得分。</w:t>
            </w:r>
          </w:p>
          <w:p w14:paraId="095ACE18">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val="0"/>
                <w:bCs w:val="0"/>
                <w:color w:val="auto"/>
                <w:sz w:val="22"/>
                <w:szCs w:val="22"/>
                <w:highlight w:val="none"/>
                <w:lang w:val="zh-CN" w:eastAsia="zh-CN"/>
              </w:rPr>
            </w:pPr>
            <w:r>
              <w:rPr>
                <w:rFonts w:hint="eastAsia" w:ascii="仿宋" w:hAnsi="仿宋" w:eastAsia="仿宋" w:cs="仿宋"/>
                <w:b w:val="0"/>
                <w:bCs w:val="0"/>
                <w:color w:val="auto"/>
                <w:sz w:val="22"/>
                <w:szCs w:val="22"/>
                <w:highlight w:val="none"/>
                <w:lang w:val="zh-CN" w:eastAsia="zh-CN"/>
              </w:rPr>
              <w:t>3、内置10种传感器，包括声强、气压、心率、GPS、温度、湿度、加速度、光照、声音、UVI紫外线。内置传感器集成固化在无线控制终端内部，通过位于一体化边缘的固定感应装置即可进行采集数据，无需另外插接其它任何配件。并通过内置的软件进行数据分析和探究活动。</w:t>
            </w:r>
            <w:r>
              <w:rPr>
                <w:rFonts w:hint="eastAsia" w:ascii="仿宋" w:hAnsi="仿宋" w:eastAsia="仿宋" w:cs="仿宋"/>
                <w:b w:val="0"/>
                <w:bCs w:val="0"/>
                <w:color w:val="auto"/>
                <w:sz w:val="22"/>
                <w:szCs w:val="22"/>
                <w:highlight w:val="none"/>
                <w:lang w:val="en-US" w:eastAsia="zh-CN"/>
              </w:rPr>
              <w:t>满足得1分，不满足不得分。</w:t>
            </w:r>
          </w:p>
          <w:p w14:paraId="074F6F6D">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zh-CN" w:eastAsia="zh-CN"/>
              </w:rPr>
              <w:t>4、在不连接其它外置设备前提下，使用该设备同时进行声音、温度、湿度3种数据采集，并同时通过图形与列表等多种方式展现收集的数据的情况及采集结果，3种数据必须同步生成。</w:t>
            </w:r>
            <w:r>
              <w:rPr>
                <w:rFonts w:hint="eastAsia" w:ascii="仿宋" w:hAnsi="仿宋" w:eastAsia="仿宋" w:cs="仿宋"/>
                <w:b w:val="0"/>
                <w:bCs w:val="0"/>
                <w:color w:val="auto"/>
                <w:sz w:val="22"/>
                <w:szCs w:val="22"/>
                <w:highlight w:val="none"/>
                <w:lang w:val="en-US" w:eastAsia="zh-CN"/>
              </w:rPr>
              <w:t>满足得1分，不满足不得分。</w:t>
            </w:r>
          </w:p>
          <w:p w14:paraId="117D31EF">
            <w:pPr>
              <w:keepNext w:val="0"/>
              <w:keepLines w:val="0"/>
              <w:pageBreakBefore w:val="0"/>
              <w:widowControl w:val="0"/>
              <w:kinsoku/>
              <w:wordWrap/>
              <w:overflowPunct/>
              <w:topLinePunct w:val="0"/>
              <w:autoSpaceDE w:val="0"/>
              <w:autoSpaceDN w:val="0"/>
              <w:bidi w:val="0"/>
              <w:adjustRightInd/>
              <w:snapToGrid/>
              <w:spacing w:after="0" w:line="340" w:lineRule="exact"/>
              <w:jc w:val="both"/>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演示三、信息套件：</w:t>
            </w:r>
            <w:r>
              <w:rPr>
                <w:rFonts w:hint="eastAsia" w:ascii="仿宋" w:hAnsi="仿宋" w:eastAsia="仿宋" w:cs="仿宋"/>
                <w:b/>
                <w:bCs/>
                <w:sz w:val="22"/>
                <w:szCs w:val="22"/>
                <w:highlight w:val="none"/>
                <w:lang w:eastAsia="zh-CN"/>
              </w:rPr>
              <w:t>（</w:t>
            </w:r>
            <w:r>
              <w:rPr>
                <w:rFonts w:hint="eastAsia" w:ascii="仿宋" w:hAnsi="仿宋" w:eastAsia="仿宋" w:cs="仿宋"/>
                <w:b/>
                <w:bCs/>
                <w:sz w:val="22"/>
                <w:szCs w:val="22"/>
                <w:highlight w:val="none"/>
                <w:lang w:val="en-US" w:eastAsia="zh-CN"/>
              </w:rPr>
              <w:t>3分</w:t>
            </w:r>
            <w:r>
              <w:rPr>
                <w:rFonts w:hint="eastAsia" w:ascii="仿宋" w:hAnsi="仿宋" w:eastAsia="仿宋" w:cs="仿宋"/>
                <w:b/>
                <w:bCs/>
                <w:sz w:val="22"/>
                <w:szCs w:val="22"/>
                <w:highlight w:val="none"/>
                <w:lang w:eastAsia="zh-CN"/>
              </w:rPr>
              <w:t>）</w:t>
            </w:r>
          </w:p>
          <w:p w14:paraId="01B839CC">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①登录演示。可以通过从《中小学信息科技学习平台》免登访问物联数据中台。满足得1分，不满足不得分。</w:t>
            </w:r>
          </w:p>
          <w:p w14:paraId="46A33631">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②支持单用户以及多用户开展项目，支持分组账户由老师进行统一管理。满足得1分，不满足不得分。</w:t>
            </w:r>
          </w:p>
          <w:p w14:paraId="0DC1AEBB">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kern w:val="2"/>
                <w:sz w:val="22"/>
                <w:szCs w:val="22"/>
                <w:highlight w:val="none"/>
                <w:lang w:val="zh-CN" w:eastAsia="zh-CN" w:bidi="ar-SA"/>
              </w:rPr>
              <w:t>③项目的创建、设备的创建、主题的创建，配合器材完成一个实验。满足得1分，不满足不得分。</w:t>
            </w:r>
          </w:p>
          <w:p w14:paraId="6C00314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both"/>
              <w:textAlignment w:val="auto"/>
              <w:rPr>
                <w:rFonts w:hint="eastAsia"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bCs/>
                <w:sz w:val="22"/>
                <w:szCs w:val="22"/>
                <w:highlight w:val="none"/>
                <w:lang w:val="en-US" w:eastAsia="zh-CN"/>
              </w:rPr>
              <w:t>注：提供中文配音的演示视频一份，无演示视频的不得分。演示时长不超过15分钟，超出部分不予评审。</w:t>
            </w:r>
          </w:p>
        </w:tc>
      </w:tr>
      <w:tr w14:paraId="6C40F7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3380" w:hRule="atLeast"/>
        </w:trPr>
        <w:tc>
          <w:tcPr>
            <w:tcW w:w="916" w:type="dxa"/>
            <w:tcBorders>
              <w:tl2br w:val="nil"/>
              <w:tr2bl w:val="nil"/>
            </w:tcBorders>
            <w:shd w:val="clear" w:color="auto" w:fill="auto"/>
            <w:noWrap w:val="0"/>
            <w:vAlign w:val="center"/>
          </w:tcPr>
          <w:p w14:paraId="4279811C">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仿宋" w:hAnsi="仿宋" w:eastAsia="仿宋" w:cs="仿宋"/>
                <w:b/>
                <w:bCs/>
                <w:color w:val="auto"/>
                <w:spacing w:val="0"/>
                <w:position w:val="0"/>
                <w:sz w:val="22"/>
                <w:szCs w:val="22"/>
                <w:highlight w:val="none"/>
                <w:lang w:val="en-US" w:eastAsia="zh-CN" w:bidi="zh-CN"/>
              </w:rPr>
            </w:pPr>
            <w:r>
              <w:rPr>
                <w:rFonts w:hint="eastAsia" w:ascii="仿宋" w:hAnsi="仿宋" w:eastAsia="仿宋" w:cs="仿宋"/>
                <w:i w:val="0"/>
                <w:iCs w:val="0"/>
                <w:color w:val="auto"/>
                <w:spacing w:val="0"/>
                <w:kern w:val="0"/>
                <w:position w:val="0"/>
                <w:sz w:val="22"/>
                <w:szCs w:val="22"/>
                <w:highlight w:val="none"/>
                <w:u w:val="none"/>
                <w:lang w:val="en-US" w:eastAsia="zh-CN" w:bidi="ar"/>
              </w:rPr>
              <w:t>5</w:t>
            </w:r>
          </w:p>
        </w:tc>
        <w:tc>
          <w:tcPr>
            <w:tcW w:w="1704" w:type="dxa"/>
            <w:tcBorders>
              <w:tl2br w:val="nil"/>
              <w:tr2bl w:val="nil"/>
            </w:tcBorders>
            <w:noWrap w:val="0"/>
            <w:vAlign w:val="center"/>
          </w:tcPr>
          <w:p w14:paraId="56AE563D">
            <w:pPr>
              <w:keepNext w:val="0"/>
              <w:keepLines w:val="0"/>
              <w:pageBreakBefore w:val="0"/>
              <w:kinsoku/>
              <w:wordWrap/>
              <w:overflowPunct/>
              <w:topLinePunct w:val="0"/>
              <w:bidi w:val="0"/>
              <w:adjustRightInd/>
              <w:spacing w:line="36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实物样品</w:t>
            </w:r>
          </w:p>
        </w:tc>
        <w:tc>
          <w:tcPr>
            <w:tcW w:w="765" w:type="dxa"/>
            <w:tcBorders>
              <w:tl2br w:val="nil"/>
              <w:tr2bl w:val="nil"/>
            </w:tcBorders>
            <w:noWrap w:val="0"/>
            <w:vAlign w:val="center"/>
          </w:tcPr>
          <w:p w14:paraId="46D26B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lang w:val="en-US" w:eastAsia="zh-CN"/>
              </w:rPr>
              <w:t>0-6</w:t>
            </w:r>
          </w:p>
        </w:tc>
        <w:tc>
          <w:tcPr>
            <w:tcW w:w="6290" w:type="dxa"/>
            <w:tcBorders>
              <w:tl2br w:val="nil"/>
              <w:tr2bl w:val="nil"/>
            </w:tcBorders>
            <w:noWrap w:val="0"/>
            <w:vAlign w:val="center"/>
          </w:tcPr>
          <w:p w14:paraId="65EE37E2">
            <w:pPr>
              <w:keepNext w:val="0"/>
              <w:keepLines w:val="0"/>
              <w:pageBreakBefore w:val="0"/>
              <w:widowControl w:val="0"/>
              <w:kinsoku/>
              <w:wordWrap/>
              <w:overflowPunct/>
              <w:topLinePunct w:val="0"/>
              <w:bidi w:val="0"/>
              <w:adjustRightInd/>
              <w:snapToGrid/>
              <w:spacing w:line="340" w:lineRule="exact"/>
              <w:textAlignment w:val="auto"/>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需提交样品：化学实验室：水槽柜一套</w:t>
            </w:r>
          </w:p>
          <w:p w14:paraId="3760A278">
            <w:pPr>
              <w:keepNext w:val="0"/>
              <w:keepLines w:val="0"/>
              <w:pageBreakBefore w:val="0"/>
              <w:widowControl w:val="0"/>
              <w:kinsoku/>
              <w:wordWrap/>
              <w:overflowPunct/>
              <w:topLinePunct w:val="0"/>
              <w:bidi w:val="0"/>
              <w:adjustRightInd/>
              <w:snapToGrid/>
              <w:spacing w:line="340" w:lineRule="exact"/>
              <w:textAlignment w:val="auto"/>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1、产品的制作质量、工艺水平工艺及质量完好的得2分；工艺及质量一般的得的0.5分；</w:t>
            </w:r>
          </w:p>
          <w:p w14:paraId="3359CAD3">
            <w:pPr>
              <w:keepNext w:val="0"/>
              <w:keepLines w:val="0"/>
              <w:pageBreakBefore w:val="0"/>
              <w:widowControl w:val="0"/>
              <w:kinsoku/>
              <w:wordWrap/>
              <w:overflowPunct/>
              <w:topLinePunct w:val="0"/>
              <w:bidi w:val="0"/>
              <w:adjustRightInd/>
              <w:snapToGrid/>
              <w:spacing w:line="340" w:lineRule="exact"/>
              <w:textAlignment w:val="auto"/>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2、款式功能是否符合招标文件的要求，外观式样，美观情况，样式较好的得2分；样式一般的得0.5分；</w:t>
            </w:r>
          </w:p>
          <w:p w14:paraId="6C260C1A">
            <w:pPr>
              <w:keepNext w:val="0"/>
              <w:keepLines w:val="0"/>
              <w:pageBreakBefore w:val="0"/>
              <w:widowControl w:val="0"/>
              <w:kinsoku/>
              <w:wordWrap/>
              <w:overflowPunct/>
              <w:topLinePunct w:val="0"/>
              <w:bidi w:val="0"/>
              <w:adjustRightInd/>
              <w:snapToGrid/>
              <w:spacing w:line="340" w:lineRule="exact"/>
              <w:textAlignment w:val="auto"/>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3、样品功能性情况：是否下水口支持三重过滤装置、三重过滤装置是否第一级设置pp过滤盖板，第二级设置不锈钢过滤提网，第三级设置可抛弃型过滤袋，满足得</w:t>
            </w:r>
            <w:r>
              <w:rPr>
                <w:rFonts w:hint="eastAsia" w:ascii="仿宋" w:hAnsi="仿宋" w:eastAsia="仿宋" w:cs="仿宋"/>
                <w:color w:val="auto"/>
                <w:sz w:val="22"/>
                <w:szCs w:val="22"/>
                <w:highlight w:val="none"/>
                <w:lang w:val="en-US" w:eastAsia="zh-CN"/>
              </w:rPr>
              <w:t>2</w:t>
            </w:r>
            <w:r>
              <w:rPr>
                <w:rFonts w:hint="default" w:ascii="仿宋" w:hAnsi="仿宋" w:eastAsia="仿宋" w:cs="仿宋"/>
                <w:color w:val="auto"/>
                <w:sz w:val="22"/>
                <w:szCs w:val="22"/>
                <w:highlight w:val="none"/>
                <w:lang w:val="en-US" w:eastAsia="zh-CN"/>
              </w:rPr>
              <w:t>分，不满足不得分；</w:t>
            </w:r>
          </w:p>
          <w:p w14:paraId="38C33FCA">
            <w:pPr>
              <w:keepNext w:val="0"/>
              <w:keepLines w:val="0"/>
              <w:pageBreakBefore w:val="0"/>
              <w:widowControl w:val="0"/>
              <w:kinsoku/>
              <w:wordWrap/>
              <w:overflowPunct/>
              <w:topLinePunct w:val="0"/>
              <w:bidi w:val="0"/>
              <w:adjustRightInd/>
              <w:snapToGrid/>
              <w:spacing w:line="340" w:lineRule="exact"/>
              <w:textAlignment w:val="auto"/>
              <w:rPr>
                <w:rFonts w:hint="default" w:ascii="仿宋" w:hAnsi="仿宋" w:eastAsia="仿宋" w:cs="仿宋"/>
                <w:color w:val="auto"/>
                <w:sz w:val="22"/>
                <w:szCs w:val="22"/>
                <w:highlight w:val="none"/>
                <w:lang w:val="en-US" w:eastAsia="zh-CN"/>
              </w:rPr>
            </w:pPr>
            <w:r>
              <w:rPr>
                <w:rFonts w:hint="default" w:ascii="仿宋" w:hAnsi="仿宋" w:eastAsia="仿宋" w:cs="仿宋"/>
                <w:b/>
                <w:bCs/>
                <w:color w:val="auto"/>
                <w:sz w:val="22"/>
                <w:szCs w:val="22"/>
                <w:highlight w:val="none"/>
                <w:lang w:val="en-US" w:eastAsia="zh-CN"/>
              </w:rPr>
              <w:t>（投标人不提供样品、样品提供不全、外观尺寸不符合要求、或技术参数</w:t>
            </w:r>
            <w:bookmarkStart w:id="374" w:name="_GoBack"/>
            <w:bookmarkEnd w:id="374"/>
            <w:r>
              <w:rPr>
                <w:rFonts w:hint="default" w:ascii="仿宋" w:hAnsi="仿宋" w:eastAsia="仿宋" w:cs="仿宋"/>
                <w:b/>
                <w:bCs/>
                <w:color w:val="auto"/>
                <w:sz w:val="22"/>
                <w:szCs w:val="22"/>
                <w:highlight w:val="none"/>
                <w:lang w:val="en-US" w:eastAsia="zh-CN"/>
              </w:rPr>
              <w:t>明显不符合招标文件要求的则样品分为0分。）</w:t>
            </w:r>
          </w:p>
        </w:tc>
      </w:tr>
      <w:tr w14:paraId="0CFA81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1477" w:hRule="atLeast"/>
        </w:trPr>
        <w:tc>
          <w:tcPr>
            <w:tcW w:w="916" w:type="dxa"/>
            <w:tcBorders>
              <w:tl2br w:val="nil"/>
              <w:tr2bl w:val="nil"/>
            </w:tcBorders>
            <w:shd w:val="clear" w:color="auto" w:fill="auto"/>
            <w:noWrap w:val="0"/>
            <w:vAlign w:val="center"/>
          </w:tcPr>
          <w:p w14:paraId="4B9C6B2B">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仿宋" w:hAnsi="仿宋" w:eastAsia="仿宋" w:cs="仿宋"/>
                <w:b/>
                <w:bCs/>
                <w:color w:val="auto"/>
                <w:spacing w:val="0"/>
                <w:position w:val="0"/>
                <w:sz w:val="22"/>
                <w:szCs w:val="22"/>
                <w:highlight w:val="none"/>
                <w:lang w:val="en-US" w:eastAsia="zh-CN" w:bidi="zh-CN"/>
              </w:rPr>
            </w:pPr>
            <w:r>
              <w:rPr>
                <w:rFonts w:hint="eastAsia" w:ascii="仿宋" w:hAnsi="仿宋" w:eastAsia="仿宋" w:cs="仿宋"/>
                <w:i w:val="0"/>
                <w:iCs w:val="0"/>
                <w:color w:val="auto"/>
                <w:spacing w:val="0"/>
                <w:kern w:val="0"/>
                <w:position w:val="0"/>
                <w:sz w:val="22"/>
                <w:szCs w:val="22"/>
                <w:highlight w:val="none"/>
                <w:u w:val="none"/>
                <w:lang w:val="en-US" w:eastAsia="zh-CN" w:bidi="ar"/>
              </w:rPr>
              <w:t>6</w:t>
            </w:r>
          </w:p>
        </w:tc>
        <w:tc>
          <w:tcPr>
            <w:tcW w:w="1704" w:type="dxa"/>
            <w:tcBorders>
              <w:tl2br w:val="nil"/>
              <w:tr2bl w:val="nil"/>
            </w:tcBorders>
            <w:noWrap w:val="0"/>
            <w:vAlign w:val="center"/>
          </w:tcPr>
          <w:p w14:paraId="438D2897">
            <w:pPr>
              <w:keepNext w:val="0"/>
              <w:keepLines w:val="0"/>
              <w:pageBreakBefore w:val="0"/>
              <w:kinsoku/>
              <w:wordWrap/>
              <w:overflowPunct/>
              <w:topLinePunct w:val="0"/>
              <w:bidi w:val="0"/>
              <w:adjustRightInd/>
              <w:spacing w:line="360" w:lineRule="exact"/>
              <w:jc w:val="center"/>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lang w:val="en-US" w:eastAsia="zh-CN"/>
              </w:rPr>
              <w:t>质量保证措施</w:t>
            </w:r>
          </w:p>
        </w:tc>
        <w:tc>
          <w:tcPr>
            <w:tcW w:w="765" w:type="dxa"/>
            <w:tcBorders>
              <w:tl2br w:val="nil"/>
              <w:tr2bl w:val="nil"/>
            </w:tcBorders>
            <w:noWrap w:val="0"/>
            <w:vAlign w:val="center"/>
          </w:tcPr>
          <w:p w14:paraId="12D6A1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lang w:val="en-US" w:eastAsia="zh-CN"/>
              </w:rPr>
              <w:t>0-5</w:t>
            </w:r>
          </w:p>
        </w:tc>
        <w:tc>
          <w:tcPr>
            <w:tcW w:w="6290" w:type="dxa"/>
            <w:tcBorders>
              <w:tl2br w:val="nil"/>
              <w:tr2bl w:val="nil"/>
            </w:tcBorders>
            <w:noWrap w:val="0"/>
            <w:vAlign w:val="center"/>
          </w:tcPr>
          <w:p w14:paraId="1094C394">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根据投标人提供的质量保证措施由专家进行综合打分。质量保证措施合理：得4-5分；质量保证措施一般：得2-4分；质量保证措施较差：得1-2分。没有内容或其情况不满足招标文件需求的不得分。</w:t>
            </w:r>
          </w:p>
        </w:tc>
      </w:tr>
      <w:tr w14:paraId="19158E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1916" w:hRule="atLeast"/>
        </w:trPr>
        <w:tc>
          <w:tcPr>
            <w:tcW w:w="916" w:type="dxa"/>
            <w:tcBorders>
              <w:tl2br w:val="nil"/>
              <w:tr2bl w:val="nil"/>
            </w:tcBorders>
            <w:noWrap w:val="0"/>
            <w:vAlign w:val="center"/>
          </w:tcPr>
          <w:p w14:paraId="22A32241">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仿宋" w:hAnsi="仿宋" w:eastAsia="仿宋" w:cs="仿宋"/>
                <w:b/>
                <w:bCs/>
                <w:color w:val="auto"/>
                <w:spacing w:val="0"/>
                <w:position w:val="0"/>
                <w:sz w:val="22"/>
                <w:szCs w:val="22"/>
                <w:highlight w:val="none"/>
                <w:lang w:val="en-US" w:eastAsia="zh-CN"/>
              </w:rPr>
            </w:pPr>
            <w:r>
              <w:rPr>
                <w:rFonts w:hint="eastAsia" w:ascii="仿宋" w:hAnsi="仿宋" w:eastAsia="仿宋" w:cs="仿宋"/>
                <w:i w:val="0"/>
                <w:iCs w:val="0"/>
                <w:color w:val="auto"/>
                <w:spacing w:val="0"/>
                <w:kern w:val="0"/>
                <w:position w:val="0"/>
                <w:sz w:val="22"/>
                <w:szCs w:val="22"/>
                <w:highlight w:val="none"/>
                <w:u w:val="none"/>
                <w:lang w:val="en-US" w:eastAsia="zh-CN" w:bidi="ar"/>
              </w:rPr>
              <w:t>7</w:t>
            </w:r>
          </w:p>
        </w:tc>
        <w:tc>
          <w:tcPr>
            <w:tcW w:w="1704" w:type="dxa"/>
            <w:tcBorders>
              <w:tl2br w:val="nil"/>
              <w:tr2bl w:val="nil"/>
            </w:tcBorders>
            <w:noWrap w:val="0"/>
            <w:vAlign w:val="center"/>
          </w:tcPr>
          <w:p w14:paraId="50AC82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rPr>
              <w:t>售后服务</w:t>
            </w:r>
            <w:r>
              <w:rPr>
                <w:rFonts w:hint="eastAsia" w:ascii="仿宋" w:hAnsi="仿宋" w:eastAsia="仿宋" w:cs="仿宋"/>
                <w:b w:val="0"/>
                <w:bCs w:val="0"/>
                <w:color w:val="auto"/>
                <w:spacing w:val="0"/>
                <w:position w:val="0"/>
                <w:sz w:val="22"/>
                <w:szCs w:val="22"/>
                <w:highlight w:val="none"/>
                <w:lang w:val="en-US" w:eastAsia="zh-CN"/>
              </w:rPr>
              <w:t>方案</w:t>
            </w:r>
          </w:p>
        </w:tc>
        <w:tc>
          <w:tcPr>
            <w:tcW w:w="765" w:type="dxa"/>
            <w:tcBorders>
              <w:tl2br w:val="nil"/>
              <w:tr2bl w:val="nil"/>
            </w:tcBorders>
            <w:noWrap w:val="0"/>
            <w:vAlign w:val="center"/>
          </w:tcPr>
          <w:p w14:paraId="5E9CE6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rPr>
              <w:t>0-</w:t>
            </w:r>
            <w:r>
              <w:rPr>
                <w:rFonts w:hint="eastAsia" w:ascii="仿宋" w:hAnsi="仿宋" w:eastAsia="仿宋" w:cs="仿宋"/>
                <w:b w:val="0"/>
                <w:bCs w:val="0"/>
                <w:color w:val="auto"/>
                <w:spacing w:val="0"/>
                <w:position w:val="0"/>
                <w:sz w:val="22"/>
                <w:szCs w:val="22"/>
                <w:highlight w:val="none"/>
                <w:lang w:val="en-US" w:eastAsia="zh-CN"/>
              </w:rPr>
              <w:t>5</w:t>
            </w:r>
          </w:p>
        </w:tc>
        <w:tc>
          <w:tcPr>
            <w:tcW w:w="6290" w:type="dxa"/>
            <w:tcBorders>
              <w:tl2br w:val="nil"/>
              <w:tr2bl w:val="nil"/>
            </w:tcBorders>
            <w:noWrap w:val="0"/>
            <w:vAlign w:val="top"/>
          </w:tcPr>
          <w:p w14:paraId="0BBBEE2D">
            <w:pPr>
              <w:keepNext w:val="0"/>
              <w:keepLines w:val="0"/>
              <w:pageBreakBefore w:val="0"/>
              <w:widowControl w:val="0"/>
              <w:numPr>
                <w:ilvl w:val="0"/>
                <w:numId w:val="0"/>
              </w:numPr>
              <w:kinsoku/>
              <w:wordWrap/>
              <w:overflowPunct/>
              <w:topLinePunct w:val="0"/>
              <w:bidi w:val="0"/>
              <w:adjustRightInd/>
              <w:snapToGrid/>
              <w:spacing w:before="20" w:line="340" w:lineRule="exact"/>
              <w:ind w:right="20" w:rightChars="0"/>
              <w:textAlignment w:val="auto"/>
              <w:rPr>
                <w:rFonts w:hint="eastAsia"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rPr>
              <w:t>根据投标人提供的技术服务维护承诺、质保期承诺、维护人员配备、维护响应时间、质量承诺以及提供的后续技术支持等，</w:t>
            </w:r>
            <w:r>
              <w:rPr>
                <w:rFonts w:hint="eastAsia" w:ascii="仿宋" w:hAnsi="仿宋" w:eastAsia="仿宋" w:cs="仿宋"/>
                <w:color w:val="auto"/>
                <w:spacing w:val="0"/>
                <w:position w:val="0"/>
                <w:sz w:val="22"/>
                <w:szCs w:val="22"/>
                <w:highlight w:val="none"/>
                <w:lang w:val="en-US" w:eastAsia="zh-CN"/>
              </w:rPr>
              <w:t>由专家进行</w:t>
            </w:r>
            <w:r>
              <w:rPr>
                <w:rFonts w:hint="eastAsia" w:ascii="仿宋" w:hAnsi="仿宋" w:eastAsia="仿宋" w:cs="仿宋"/>
                <w:color w:val="auto"/>
                <w:spacing w:val="0"/>
                <w:position w:val="0"/>
                <w:sz w:val="22"/>
                <w:szCs w:val="22"/>
                <w:highlight w:val="none"/>
              </w:rPr>
              <w:t>综合打分。售后服务措施和方案</w:t>
            </w:r>
            <w:r>
              <w:rPr>
                <w:rFonts w:hint="eastAsia" w:ascii="仿宋" w:hAnsi="仿宋" w:eastAsia="仿宋" w:cs="仿宋"/>
                <w:color w:val="auto"/>
                <w:spacing w:val="0"/>
                <w:position w:val="0"/>
                <w:sz w:val="22"/>
                <w:szCs w:val="22"/>
                <w:highlight w:val="none"/>
                <w:lang w:val="en-US" w:eastAsia="zh-CN"/>
              </w:rPr>
              <w:t>详细合理：得4-5分；</w:t>
            </w:r>
            <w:r>
              <w:rPr>
                <w:rFonts w:hint="eastAsia" w:ascii="仿宋" w:hAnsi="仿宋" w:eastAsia="仿宋" w:cs="仿宋"/>
                <w:color w:val="auto"/>
                <w:spacing w:val="0"/>
                <w:position w:val="0"/>
                <w:sz w:val="22"/>
                <w:szCs w:val="22"/>
                <w:highlight w:val="none"/>
              </w:rPr>
              <w:t>售后服务措施和方案</w:t>
            </w:r>
            <w:r>
              <w:rPr>
                <w:rFonts w:hint="eastAsia" w:ascii="仿宋" w:hAnsi="仿宋" w:eastAsia="仿宋" w:cs="仿宋"/>
                <w:color w:val="auto"/>
                <w:spacing w:val="0"/>
                <w:position w:val="0"/>
                <w:sz w:val="22"/>
                <w:szCs w:val="22"/>
                <w:highlight w:val="none"/>
                <w:lang w:val="en-US" w:eastAsia="zh-CN"/>
              </w:rPr>
              <w:t>一般：得2-4分；</w:t>
            </w:r>
            <w:r>
              <w:rPr>
                <w:rFonts w:hint="eastAsia" w:ascii="仿宋" w:hAnsi="仿宋" w:eastAsia="仿宋" w:cs="仿宋"/>
                <w:color w:val="auto"/>
                <w:spacing w:val="0"/>
                <w:position w:val="0"/>
                <w:sz w:val="22"/>
                <w:szCs w:val="22"/>
                <w:highlight w:val="none"/>
              </w:rPr>
              <w:t>售后服务措施和方案</w:t>
            </w:r>
            <w:r>
              <w:rPr>
                <w:rFonts w:hint="eastAsia" w:ascii="仿宋" w:hAnsi="仿宋" w:eastAsia="仿宋" w:cs="仿宋"/>
                <w:color w:val="auto"/>
                <w:spacing w:val="0"/>
                <w:position w:val="0"/>
                <w:sz w:val="22"/>
                <w:szCs w:val="22"/>
                <w:highlight w:val="none"/>
                <w:lang w:val="en-US" w:eastAsia="zh-CN"/>
              </w:rPr>
              <w:t>较差：得1-2分。没有内容或其情况不满足招标文件需求的不得分。</w:t>
            </w:r>
          </w:p>
        </w:tc>
      </w:tr>
      <w:tr w14:paraId="5789F8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567" w:hRule="atLeast"/>
        </w:trPr>
        <w:tc>
          <w:tcPr>
            <w:tcW w:w="916" w:type="dxa"/>
            <w:tcBorders>
              <w:tl2br w:val="nil"/>
              <w:tr2bl w:val="nil"/>
            </w:tcBorders>
            <w:shd w:val="clear" w:color="auto" w:fill="auto"/>
            <w:noWrap w:val="0"/>
            <w:vAlign w:val="center"/>
          </w:tcPr>
          <w:p w14:paraId="61C74864">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仿宋" w:hAnsi="仿宋" w:eastAsia="仿宋" w:cs="仿宋"/>
                <w:i w:val="0"/>
                <w:iCs w:val="0"/>
                <w:color w:val="auto"/>
                <w:spacing w:val="0"/>
                <w:kern w:val="0"/>
                <w:position w:val="0"/>
                <w:sz w:val="22"/>
                <w:szCs w:val="22"/>
                <w:highlight w:val="none"/>
                <w:u w:val="none"/>
                <w:lang w:val="en-US" w:eastAsia="zh-CN" w:bidi="ar"/>
              </w:rPr>
            </w:pPr>
            <w:r>
              <w:rPr>
                <w:rFonts w:hint="eastAsia" w:ascii="仿宋" w:hAnsi="仿宋" w:eastAsia="仿宋" w:cs="仿宋"/>
                <w:i w:val="0"/>
                <w:iCs w:val="0"/>
                <w:color w:val="auto"/>
                <w:spacing w:val="0"/>
                <w:kern w:val="0"/>
                <w:position w:val="0"/>
                <w:sz w:val="22"/>
                <w:szCs w:val="22"/>
                <w:highlight w:val="none"/>
                <w:u w:val="none"/>
                <w:lang w:val="en-US" w:eastAsia="zh-CN" w:bidi="ar"/>
              </w:rPr>
              <w:t>8</w:t>
            </w:r>
          </w:p>
        </w:tc>
        <w:tc>
          <w:tcPr>
            <w:tcW w:w="1704" w:type="dxa"/>
            <w:tcBorders>
              <w:tl2br w:val="nil"/>
              <w:tr2bl w:val="nil"/>
            </w:tcBorders>
            <w:noWrap w:val="0"/>
            <w:vAlign w:val="center"/>
          </w:tcPr>
          <w:p w14:paraId="5B73B3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rPr>
            </w:pPr>
            <w:r>
              <w:rPr>
                <w:rFonts w:hint="eastAsia" w:ascii="仿宋" w:hAnsi="仿宋" w:eastAsia="仿宋" w:cs="仿宋"/>
                <w:b w:val="0"/>
                <w:bCs w:val="0"/>
                <w:color w:val="auto"/>
                <w:spacing w:val="0"/>
                <w:position w:val="0"/>
                <w:sz w:val="22"/>
                <w:szCs w:val="22"/>
                <w:highlight w:val="none"/>
              </w:rPr>
              <w:t>安装、调试、验收的方案和措施</w:t>
            </w:r>
          </w:p>
        </w:tc>
        <w:tc>
          <w:tcPr>
            <w:tcW w:w="765" w:type="dxa"/>
            <w:tcBorders>
              <w:tl2br w:val="nil"/>
              <w:tr2bl w:val="nil"/>
            </w:tcBorders>
            <w:noWrap w:val="0"/>
            <w:vAlign w:val="center"/>
          </w:tcPr>
          <w:p w14:paraId="47EBC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position w:val="0"/>
                <w:sz w:val="22"/>
                <w:szCs w:val="22"/>
                <w:highlight w:val="none"/>
                <w:lang w:eastAsia="zh-CN"/>
              </w:rPr>
            </w:pPr>
            <w:r>
              <w:rPr>
                <w:rFonts w:hint="eastAsia" w:ascii="仿宋" w:hAnsi="仿宋" w:eastAsia="仿宋" w:cs="仿宋"/>
                <w:b w:val="0"/>
                <w:bCs w:val="0"/>
                <w:color w:val="auto"/>
                <w:spacing w:val="0"/>
                <w:position w:val="0"/>
                <w:sz w:val="22"/>
                <w:szCs w:val="22"/>
                <w:highlight w:val="none"/>
              </w:rPr>
              <w:t>0-</w:t>
            </w:r>
            <w:r>
              <w:rPr>
                <w:rFonts w:hint="eastAsia" w:ascii="仿宋" w:hAnsi="仿宋" w:eastAsia="仿宋" w:cs="仿宋"/>
                <w:b w:val="0"/>
                <w:bCs w:val="0"/>
                <w:color w:val="auto"/>
                <w:spacing w:val="0"/>
                <w:position w:val="0"/>
                <w:sz w:val="22"/>
                <w:szCs w:val="22"/>
                <w:highlight w:val="none"/>
                <w:lang w:val="en-US" w:eastAsia="zh-CN"/>
              </w:rPr>
              <w:t>5</w:t>
            </w:r>
          </w:p>
        </w:tc>
        <w:tc>
          <w:tcPr>
            <w:tcW w:w="6290" w:type="dxa"/>
            <w:tcBorders>
              <w:tl2br w:val="nil"/>
              <w:tr2bl w:val="nil"/>
            </w:tcBorders>
            <w:noWrap w:val="0"/>
            <w:vAlign w:val="top"/>
          </w:tcPr>
          <w:p w14:paraId="11EA758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rPr>
              <w:t>根据投标文件中安装、调试、验收的方案、专业技术人员和措施情况的合理性、可行性及是否满足采购要求等方面</w:t>
            </w:r>
            <w:r>
              <w:rPr>
                <w:rFonts w:hint="eastAsia" w:ascii="仿宋" w:hAnsi="仿宋" w:eastAsia="仿宋" w:cs="仿宋"/>
                <w:color w:val="auto"/>
                <w:spacing w:val="0"/>
                <w:position w:val="0"/>
                <w:sz w:val="22"/>
                <w:szCs w:val="22"/>
                <w:highlight w:val="none"/>
                <w:lang w:eastAsia="zh-CN"/>
              </w:rPr>
              <w:t>，</w:t>
            </w:r>
            <w:r>
              <w:rPr>
                <w:rFonts w:hint="eastAsia" w:ascii="仿宋" w:hAnsi="仿宋" w:eastAsia="仿宋" w:cs="仿宋"/>
                <w:color w:val="auto"/>
                <w:spacing w:val="0"/>
                <w:position w:val="0"/>
                <w:sz w:val="22"/>
                <w:szCs w:val="22"/>
                <w:highlight w:val="none"/>
                <w:lang w:val="en-US" w:eastAsia="zh-CN"/>
              </w:rPr>
              <w:t>由专家进行</w:t>
            </w:r>
            <w:r>
              <w:rPr>
                <w:rFonts w:hint="eastAsia" w:ascii="仿宋" w:hAnsi="仿宋" w:eastAsia="仿宋" w:cs="仿宋"/>
                <w:color w:val="auto"/>
                <w:spacing w:val="0"/>
                <w:position w:val="0"/>
                <w:sz w:val="22"/>
                <w:szCs w:val="22"/>
                <w:highlight w:val="none"/>
              </w:rPr>
              <w:t>综合打分。</w:t>
            </w:r>
          </w:p>
          <w:p w14:paraId="307E21C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rPr>
              <w:t>安装、调试、验收的方案和措施</w:t>
            </w:r>
            <w:r>
              <w:rPr>
                <w:rFonts w:hint="eastAsia" w:ascii="仿宋" w:hAnsi="仿宋" w:eastAsia="仿宋" w:cs="仿宋"/>
                <w:b w:val="0"/>
                <w:bCs w:val="0"/>
                <w:color w:val="auto"/>
                <w:spacing w:val="0"/>
                <w:position w:val="0"/>
                <w:sz w:val="22"/>
                <w:szCs w:val="22"/>
                <w:highlight w:val="none"/>
                <w:lang w:val="en-US" w:eastAsia="zh-CN"/>
              </w:rPr>
              <w:t>合理、可行性高：得4-5分；</w:t>
            </w:r>
            <w:r>
              <w:rPr>
                <w:rFonts w:hint="eastAsia" w:ascii="仿宋" w:hAnsi="仿宋" w:eastAsia="仿宋" w:cs="仿宋"/>
                <w:b w:val="0"/>
                <w:bCs w:val="0"/>
                <w:color w:val="auto"/>
                <w:spacing w:val="0"/>
                <w:position w:val="0"/>
                <w:sz w:val="22"/>
                <w:szCs w:val="22"/>
                <w:highlight w:val="none"/>
              </w:rPr>
              <w:t>安装、调试、验收的方案和措施</w:t>
            </w:r>
            <w:r>
              <w:rPr>
                <w:rFonts w:hint="eastAsia" w:ascii="仿宋" w:hAnsi="仿宋" w:eastAsia="仿宋" w:cs="仿宋"/>
                <w:b w:val="0"/>
                <w:bCs w:val="0"/>
                <w:color w:val="auto"/>
                <w:spacing w:val="0"/>
                <w:position w:val="0"/>
                <w:sz w:val="22"/>
                <w:szCs w:val="22"/>
                <w:highlight w:val="none"/>
                <w:lang w:val="en-US" w:eastAsia="zh-CN"/>
              </w:rPr>
              <w:t>一般：得2-4分；</w:t>
            </w:r>
            <w:r>
              <w:rPr>
                <w:rFonts w:hint="eastAsia" w:ascii="仿宋" w:hAnsi="仿宋" w:eastAsia="仿宋" w:cs="仿宋"/>
                <w:b w:val="0"/>
                <w:bCs w:val="0"/>
                <w:color w:val="auto"/>
                <w:spacing w:val="0"/>
                <w:position w:val="0"/>
                <w:sz w:val="22"/>
                <w:szCs w:val="22"/>
                <w:highlight w:val="none"/>
              </w:rPr>
              <w:t>安装、调试、验收的方案和措施</w:t>
            </w:r>
            <w:r>
              <w:rPr>
                <w:rFonts w:hint="eastAsia" w:ascii="仿宋" w:hAnsi="仿宋" w:eastAsia="仿宋" w:cs="仿宋"/>
                <w:b w:val="0"/>
                <w:bCs w:val="0"/>
                <w:color w:val="auto"/>
                <w:spacing w:val="0"/>
                <w:position w:val="0"/>
                <w:sz w:val="22"/>
                <w:szCs w:val="22"/>
                <w:highlight w:val="none"/>
                <w:lang w:val="en-US" w:eastAsia="zh-CN"/>
              </w:rPr>
              <w:t>较差：得1-2分。没有内容或其情况不满足招标文件需求的不得分。</w:t>
            </w:r>
          </w:p>
        </w:tc>
      </w:tr>
      <w:tr w14:paraId="78D58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567" w:hRule="atLeast"/>
        </w:trPr>
        <w:tc>
          <w:tcPr>
            <w:tcW w:w="916" w:type="dxa"/>
            <w:tcBorders>
              <w:tl2br w:val="nil"/>
              <w:tr2bl w:val="nil"/>
            </w:tcBorders>
            <w:shd w:val="clear" w:color="auto" w:fill="auto"/>
            <w:noWrap w:val="0"/>
            <w:vAlign w:val="center"/>
          </w:tcPr>
          <w:p w14:paraId="74E2EC91">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仿宋" w:hAnsi="仿宋" w:eastAsia="仿宋" w:cs="仿宋"/>
                <w:i w:val="0"/>
                <w:iCs w:val="0"/>
                <w:color w:val="auto"/>
                <w:spacing w:val="0"/>
                <w:kern w:val="0"/>
                <w:position w:val="0"/>
                <w:sz w:val="22"/>
                <w:szCs w:val="22"/>
                <w:highlight w:val="none"/>
                <w:u w:val="none"/>
                <w:lang w:val="en-US" w:eastAsia="zh-CN" w:bidi="ar"/>
              </w:rPr>
            </w:pPr>
            <w:r>
              <w:rPr>
                <w:rFonts w:hint="eastAsia" w:ascii="仿宋" w:hAnsi="仿宋" w:eastAsia="仿宋" w:cs="仿宋"/>
                <w:i w:val="0"/>
                <w:iCs w:val="0"/>
                <w:color w:val="auto"/>
                <w:spacing w:val="0"/>
                <w:kern w:val="0"/>
                <w:position w:val="0"/>
                <w:sz w:val="22"/>
                <w:szCs w:val="22"/>
                <w:highlight w:val="none"/>
                <w:u w:val="none"/>
                <w:lang w:val="en-US" w:eastAsia="zh-CN" w:bidi="ar"/>
              </w:rPr>
              <w:t>9</w:t>
            </w:r>
          </w:p>
        </w:tc>
        <w:tc>
          <w:tcPr>
            <w:tcW w:w="1704" w:type="dxa"/>
            <w:tcBorders>
              <w:tl2br w:val="nil"/>
              <w:tr2bl w:val="nil"/>
            </w:tcBorders>
            <w:noWrap w:val="0"/>
            <w:vAlign w:val="center"/>
          </w:tcPr>
          <w:p w14:paraId="0D9EDA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pacing w:val="0"/>
                <w:kern w:val="2"/>
                <w:position w:val="0"/>
                <w:sz w:val="22"/>
                <w:szCs w:val="22"/>
                <w:highlight w:val="none"/>
                <w:lang w:val="en-US" w:eastAsia="zh-CN" w:bidi="ar-SA"/>
              </w:rPr>
            </w:pPr>
            <w:r>
              <w:rPr>
                <w:rFonts w:hint="eastAsia" w:ascii="仿宋" w:hAnsi="仿宋" w:eastAsia="仿宋" w:cs="仿宋"/>
                <w:b w:val="0"/>
                <w:bCs w:val="0"/>
                <w:color w:val="auto"/>
                <w:spacing w:val="0"/>
                <w:kern w:val="2"/>
                <w:position w:val="0"/>
                <w:sz w:val="22"/>
                <w:szCs w:val="22"/>
                <w:highlight w:val="none"/>
                <w:lang w:val="en-US" w:eastAsia="zh-CN" w:bidi="ar-SA"/>
              </w:rPr>
              <w:t>项目实施计划</w:t>
            </w:r>
          </w:p>
        </w:tc>
        <w:tc>
          <w:tcPr>
            <w:tcW w:w="765" w:type="dxa"/>
            <w:tcBorders>
              <w:tl2br w:val="nil"/>
              <w:tr2bl w:val="nil"/>
            </w:tcBorders>
            <w:noWrap w:val="0"/>
            <w:vAlign w:val="center"/>
          </w:tcPr>
          <w:p w14:paraId="7B2B5B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pacing w:val="0"/>
                <w:kern w:val="2"/>
                <w:position w:val="0"/>
                <w:sz w:val="22"/>
                <w:szCs w:val="22"/>
                <w:highlight w:val="none"/>
                <w:lang w:val="en-US" w:eastAsia="zh-CN" w:bidi="ar-SA"/>
              </w:rPr>
            </w:pPr>
            <w:r>
              <w:rPr>
                <w:rFonts w:hint="eastAsia" w:ascii="仿宋" w:hAnsi="仿宋" w:eastAsia="仿宋" w:cs="仿宋"/>
                <w:b w:val="0"/>
                <w:bCs w:val="0"/>
                <w:color w:val="auto"/>
                <w:spacing w:val="0"/>
                <w:position w:val="0"/>
                <w:sz w:val="22"/>
                <w:szCs w:val="22"/>
                <w:highlight w:val="none"/>
                <w:lang w:val="en-US" w:eastAsia="zh-CN"/>
              </w:rPr>
              <w:t>0-5</w:t>
            </w:r>
          </w:p>
        </w:tc>
        <w:tc>
          <w:tcPr>
            <w:tcW w:w="6290" w:type="dxa"/>
            <w:tcBorders>
              <w:tl2br w:val="nil"/>
              <w:tr2bl w:val="nil"/>
            </w:tcBorders>
            <w:noWrap w:val="0"/>
            <w:vAlign w:val="center"/>
          </w:tcPr>
          <w:p w14:paraId="0B7D42E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lang w:val="en-US" w:eastAsia="zh-CN"/>
              </w:rPr>
              <w:t>根据</w:t>
            </w:r>
            <w:r>
              <w:rPr>
                <w:rFonts w:hint="eastAsia" w:ascii="仿宋" w:hAnsi="仿宋" w:eastAsia="仿宋" w:cs="仿宋"/>
                <w:color w:val="auto"/>
                <w:spacing w:val="0"/>
                <w:position w:val="0"/>
                <w:sz w:val="22"/>
                <w:szCs w:val="22"/>
                <w:highlight w:val="none"/>
              </w:rPr>
              <w:t>项目实施计划，工期安排、人员排班、拟投入设施设备等情况</w:t>
            </w:r>
            <w:r>
              <w:rPr>
                <w:rFonts w:hint="eastAsia" w:ascii="仿宋" w:hAnsi="仿宋" w:eastAsia="仿宋" w:cs="仿宋"/>
                <w:color w:val="auto"/>
                <w:spacing w:val="0"/>
                <w:position w:val="0"/>
                <w:sz w:val="22"/>
                <w:szCs w:val="22"/>
                <w:highlight w:val="none"/>
                <w:lang w:eastAsia="zh-CN"/>
              </w:rPr>
              <w:t>，</w:t>
            </w:r>
            <w:r>
              <w:rPr>
                <w:rFonts w:hint="eastAsia" w:ascii="仿宋" w:hAnsi="仿宋" w:eastAsia="仿宋" w:cs="仿宋"/>
                <w:color w:val="auto"/>
                <w:spacing w:val="0"/>
                <w:position w:val="0"/>
                <w:sz w:val="22"/>
                <w:szCs w:val="22"/>
                <w:highlight w:val="none"/>
                <w:lang w:val="en-US" w:eastAsia="zh-CN"/>
              </w:rPr>
              <w:t>由专家进行</w:t>
            </w:r>
            <w:r>
              <w:rPr>
                <w:rFonts w:hint="eastAsia" w:ascii="仿宋" w:hAnsi="仿宋" w:eastAsia="仿宋" w:cs="仿宋"/>
                <w:color w:val="auto"/>
                <w:spacing w:val="0"/>
                <w:position w:val="0"/>
                <w:sz w:val="22"/>
                <w:szCs w:val="22"/>
                <w:highlight w:val="none"/>
              </w:rPr>
              <w:t>综合打分。</w:t>
            </w:r>
          </w:p>
          <w:p w14:paraId="3F86B67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pacing w:val="0"/>
                <w:kern w:val="2"/>
                <w:position w:val="0"/>
                <w:sz w:val="22"/>
                <w:szCs w:val="22"/>
                <w:highlight w:val="none"/>
                <w:lang w:val="en-US" w:eastAsia="zh-CN" w:bidi="ar-SA"/>
              </w:rPr>
            </w:pPr>
            <w:r>
              <w:rPr>
                <w:rFonts w:hint="eastAsia" w:ascii="仿宋" w:hAnsi="仿宋" w:eastAsia="仿宋" w:cs="仿宋"/>
                <w:color w:val="auto"/>
                <w:spacing w:val="0"/>
                <w:position w:val="0"/>
                <w:sz w:val="22"/>
                <w:szCs w:val="22"/>
                <w:highlight w:val="none"/>
                <w:lang w:val="en-US" w:eastAsia="zh-Hans"/>
              </w:rPr>
              <w:t>方案内容完整详实，能够针对采购需求内容要求而细化制定，有明确的时间节点和应急安排的，</w:t>
            </w:r>
            <w:r>
              <w:rPr>
                <w:rFonts w:hint="eastAsia" w:ascii="仿宋" w:hAnsi="仿宋" w:eastAsia="仿宋" w:cs="仿宋"/>
                <w:color w:val="auto"/>
                <w:spacing w:val="0"/>
                <w:position w:val="0"/>
                <w:sz w:val="22"/>
                <w:szCs w:val="22"/>
                <w:highlight w:val="none"/>
                <w:lang w:val="en-US" w:eastAsia="zh-CN"/>
              </w:rPr>
              <w:t>根据方案细化程度：</w:t>
            </w:r>
            <w:r>
              <w:rPr>
                <w:rFonts w:hint="eastAsia" w:ascii="仿宋" w:hAnsi="仿宋" w:eastAsia="仿宋" w:cs="仿宋"/>
                <w:color w:val="auto"/>
                <w:sz w:val="22"/>
                <w:szCs w:val="22"/>
                <w:lang w:val="en-US" w:eastAsia="zh-CN"/>
              </w:rPr>
              <w:t>得4-5</w:t>
            </w:r>
            <w:r>
              <w:rPr>
                <w:rFonts w:hint="eastAsia" w:ascii="仿宋" w:hAnsi="仿宋" w:eastAsia="仿宋" w:cs="仿宋"/>
                <w:color w:val="auto"/>
                <w:sz w:val="22"/>
                <w:szCs w:val="22"/>
              </w:rPr>
              <w:t>分</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方案内容完整，针对采购需求内容要求而制定较齐全，基本能够满足采购需求的，根据方案细化程度得2-4</w:t>
            </w:r>
            <w:r>
              <w:rPr>
                <w:rFonts w:hint="eastAsia" w:ascii="仿宋" w:hAnsi="仿宋" w:eastAsia="仿宋" w:cs="仿宋"/>
                <w:color w:val="auto"/>
                <w:sz w:val="22"/>
                <w:szCs w:val="22"/>
              </w:rPr>
              <w:t>分</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方案内容虽有但内容笼统，针对采购需求内容要求而制定的计划但不细致的得1-2</w:t>
            </w:r>
            <w:r>
              <w:rPr>
                <w:rFonts w:hint="eastAsia" w:ascii="仿宋" w:hAnsi="仿宋" w:eastAsia="仿宋" w:cs="仿宋"/>
                <w:color w:val="auto"/>
                <w:sz w:val="22"/>
                <w:szCs w:val="22"/>
              </w:rPr>
              <w:t>分</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没有内容或其情况不满足招标文件需求的不得分。</w:t>
            </w:r>
          </w:p>
        </w:tc>
      </w:tr>
      <w:tr w14:paraId="38FB1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567" w:hRule="atLeast"/>
        </w:trPr>
        <w:tc>
          <w:tcPr>
            <w:tcW w:w="916" w:type="dxa"/>
            <w:tcBorders>
              <w:tl2br w:val="nil"/>
              <w:tr2bl w:val="nil"/>
            </w:tcBorders>
            <w:noWrap w:val="0"/>
            <w:vAlign w:val="center"/>
          </w:tcPr>
          <w:p w14:paraId="2554BDA7">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仿宋" w:hAnsi="仿宋" w:eastAsia="仿宋" w:cs="仿宋"/>
                <w:i w:val="0"/>
                <w:iCs w:val="0"/>
                <w:color w:val="auto"/>
                <w:spacing w:val="0"/>
                <w:kern w:val="0"/>
                <w:position w:val="0"/>
                <w:sz w:val="22"/>
                <w:szCs w:val="22"/>
                <w:highlight w:val="none"/>
                <w:u w:val="none"/>
                <w:lang w:val="en-US" w:eastAsia="zh-CN" w:bidi="ar"/>
              </w:rPr>
            </w:pPr>
            <w:r>
              <w:rPr>
                <w:rFonts w:hint="eastAsia" w:ascii="仿宋" w:hAnsi="仿宋" w:eastAsia="仿宋" w:cs="仿宋"/>
                <w:i w:val="0"/>
                <w:iCs w:val="0"/>
                <w:color w:val="auto"/>
                <w:spacing w:val="0"/>
                <w:kern w:val="0"/>
                <w:position w:val="0"/>
                <w:sz w:val="22"/>
                <w:szCs w:val="22"/>
                <w:highlight w:val="none"/>
                <w:u w:val="none"/>
                <w:lang w:val="en-US" w:eastAsia="zh-CN" w:bidi="ar"/>
              </w:rPr>
              <w:t>10</w:t>
            </w:r>
          </w:p>
        </w:tc>
        <w:tc>
          <w:tcPr>
            <w:tcW w:w="1704" w:type="dxa"/>
            <w:tcBorders>
              <w:tl2br w:val="nil"/>
              <w:tr2bl w:val="nil"/>
            </w:tcBorders>
            <w:noWrap w:val="0"/>
            <w:vAlign w:val="center"/>
          </w:tcPr>
          <w:p w14:paraId="64DF6C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pacing w:val="0"/>
                <w:kern w:val="2"/>
                <w:position w:val="0"/>
                <w:sz w:val="22"/>
                <w:szCs w:val="22"/>
                <w:highlight w:val="none"/>
                <w:lang w:val="en-US" w:eastAsia="zh-CN" w:bidi="ar-SA"/>
              </w:rPr>
            </w:pPr>
            <w:r>
              <w:rPr>
                <w:rFonts w:hint="eastAsia" w:ascii="仿宋" w:hAnsi="仿宋" w:eastAsia="仿宋" w:cs="仿宋"/>
                <w:b w:val="0"/>
                <w:bCs w:val="0"/>
                <w:color w:val="auto"/>
                <w:spacing w:val="0"/>
                <w:kern w:val="2"/>
                <w:position w:val="0"/>
                <w:sz w:val="22"/>
                <w:szCs w:val="22"/>
                <w:highlight w:val="none"/>
                <w:lang w:val="en-US" w:eastAsia="zh-CN" w:bidi="ar-SA"/>
              </w:rPr>
              <w:t>培训方案</w:t>
            </w:r>
          </w:p>
        </w:tc>
        <w:tc>
          <w:tcPr>
            <w:tcW w:w="765" w:type="dxa"/>
            <w:tcBorders>
              <w:tl2br w:val="nil"/>
              <w:tr2bl w:val="nil"/>
            </w:tcBorders>
            <w:noWrap w:val="0"/>
            <w:vAlign w:val="center"/>
          </w:tcPr>
          <w:p w14:paraId="250DE5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pacing w:val="0"/>
                <w:position w:val="0"/>
                <w:sz w:val="22"/>
                <w:szCs w:val="22"/>
                <w:highlight w:val="none"/>
                <w:lang w:val="en-US" w:eastAsia="zh-CN"/>
              </w:rPr>
            </w:pPr>
            <w:r>
              <w:rPr>
                <w:rFonts w:hint="eastAsia" w:ascii="仿宋" w:hAnsi="仿宋" w:eastAsia="仿宋" w:cs="仿宋"/>
                <w:b w:val="0"/>
                <w:bCs w:val="0"/>
                <w:color w:val="auto"/>
                <w:spacing w:val="0"/>
                <w:position w:val="0"/>
                <w:sz w:val="22"/>
                <w:szCs w:val="22"/>
                <w:highlight w:val="none"/>
                <w:lang w:val="en-US" w:eastAsia="zh-CN"/>
              </w:rPr>
              <w:t>0-5</w:t>
            </w:r>
          </w:p>
        </w:tc>
        <w:tc>
          <w:tcPr>
            <w:tcW w:w="6290" w:type="dxa"/>
            <w:tcBorders>
              <w:tl2br w:val="nil"/>
              <w:tr2bl w:val="nil"/>
            </w:tcBorders>
            <w:noWrap w:val="0"/>
            <w:vAlign w:val="center"/>
          </w:tcPr>
          <w:p w14:paraId="73559BC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 w:hAnsi="仿宋" w:eastAsia="仿宋" w:cs="仿宋"/>
                <w:color w:val="auto"/>
                <w:spacing w:val="0"/>
                <w:position w:val="0"/>
                <w:sz w:val="22"/>
                <w:szCs w:val="22"/>
                <w:highlight w:val="none"/>
                <w:lang w:val="en-US" w:eastAsia="zh-CN"/>
              </w:rPr>
            </w:pPr>
            <w:r>
              <w:rPr>
                <w:rFonts w:hint="default" w:ascii="仿宋" w:hAnsi="仿宋" w:eastAsia="仿宋" w:cs="仿宋"/>
                <w:color w:val="auto"/>
                <w:spacing w:val="0"/>
                <w:position w:val="0"/>
                <w:sz w:val="22"/>
                <w:szCs w:val="22"/>
                <w:highlight w:val="none"/>
                <w:lang w:val="en-US" w:eastAsia="zh-CN"/>
              </w:rPr>
              <w:t>标人提供完整、操作性强的培训方案，包括培训内容、培训时间、培训地点、培训目标、培训人数、培训方法和培训师资等。</w:t>
            </w:r>
          </w:p>
          <w:p w14:paraId="53F422C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 w:hAnsi="仿宋" w:eastAsia="仿宋" w:cs="仿宋"/>
                <w:color w:val="auto"/>
                <w:spacing w:val="0"/>
                <w:position w:val="0"/>
                <w:sz w:val="22"/>
                <w:szCs w:val="22"/>
                <w:highlight w:val="none"/>
                <w:lang w:val="en-US" w:eastAsia="zh-CN"/>
              </w:rPr>
            </w:pPr>
            <w:r>
              <w:rPr>
                <w:rFonts w:hint="default" w:ascii="仿宋" w:hAnsi="仿宋" w:eastAsia="仿宋" w:cs="仿宋"/>
                <w:color w:val="auto"/>
                <w:spacing w:val="0"/>
                <w:position w:val="0"/>
                <w:sz w:val="22"/>
                <w:szCs w:val="22"/>
                <w:highlight w:val="none"/>
                <w:lang w:val="en-US" w:eastAsia="zh-CN"/>
              </w:rPr>
              <w:t>培训方案内容详实，方案表述全面、相关措施可操作性强且优于采购需求，根据培训方案的符合程度得4-5 分；内容基本详实，相关措施具有操作性，能够满足采购需求，根据培训方案的符合程度得 2-4 分；方案内容有所欠缺，但相关措施具有操作性，经过优化可实现采购需求，根据培训方案的符合程度得 1-2 分。没有内容或其情况不满足招标文件需求的不得分。</w:t>
            </w:r>
          </w:p>
        </w:tc>
      </w:tr>
      <w:tr w14:paraId="7085D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567" w:hRule="atLeast"/>
        </w:trPr>
        <w:tc>
          <w:tcPr>
            <w:tcW w:w="9675" w:type="dxa"/>
            <w:gridSpan w:val="4"/>
            <w:tcBorders>
              <w:tl2br w:val="nil"/>
              <w:tr2bl w:val="nil"/>
            </w:tcBorders>
            <w:shd w:val="clear" w:color="auto" w:fill="auto"/>
            <w:noWrap w:val="0"/>
            <w:vAlign w:val="center"/>
          </w:tcPr>
          <w:p w14:paraId="0ABEC7A9">
            <w:pPr>
              <w:keepNext w:val="0"/>
              <w:keepLines w:val="0"/>
              <w:pageBreakBefore w:val="0"/>
              <w:kinsoku/>
              <w:wordWrap/>
              <w:overflowPunct/>
              <w:topLinePunct w:val="0"/>
              <w:bidi w:val="0"/>
              <w:adjustRightInd/>
              <w:spacing w:before="36" w:line="360" w:lineRule="exact"/>
              <w:ind w:left="120" w:right="310" w:hanging="1"/>
              <w:jc w:val="left"/>
              <w:rPr>
                <w:rFonts w:hint="default" w:ascii="仿宋" w:hAnsi="仿宋" w:eastAsia="仿宋" w:cs="仿宋"/>
                <w:color w:val="auto"/>
                <w:spacing w:val="0"/>
                <w:position w:val="0"/>
                <w:sz w:val="22"/>
                <w:szCs w:val="22"/>
                <w:highlight w:val="none"/>
                <w:lang w:val="en-US" w:eastAsia="zh-CN"/>
              </w:rPr>
            </w:pPr>
            <w:r>
              <w:rPr>
                <w:rFonts w:hint="eastAsia" w:ascii="仿宋" w:hAnsi="仿宋" w:eastAsia="仿宋" w:cs="仿宋"/>
                <w:b/>
                <w:bCs/>
                <w:color w:val="auto"/>
                <w:spacing w:val="0"/>
                <w:position w:val="0"/>
                <w:sz w:val="24"/>
                <w:szCs w:val="24"/>
                <w:highlight w:val="none"/>
                <w:lang w:val="en-US" w:eastAsia="zh-CN"/>
              </w:rPr>
              <w:t>（二）商务报价分（满分30分）</w:t>
            </w:r>
          </w:p>
        </w:tc>
      </w:tr>
      <w:tr w14:paraId="56B4AD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 w:type="dxa"/>
            <w:left w:w="11" w:type="dxa"/>
            <w:bottom w:w="11" w:type="dxa"/>
            <w:right w:w="11" w:type="dxa"/>
          </w:tblCellMar>
        </w:tblPrEx>
        <w:trPr>
          <w:trHeight w:val="567" w:hRule="atLeast"/>
        </w:trPr>
        <w:tc>
          <w:tcPr>
            <w:tcW w:w="9675" w:type="dxa"/>
            <w:gridSpan w:val="4"/>
            <w:tcBorders>
              <w:tl2br w:val="nil"/>
              <w:tr2bl w:val="nil"/>
            </w:tcBorders>
            <w:noWrap w:val="0"/>
            <w:vAlign w:val="center"/>
          </w:tcPr>
          <w:p w14:paraId="4B9ACC3D">
            <w:pPr>
              <w:keepNext w:val="0"/>
              <w:keepLines w:val="0"/>
              <w:pageBreakBefore w:val="0"/>
              <w:kinsoku/>
              <w:wordWrap/>
              <w:overflowPunct/>
              <w:topLinePunct w:val="0"/>
              <w:bidi w:val="0"/>
              <w:adjustRightInd/>
              <w:spacing w:line="360" w:lineRule="auto"/>
              <w:ind w:left="0" w:right="0" w:firstLine="0"/>
              <w:rPr>
                <w:rStyle w:val="78"/>
                <w:rFonts w:hint="eastAsia" w:ascii="仿宋" w:hAnsi="仿宋" w:eastAsia="仿宋" w:cs="仿宋"/>
                <w:color w:val="auto"/>
                <w:sz w:val="22"/>
                <w:szCs w:val="22"/>
                <w:lang w:eastAsia="zh-CN"/>
              </w:rPr>
            </w:pPr>
            <w:r>
              <w:rPr>
                <w:rStyle w:val="78"/>
                <w:rFonts w:hint="eastAsia" w:ascii="仿宋" w:hAnsi="仿宋" w:eastAsia="仿宋" w:cs="仿宋"/>
                <w:color w:val="auto"/>
                <w:sz w:val="22"/>
                <w:szCs w:val="22"/>
                <w:lang w:val="en-US" w:eastAsia="zh-CN"/>
              </w:rPr>
              <w:t>1.</w:t>
            </w:r>
            <w:r>
              <w:rPr>
                <w:rStyle w:val="78"/>
                <w:rFonts w:hint="eastAsia" w:ascii="仿宋" w:hAnsi="仿宋" w:eastAsia="仿宋" w:cs="仿宋"/>
                <w:color w:val="auto"/>
                <w:sz w:val="22"/>
                <w:szCs w:val="22"/>
              </w:rPr>
              <w:t>根据各投标人的有效投标报价，以满足招标文件要求且有效投标价格的最低的投标报价为评标基准价，其价格分为30分。其他投标人的价格分统一按照下列公式计算：投标报价得分＝(评标基准价/有效投标报价)×价格权值×100(精确到小数点后二位)</w:t>
            </w:r>
            <w:r>
              <w:rPr>
                <w:rStyle w:val="78"/>
                <w:rFonts w:hint="eastAsia" w:ascii="仿宋" w:hAnsi="仿宋" w:eastAsia="仿宋" w:cs="仿宋"/>
                <w:color w:val="auto"/>
                <w:sz w:val="22"/>
                <w:szCs w:val="22"/>
                <w:lang w:eastAsia="zh-CN"/>
              </w:rPr>
              <w:t>。</w:t>
            </w:r>
          </w:p>
          <w:p w14:paraId="29427102">
            <w:pPr>
              <w:keepNext w:val="0"/>
              <w:keepLines w:val="0"/>
              <w:pageBreakBefore w:val="0"/>
              <w:kinsoku/>
              <w:wordWrap/>
              <w:overflowPunct/>
              <w:topLinePunct w:val="0"/>
              <w:bidi w:val="0"/>
              <w:adjustRightInd/>
              <w:spacing w:line="360" w:lineRule="auto"/>
              <w:ind w:left="0" w:right="0" w:firstLine="0"/>
              <w:rPr>
                <w:rStyle w:val="78"/>
                <w:rFonts w:hint="eastAsia" w:ascii="仿宋" w:hAnsi="仿宋" w:eastAsia="仿宋" w:cs="仿宋"/>
                <w:color w:val="auto"/>
                <w:sz w:val="22"/>
                <w:szCs w:val="22"/>
                <w:lang w:val="en-US" w:eastAsia="zh-CN"/>
              </w:rPr>
            </w:pPr>
            <w:r>
              <w:rPr>
                <w:rStyle w:val="78"/>
                <w:rFonts w:hint="eastAsia" w:ascii="仿宋" w:hAnsi="仿宋" w:eastAsia="仿宋" w:cs="仿宋"/>
                <w:color w:val="auto"/>
                <w:sz w:val="22"/>
                <w:szCs w:val="22"/>
                <w:lang w:val="en-US" w:eastAsia="zh-CN"/>
              </w:rPr>
              <w:t>2.本项目在报价评审时对符合中小企业划型标准规定（工信部联企业[2011]300号）的小型和微型企业给予价格优惠扶持，用扣除后的价格参与评审，具体如下：</w:t>
            </w:r>
          </w:p>
          <w:p w14:paraId="14EFDA19">
            <w:pPr>
              <w:keepNext w:val="0"/>
              <w:keepLines w:val="0"/>
              <w:pageBreakBefore w:val="0"/>
              <w:kinsoku/>
              <w:wordWrap/>
              <w:overflowPunct/>
              <w:topLinePunct w:val="0"/>
              <w:bidi w:val="0"/>
              <w:adjustRightInd/>
              <w:spacing w:line="360" w:lineRule="auto"/>
              <w:ind w:left="0" w:right="0" w:firstLine="0"/>
              <w:rPr>
                <w:rStyle w:val="78"/>
                <w:rFonts w:hint="eastAsia" w:ascii="仿宋" w:hAnsi="仿宋" w:eastAsia="仿宋" w:cs="仿宋"/>
                <w:color w:val="auto"/>
                <w:sz w:val="22"/>
                <w:szCs w:val="22"/>
                <w:lang w:val="en-US" w:eastAsia="zh-CN"/>
              </w:rPr>
            </w:pPr>
            <w:r>
              <w:rPr>
                <w:rStyle w:val="78"/>
                <w:rFonts w:hint="eastAsia" w:ascii="仿宋" w:hAnsi="仿宋" w:eastAsia="仿宋" w:cs="仿宋"/>
                <w:color w:val="auto"/>
                <w:sz w:val="22"/>
                <w:szCs w:val="22"/>
                <w:lang w:val="en-US" w:eastAsia="zh-CN"/>
              </w:rPr>
              <w:t>(1)本项目对小型和微型企业产品的价格给予 10% 的扣除，用扣除后的价格（即投标报价的 90% ）参与报价分评审。</w:t>
            </w:r>
          </w:p>
          <w:p w14:paraId="5253FFC1">
            <w:pPr>
              <w:keepNext w:val="0"/>
              <w:keepLines w:val="0"/>
              <w:pageBreakBefore w:val="0"/>
              <w:kinsoku/>
              <w:wordWrap/>
              <w:overflowPunct/>
              <w:topLinePunct w:val="0"/>
              <w:bidi w:val="0"/>
              <w:adjustRightInd/>
              <w:spacing w:line="360" w:lineRule="auto"/>
              <w:ind w:left="0" w:right="0" w:firstLine="0"/>
              <w:rPr>
                <w:rStyle w:val="78"/>
                <w:rFonts w:hint="eastAsia" w:ascii="仿宋" w:hAnsi="仿宋" w:eastAsia="仿宋" w:cs="仿宋"/>
                <w:color w:val="auto"/>
                <w:sz w:val="22"/>
                <w:szCs w:val="22"/>
                <w:lang w:val="en-US" w:eastAsia="zh-CN"/>
              </w:rPr>
            </w:pPr>
            <w:r>
              <w:rPr>
                <w:rStyle w:val="78"/>
                <w:rFonts w:hint="eastAsia" w:ascii="仿宋" w:hAnsi="仿宋" w:eastAsia="仿宋" w:cs="仿宋"/>
                <w:color w:val="auto"/>
                <w:sz w:val="22"/>
                <w:szCs w:val="22"/>
                <w:lang w:val="en-US" w:eastAsia="zh-CN"/>
              </w:rPr>
              <w:t>(2)参与本项目政府采购活动的中小企业应当提供 《中小企业声明函》。</w:t>
            </w:r>
          </w:p>
          <w:p w14:paraId="25406A2E">
            <w:pPr>
              <w:keepNext w:val="0"/>
              <w:keepLines w:val="0"/>
              <w:pageBreakBefore w:val="0"/>
              <w:kinsoku/>
              <w:wordWrap/>
              <w:overflowPunct/>
              <w:topLinePunct w:val="0"/>
              <w:bidi w:val="0"/>
              <w:adjustRightInd/>
              <w:spacing w:line="360" w:lineRule="auto"/>
              <w:ind w:left="0" w:right="0" w:firstLine="0"/>
              <w:rPr>
                <w:rStyle w:val="78"/>
                <w:rFonts w:hint="eastAsia" w:ascii="仿宋" w:hAnsi="仿宋" w:eastAsia="仿宋" w:cs="仿宋"/>
                <w:color w:val="auto"/>
                <w:sz w:val="22"/>
                <w:szCs w:val="22"/>
                <w:lang w:val="en-US" w:eastAsia="zh-CN"/>
              </w:rPr>
            </w:pPr>
            <w:r>
              <w:rPr>
                <w:rStyle w:val="78"/>
                <w:rFonts w:hint="eastAsia" w:ascii="仿宋" w:hAnsi="仿宋" w:eastAsia="仿宋" w:cs="仿宋"/>
                <w:color w:val="auto"/>
                <w:sz w:val="22"/>
                <w:szCs w:val="22"/>
                <w:lang w:val="en-US" w:eastAsia="zh-CN"/>
              </w:rPr>
              <w:t>(3)中小企业按上述优惠取得政府采购合同后，小型、微型企业不得分包或转包给大型、中型企业，中型企业不得分包或转包给大型企业。</w:t>
            </w:r>
          </w:p>
          <w:p w14:paraId="11E9BFB2">
            <w:pPr>
              <w:keepNext w:val="0"/>
              <w:keepLines w:val="0"/>
              <w:pageBreakBefore w:val="0"/>
              <w:kinsoku/>
              <w:wordWrap/>
              <w:overflowPunct/>
              <w:topLinePunct w:val="0"/>
              <w:bidi w:val="0"/>
              <w:adjustRightInd/>
              <w:spacing w:line="360" w:lineRule="auto"/>
              <w:ind w:left="0" w:right="0" w:firstLine="0"/>
              <w:rPr>
                <w:rStyle w:val="78"/>
                <w:rFonts w:hint="eastAsia" w:ascii="仿宋" w:hAnsi="仿宋" w:eastAsia="仿宋" w:cs="仿宋"/>
                <w:color w:val="auto"/>
                <w:sz w:val="22"/>
                <w:szCs w:val="22"/>
                <w:lang w:val="en-US" w:eastAsia="zh-CN"/>
              </w:rPr>
            </w:pPr>
            <w:r>
              <w:rPr>
                <w:rStyle w:val="78"/>
                <w:rFonts w:hint="eastAsia" w:ascii="仿宋" w:hAnsi="仿宋" w:eastAsia="仿宋" w:cs="仿宋"/>
                <w:color w:val="auto"/>
                <w:sz w:val="22"/>
                <w:szCs w:val="22"/>
                <w:lang w:val="en-US" w:eastAsia="zh-CN"/>
              </w:rPr>
              <w:t>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10%的价格扣除扶持政策。</w:t>
            </w:r>
          </w:p>
          <w:p w14:paraId="723FCDBE">
            <w:pPr>
              <w:keepNext w:val="0"/>
              <w:keepLines w:val="0"/>
              <w:pageBreakBefore w:val="0"/>
              <w:kinsoku/>
              <w:wordWrap/>
              <w:overflowPunct/>
              <w:topLinePunct w:val="0"/>
              <w:bidi w:val="0"/>
              <w:adjustRightInd/>
              <w:spacing w:line="360" w:lineRule="auto"/>
              <w:ind w:left="0" w:right="0" w:firstLine="0"/>
              <w:rPr>
                <w:rStyle w:val="78"/>
                <w:rFonts w:hint="eastAsia" w:ascii="仿宋" w:hAnsi="仿宋" w:eastAsia="仿宋" w:cs="仿宋"/>
                <w:color w:val="auto"/>
                <w:sz w:val="22"/>
                <w:szCs w:val="22"/>
                <w:lang w:val="en-US" w:eastAsia="zh-CN"/>
              </w:rPr>
            </w:pPr>
            <w:r>
              <w:rPr>
                <w:rStyle w:val="78"/>
                <w:rFonts w:hint="eastAsia" w:ascii="仿宋" w:hAnsi="仿宋" w:eastAsia="仿宋" w:cs="仿宋"/>
                <w:color w:val="auto"/>
                <w:sz w:val="22"/>
                <w:szCs w:val="22"/>
                <w:lang w:val="en-US" w:eastAsia="zh-CN"/>
              </w:rPr>
              <w:t>备注：（1）监狱企业证明文件：省级或以上监狱管理局、戒毒管理局（含新疆生产建设兵团）出具的属于监狱企业的证明文件。（2）如果提供其他监狱企业制造的货物，还须同时提供该企业为监狱企业的证明文件。</w:t>
            </w:r>
          </w:p>
          <w:p w14:paraId="62FA5774">
            <w:pPr>
              <w:keepNext w:val="0"/>
              <w:keepLines w:val="0"/>
              <w:pageBreakBefore w:val="0"/>
              <w:kinsoku/>
              <w:wordWrap/>
              <w:overflowPunct/>
              <w:topLinePunct w:val="0"/>
              <w:bidi w:val="0"/>
              <w:adjustRightInd/>
              <w:spacing w:line="360" w:lineRule="auto"/>
              <w:ind w:left="0" w:right="0" w:firstLine="0"/>
              <w:rPr>
                <w:rStyle w:val="78"/>
                <w:rFonts w:hint="eastAsia" w:ascii="仿宋" w:hAnsi="仿宋" w:eastAsia="仿宋" w:cs="仿宋"/>
                <w:color w:val="auto"/>
                <w:sz w:val="22"/>
                <w:szCs w:val="22"/>
                <w:lang w:val="en-US" w:eastAsia="zh-CN"/>
              </w:rPr>
            </w:pPr>
            <w:r>
              <w:rPr>
                <w:rStyle w:val="78"/>
                <w:rFonts w:hint="eastAsia" w:ascii="仿宋" w:hAnsi="仿宋" w:eastAsia="仿宋" w:cs="仿宋"/>
                <w:color w:val="auto"/>
                <w:sz w:val="22"/>
                <w:szCs w:val="22"/>
                <w:lang w:val="en-US" w:eastAsia="zh-CN"/>
              </w:rPr>
              <w:t>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10%价格扣除扶持政策。</w:t>
            </w:r>
          </w:p>
          <w:p w14:paraId="4F1E2334">
            <w:pPr>
              <w:keepNext w:val="0"/>
              <w:keepLines w:val="0"/>
              <w:pageBreakBefore w:val="0"/>
              <w:kinsoku/>
              <w:wordWrap/>
              <w:overflowPunct/>
              <w:topLinePunct w:val="0"/>
              <w:bidi w:val="0"/>
              <w:adjustRightInd/>
              <w:spacing w:line="360" w:lineRule="auto"/>
              <w:ind w:left="0" w:right="0" w:firstLine="0"/>
              <w:rPr>
                <w:rStyle w:val="78"/>
                <w:rFonts w:hint="eastAsia" w:ascii="仿宋" w:hAnsi="仿宋" w:eastAsia="仿宋" w:cs="仿宋"/>
                <w:color w:val="auto"/>
                <w:sz w:val="22"/>
                <w:szCs w:val="22"/>
                <w:lang w:val="en-US" w:eastAsia="zh-CN"/>
              </w:rPr>
            </w:pPr>
            <w:r>
              <w:rPr>
                <w:rStyle w:val="78"/>
                <w:rFonts w:hint="eastAsia" w:ascii="仿宋" w:hAnsi="仿宋" w:eastAsia="仿宋" w:cs="仿宋"/>
                <w:color w:val="auto"/>
                <w:sz w:val="22"/>
                <w:szCs w:val="22"/>
                <w:lang w:val="en-US" w:eastAsia="zh-CN"/>
              </w:rPr>
              <w:t>备注：（1）残疾人福利性单位证明材料：残疾人福利性单位声明函。（2）如提供其他残疾人福利性单位制造的货物，还须同时提供该企业的残疾人福利性单位声明函。</w:t>
            </w:r>
          </w:p>
          <w:p w14:paraId="54B4FB69">
            <w:pPr>
              <w:keepNext w:val="0"/>
              <w:keepLines w:val="0"/>
              <w:pageBreakBefore w:val="0"/>
              <w:kinsoku/>
              <w:wordWrap/>
              <w:overflowPunct/>
              <w:topLinePunct w:val="0"/>
              <w:bidi w:val="0"/>
              <w:adjustRightInd/>
              <w:spacing w:line="360" w:lineRule="auto"/>
              <w:ind w:left="0" w:right="0" w:firstLine="0"/>
              <w:rPr>
                <w:rFonts w:hint="eastAsia" w:ascii="仿宋" w:hAnsi="仿宋" w:eastAsia="仿宋" w:cs="仿宋"/>
                <w:color w:val="auto"/>
                <w:spacing w:val="0"/>
                <w:position w:val="0"/>
                <w:sz w:val="22"/>
                <w:szCs w:val="22"/>
                <w:highlight w:val="none"/>
                <w:lang w:eastAsia="zh-CN"/>
              </w:rPr>
            </w:pPr>
            <w:r>
              <w:rPr>
                <w:rStyle w:val="78"/>
                <w:rFonts w:hint="eastAsia" w:ascii="仿宋" w:hAnsi="仿宋" w:eastAsia="仿宋" w:cs="仿宋"/>
                <w:color w:val="auto"/>
                <w:sz w:val="22"/>
                <w:szCs w:val="22"/>
                <w:lang w:val="en-US" w:eastAsia="zh-CN"/>
              </w:rPr>
              <w:t>5.</w:t>
            </w:r>
            <w:r>
              <w:rPr>
                <w:rStyle w:val="78"/>
                <w:rFonts w:hint="eastAsia" w:ascii="仿宋" w:hAnsi="仿宋" w:eastAsia="仿宋" w:cs="仿宋"/>
                <w:color w:val="auto"/>
                <w:sz w:val="22"/>
                <w:szCs w:val="22"/>
                <w:lang w:eastAsia="zh-CN"/>
              </w:rPr>
              <w:t>评标委员会认为投标人的报价明显低于其他通过符合性审查投标人的报价，有可能影响产品质量或者不能诚信履约的，将</w:t>
            </w:r>
            <w:r>
              <w:rPr>
                <w:rStyle w:val="78"/>
                <w:rFonts w:hint="eastAsia" w:ascii="仿宋" w:hAnsi="仿宋" w:eastAsia="仿宋" w:cs="仿宋"/>
                <w:color w:val="auto"/>
                <w:sz w:val="22"/>
                <w:szCs w:val="22"/>
                <w:lang w:val="en-US" w:eastAsia="zh-CN"/>
              </w:rPr>
              <w:t>通过政采云询标要求</w:t>
            </w:r>
            <w:r>
              <w:rPr>
                <w:rStyle w:val="78"/>
                <w:rFonts w:hint="eastAsia" w:ascii="仿宋" w:hAnsi="仿宋" w:eastAsia="仿宋" w:cs="仿宋"/>
                <w:color w:val="auto"/>
                <w:sz w:val="22"/>
                <w:szCs w:val="22"/>
                <w:lang w:eastAsia="zh-CN"/>
              </w:rPr>
              <w:t>其在合理的时间内提供说明，必要时提交相关证明材料；投标人不能证明其报价合理性的，将会作为无效投标处理。</w:t>
            </w:r>
          </w:p>
        </w:tc>
      </w:tr>
    </w:tbl>
    <w:p w14:paraId="6EE5FB4F">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*备注：①投标人编制投标文件（商务技术文件部分）时，建议按此目录（序号和内容）提供评标标准相应的商务技术资料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未提供的该项评审内容不得分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②评分办法及评分细则的解释权属采购人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未列入本评分细则的其他条件不作为评分内容。</w:t>
      </w:r>
    </w:p>
    <w:p w14:paraId="2849FAFD">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sz w:val="24"/>
          <w:szCs w:val="24"/>
        </w:rPr>
      </w:pPr>
    </w:p>
    <w:p w14:paraId="1F3B7EF1">
      <w:pPr>
        <w:rPr>
          <w:rFonts w:hint="eastAsia" w:ascii="仿宋" w:hAnsi="仿宋" w:eastAsia="仿宋" w:cs="仿宋"/>
          <w:b/>
          <w:color w:val="auto"/>
          <w:sz w:val="32"/>
        </w:rPr>
      </w:pPr>
      <w:r>
        <w:rPr>
          <w:rFonts w:hint="eastAsia" w:ascii="仿宋" w:hAnsi="仿宋" w:eastAsia="仿宋" w:cs="仿宋"/>
          <w:b/>
          <w:color w:val="auto"/>
          <w:sz w:val="32"/>
        </w:rPr>
        <w:br w:type="page"/>
      </w:r>
    </w:p>
    <w:p w14:paraId="0B32D287">
      <w:pPr>
        <w:keepNext w:val="0"/>
        <w:keepLines w:val="0"/>
        <w:pageBreakBefore w:val="0"/>
        <w:kinsoku/>
        <w:wordWrap/>
        <w:overflowPunct/>
        <w:topLinePunct w:val="0"/>
        <w:autoSpaceDE w:val="0"/>
        <w:autoSpaceDN w:val="0"/>
        <w:bidi w:val="0"/>
        <w:adjustRightInd/>
        <w:snapToGrid w:val="0"/>
        <w:spacing w:line="351" w:lineRule="auto"/>
        <w:ind w:leftChars="0" w:right="0"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164EE19">
      <w:pPr>
        <w:keepNext w:val="0"/>
        <w:keepLines w:val="0"/>
        <w:pageBreakBefore w:val="0"/>
        <w:kinsoku/>
        <w:wordWrap/>
        <w:overflowPunct/>
        <w:topLinePunct w:val="0"/>
        <w:autoSpaceDE w:val="0"/>
        <w:autoSpaceDN w:val="0"/>
        <w:bidi w:val="0"/>
        <w:adjustRightInd/>
        <w:spacing w:line="351" w:lineRule="auto"/>
        <w:ind w:leftChars="0" w:right="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5762DB9D">
      <w:pPr>
        <w:keepNext w:val="0"/>
        <w:keepLines w:val="0"/>
        <w:pageBreakBefore w:val="0"/>
        <w:kinsoku/>
        <w:wordWrap/>
        <w:overflowPunct/>
        <w:topLinePunct w:val="0"/>
        <w:autoSpaceDE w:val="0"/>
        <w:autoSpaceDN w:val="0"/>
        <w:bidi w:val="0"/>
        <w:adjustRightInd/>
        <w:spacing w:line="351" w:lineRule="auto"/>
        <w:ind w:leftChars="0" w:right="0" w:firstLine="0" w:firstLineChars="0"/>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12478BF2">
      <w:pPr>
        <w:keepNext w:val="0"/>
        <w:keepLines w:val="0"/>
        <w:pageBreakBefore w:val="0"/>
        <w:kinsoku/>
        <w:wordWrap/>
        <w:overflowPunct/>
        <w:topLinePunct w:val="0"/>
        <w:autoSpaceDE w:val="0"/>
        <w:autoSpaceDN w:val="0"/>
        <w:bidi w:val="0"/>
        <w:adjustRightInd/>
        <w:spacing w:line="351" w:lineRule="auto"/>
        <w:ind w:leftChars="0" w:righ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14:paraId="7015376C">
      <w:pPr>
        <w:keepNext w:val="0"/>
        <w:keepLines w:val="0"/>
        <w:pageBreakBefore w:val="0"/>
        <w:kinsoku/>
        <w:wordWrap/>
        <w:overflowPunct/>
        <w:topLinePunct w:val="0"/>
        <w:autoSpaceDE w:val="0"/>
        <w:autoSpaceDN w:val="0"/>
        <w:bidi w:val="0"/>
        <w:adjustRightInd/>
        <w:spacing w:line="351" w:lineRule="auto"/>
        <w:ind w:leftChars="0" w:right="0" w:firstLine="0" w:firstLineChars="0"/>
        <w:textAlignment w:val="auto"/>
        <w:rPr>
          <w:rFonts w:hint="eastAsia" w:ascii="仿宋" w:hAnsi="仿宋" w:eastAsia="仿宋" w:cs="仿宋"/>
          <w:b/>
          <w:color w:val="auto"/>
          <w:sz w:val="32"/>
        </w:rPr>
      </w:pPr>
      <w:bookmarkStart w:id="203" w:name="_Toc20500"/>
      <w:bookmarkStart w:id="204" w:name="_Toc3112"/>
      <w:r>
        <w:rPr>
          <w:rFonts w:hint="eastAsia" w:ascii="仿宋" w:hAnsi="仿宋" w:eastAsia="仿宋" w:cs="仿宋"/>
          <w:b/>
          <w:color w:val="auto"/>
          <w:sz w:val="32"/>
        </w:rPr>
        <w:t>三、评标程序</w:t>
      </w:r>
      <w:bookmarkEnd w:id="203"/>
      <w:bookmarkEnd w:id="204"/>
    </w:p>
    <w:p w14:paraId="5068CFBB">
      <w:pPr>
        <w:keepNext w:val="0"/>
        <w:keepLines w:val="0"/>
        <w:pageBreakBefore w:val="0"/>
        <w:kinsoku/>
        <w:wordWrap/>
        <w:overflowPunct/>
        <w:topLinePunct w:val="0"/>
        <w:autoSpaceDE w:val="0"/>
        <w:autoSpaceDN w:val="0"/>
        <w:bidi w:val="0"/>
        <w:adjustRightInd/>
        <w:spacing w:line="351" w:lineRule="auto"/>
        <w:ind w:leftChars="0" w:right="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3.1</w:t>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rPr>
        <w:t>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6D033601">
      <w:pPr>
        <w:keepNext w:val="0"/>
        <w:keepLines w:val="0"/>
        <w:pageBreakBefore w:val="0"/>
        <w:kinsoku/>
        <w:wordWrap/>
        <w:overflowPunct/>
        <w:topLinePunct w:val="0"/>
        <w:autoSpaceDE w:val="0"/>
        <w:autoSpaceDN w:val="0"/>
        <w:bidi w:val="0"/>
        <w:adjustRightInd/>
        <w:spacing w:line="351" w:lineRule="auto"/>
        <w:ind w:leftChars="0" w:right="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066E42D1">
      <w:pPr>
        <w:keepNext w:val="0"/>
        <w:keepLines w:val="0"/>
        <w:pageBreakBefore w:val="0"/>
        <w:kinsoku/>
        <w:wordWrap/>
        <w:overflowPunct/>
        <w:topLinePunct w:val="0"/>
        <w:autoSpaceDE w:val="0"/>
        <w:autoSpaceDN w:val="0"/>
        <w:bidi w:val="0"/>
        <w:adjustRightInd/>
        <w:spacing w:line="351" w:lineRule="auto"/>
        <w:ind w:leftChars="0" w:right="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3.3</w:t>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rPr>
        <w:t>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A5A39D4">
      <w:pPr>
        <w:keepNext w:val="0"/>
        <w:keepLines w:val="0"/>
        <w:pageBreakBefore w:val="0"/>
        <w:kinsoku/>
        <w:wordWrap/>
        <w:overflowPunct/>
        <w:topLinePunct w:val="0"/>
        <w:autoSpaceDE w:val="0"/>
        <w:autoSpaceDN w:val="0"/>
        <w:bidi w:val="0"/>
        <w:adjustRightInd/>
        <w:spacing w:line="351" w:lineRule="auto"/>
        <w:ind w:leftChars="0" w:right="0" w:firstLine="482" w:firstLineChars="200"/>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3.4</w:t>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rPr>
        <w:t>报价评审。</w:t>
      </w:r>
    </w:p>
    <w:p w14:paraId="0C47AA9C">
      <w:pPr>
        <w:pStyle w:val="75"/>
        <w:keepNext w:val="0"/>
        <w:keepLines w:val="0"/>
        <w:pageBreakBefore w:val="0"/>
        <w:kinsoku/>
        <w:wordWrap/>
        <w:overflowPunct/>
        <w:topLinePunct w:val="0"/>
        <w:autoSpaceDE w:val="0"/>
        <w:autoSpaceDN w:val="0"/>
        <w:bidi w:val="0"/>
        <w:adjustRightInd/>
        <w:spacing w:before="0" w:line="351" w:lineRule="auto"/>
        <w:ind w:leftChars="0" w:right="0" w:firstLine="480" w:firstLineChars="200"/>
        <w:textAlignment w:val="auto"/>
        <w:rPr>
          <w:rFonts w:hint="eastAsia" w:ascii="仿宋" w:hAnsi="仿宋" w:eastAsia="仿宋" w:cs="仿宋"/>
          <w:color w:val="auto"/>
          <w:kern w:val="0"/>
        </w:rPr>
      </w:pPr>
      <w:r>
        <w:rPr>
          <w:rFonts w:hint="eastAsia" w:ascii="仿宋" w:hAnsi="仿宋" w:eastAsia="仿宋" w:cs="仿宋"/>
          <w:color w:val="auto"/>
          <w:kern w:val="0"/>
        </w:rPr>
        <w:t>3.4.1</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rPr>
        <w:t>投标文件报价出现前后不一致的，按照下列规定修正：</w:t>
      </w:r>
    </w:p>
    <w:p w14:paraId="098D3CE3">
      <w:pPr>
        <w:pStyle w:val="75"/>
        <w:keepNext w:val="0"/>
        <w:keepLines w:val="0"/>
        <w:pageBreakBefore w:val="0"/>
        <w:kinsoku/>
        <w:wordWrap/>
        <w:overflowPunct/>
        <w:topLinePunct w:val="0"/>
        <w:autoSpaceDE w:val="0"/>
        <w:autoSpaceDN w:val="0"/>
        <w:bidi w:val="0"/>
        <w:adjustRightInd/>
        <w:spacing w:before="0" w:line="351" w:lineRule="auto"/>
        <w:ind w:leftChars="0" w:right="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3.4.1.1</w:t>
      </w:r>
      <w:r>
        <w:rPr>
          <w:rFonts w:hint="eastAsia" w:ascii="仿宋" w:hAnsi="仿宋" w:eastAsia="仿宋" w:cs="仿宋"/>
          <w:color w:val="auto"/>
          <w:kern w:val="0"/>
          <w:szCs w:val="24"/>
          <w:lang w:val="en-US" w:eastAsia="zh-CN"/>
        </w:rPr>
        <w:t xml:space="preserve"> </w:t>
      </w:r>
      <w:r>
        <w:rPr>
          <w:rFonts w:hint="eastAsia" w:ascii="仿宋" w:hAnsi="仿宋" w:eastAsia="仿宋" w:cs="仿宋"/>
          <w:color w:val="auto"/>
          <w:kern w:val="0"/>
          <w:szCs w:val="24"/>
        </w:rPr>
        <w:t>投标文件中开标一览表(报价表)内容与投标文件中相应内容不一致的，以开标一览表(报价表)为准;</w:t>
      </w:r>
    </w:p>
    <w:p w14:paraId="0677F725">
      <w:pPr>
        <w:pStyle w:val="75"/>
        <w:keepNext w:val="0"/>
        <w:keepLines w:val="0"/>
        <w:pageBreakBefore w:val="0"/>
        <w:kinsoku/>
        <w:wordWrap/>
        <w:overflowPunct/>
        <w:topLinePunct w:val="0"/>
        <w:autoSpaceDE w:val="0"/>
        <w:autoSpaceDN w:val="0"/>
        <w:bidi w:val="0"/>
        <w:adjustRightInd/>
        <w:spacing w:before="0" w:line="351" w:lineRule="auto"/>
        <w:ind w:leftChars="0" w:right="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3.4.1.2</w:t>
      </w:r>
      <w:r>
        <w:rPr>
          <w:rFonts w:hint="eastAsia" w:ascii="仿宋" w:hAnsi="仿宋" w:eastAsia="仿宋" w:cs="仿宋"/>
          <w:color w:val="auto"/>
          <w:kern w:val="0"/>
          <w:szCs w:val="24"/>
          <w:lang w:val="en-US" w:eastAsia="zh-CN"/>
        </w:rPr>
        <w:t xml:space="preserve"> </w:t>
      </w:r>
      <w:r>
        <w:rPr>
          <w:rFonts w:hint="eastAsia" w:ascii="仿宋" w:hAnsi="仿宋" w:eastAsia="仿宋" w:cs="仿宋"/>
          <w:color w:val="auto"/>
          <w:kern w:val="0"/>
          <w:szCs w:val="24"/>
        </w:rPr>
        <w:t>大写金额和小写金额不一致的，以大写金额为准;</w:t>
      </w:r>
    </w:p>
    <w:p w14:paraId="022ADC4B">
      <w:pPr>
        <w:pStyle w:val="75"/>
        <w:keepNext w:val="0"/>
        <w:keepLines w:val="0"/>
        <w:pageBreakBefore w:val="0"/>
        <w:kinsoku/>
        <w:wordWrap/>
        <w:overflowPunct/>
        <w:topLinePunct w:val="0"/>
        <w:autoSpaceDE w:val="0"/>
        <w:autoSpaceDN w:val="0"/>
        <w:bidi w:val="0"/>
        <w:adjustRightInd/>
        <w:spacing w:before="0" w:line="351" w:lineRule="auto"/>
        <w:ind w:leftChars="0" w:right="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3.4.1.3</w:t>
      </w:r>
      <w:r>
        <w:rPr>
          <w:rFonts w:hint="eastAsia" w:ascii="仿宋" w:hAnsi="仿宋" w:eastAsia="仿宋" w:cs="仿宋"/>
          <w:color w:val="auto"/>
          <w:kern w:val="0"/>
          <w:szCs w:val="24"/>
          <w:lang w:val="en-US" w:eastAsia="zh-CN"/>
        </w:rPr>
        <w:t xml:space="preserve"> </w:t>
      </w:r>
      <w:r>
        <w:rPr>
          <w:rFonts w:hint="eastAsia" w:ascii="仿宋" w:hAnsi="仿宋" w:eastAsia="仿宋" w:cs="仿宋"/>
          <w:color w:val="auto"/>
          <w:kern w:val="0"/>
          <w:szCs w:val="24"/>
        </w:rPr>
        <w:t>单价金额小数点或者百分比有明显错位的，以开标一览表的总价为准，并修改单价;</w:t>
      </w:r>
    </w:p>
    <w:p w14:paraId="6E0C263F">
      <w:pPr>
        <w:pStyle w:val="75"/>
        <w:keepNext w:val="0"/>
        <w:keepLines w:val="0"/>
        <w:pageBreakBefore w:val="0"/>
        <w:kinsoku/>
        <w:wordWrap/>
        <w:overflowPunct/>
        <w:topLinePunct w:val="0"/>
        <w:autoSpaceDE w:val="0"/>
        <w:autoSpaceDN w:val="0"/>
        <w:bidi w:val="0"/>
        <w:adjustRightInd/>
        <w:spacing w:before="0" w:line="351" w:lineRule="auto"/>
        <w:ind w:leftChars="0" w:right="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3.4.1.4</w:t>
      </w:r>
      <w:r>
        <w:rPr>
          <w:rFonts w:hint="eastAsia" w:ascii="仿宋" w:hAnsi="仿宋" w:eastAsia="仿宋" w:cs="仿宋"/>
          <w:color w:val="auto"/>
          <w:kern w:val="0"/>
          <w:szCs w:val="24"/>
          <w:lang w:val="en-US" w:eastAsia="zh-CN"/>
        </w:rPr>
        <w:t xml:space="preserve"> </w:t>
      </w:r>
      <w:r>
        <w:rPr>
          <w:rFonts w:hint="eastAsia" w:ascii="仿宋" w:hAnsi="仿宋" w:eastAsia="仿宋" w:cs="仿宋"/>
          <w:color w:val="auto"/>
          <w:kern w:val="0"/>
          <w:szCs w:val="24"/>
        </w:rPr>
        <w:t>总价金额与按单价汇总金额不一致的，以单价金额计算结果为准。</w:t>
      </w:r>
    </w:p>
    <w:p w14:paraId="06EFFF98">
      <w:pPr>
        <w:pStyle w:val="75"/>
        <w:keepNext w:val="0"/>
        <w:keepLines w:val="0"/>
        <w:pageBreakBefore w:val="0"/>
        <w:kinsoku/>
        <w:wordWrap/>
        <w:overflowPunct/>
        <w:topLinePunct w:val="0"/>
        <w:autoSpaceDE w:val="0"/>
        <w:autoSpaceDN w:val="0"/>
        <w:bidi w:val="0"/>
        <w:adjustRightInd/>
        <w:spacing w:before="0" w:line="351" w:lineRule="auto"/>
        <w:ind w:leftChars="0" w:right="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3.4.1.5</w:t>
      </w:r>
      <w:r>
        <w:rPr>
          <w:rFonts w:hint="eastAsia" w:ascii="仿宋" w:hAnsi="仿宋" w:eastAsia="仿宋" w:cs="仿宋"/>
          <w:color w:val="auto"/>
          <w:kern w:val="0"/>
          <w:szCs w:val="24"/>
          <w:lang w:val="en-US" w:eastAsia="zh-CN"/>
        </w:rPr>
        <w:t xml:space="preserve"> </w:t>
      </w:r>
      <w:r>
        <w:rPr>
          <w:rFonts w:hint="eastAsia" w:ascii="仿宋" w:hAnsi="仿宋" w:eastAsia="仿宋" w:cs="仿宋"/>
          <w:color w:val="auto"/>
          <w:kern w:val="0"/>
          <w:szCs w:val="24"/>
        </w:rPr>
        <w:t>同时出现两种以上不一致的，按照3.4.1规定的顺序修正。修正后的报价按照财政部第87号令《政府采购货物和服务招标投标管理办法》第五十一条第二款的规定经投标人确认后产生约束力。</w:t>
      </w:r>
    </w:p>
    <w:p w14:paraId="06FA6D4C">
      <w:pPr>
        <w:keepNext w:val="0"/>
        <w:keepLines w:val="0"/>
        <w:pageBreakBefore w:val="0"/>
        <w:kinsoku/>
        <w:wordWrap/>
        <w:overflowPunct/>
        <w:topLinePunct w:val="0"/>
        <w:autoSpaceDE w:val="0"/>
        <w:autoSpaceDN w:val="0"/>
        <w:bidi w:val="0"/>
        <w:adjustRightInd/>
        <w:snapToGrid w:val="0"/>
        <w:spacing w:line="351" w:lineRule="auto"/>
        <w:ind w:leftChars="0" w:right="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3.4.2</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投标文件出现不是唯一的、有选择性投标报价的，投标无效。</w:t>
      </w:r>
    </w:p>
    <w:p w14:paraId="720A1B53">
      <w:pPr>
        <w:keepNext w:val="0"/>
        <w:keepLines w:val="0"/>
        <w:pageBreakBefore w:val="0"/>
        <w:kinsoku/>
        <w:wordWrap/>
        <w:overflowPunct/>
        <w:topLinePunct w:val="0"/>
        <w:autoSpaceDE w:val="0"/>
        <w:autoSpaceDN w:val="0"/>
        <w:bidi w:val="0"/>
        <w:adjustRightInd/>
        <w:snapToGrid w:val="0"/>
        <w:spacing w:line="351" w:lineRule="auto"/>
        <w:ind w:leftChars="0" w:right="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3.4.3</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投标报价超过招标文件中规定的预算金额或者最高限价的，投标无效。</w:t>
      </w:r>
    </w:p>
    <w:p w14:paraId="1CC8FA9C">
      <w:pPr>
        <w:pStyle w:val="75"/>
        <w:keepNext w:val="0"/>
        <w:keepLines w:val="0"/>
        <w:pageBreakBefore w:val="0"/>
        <w:kinsoku/>
        <w:wordWrap/>
        <w:overflowPunct/>
        <w:topLinePunct w:val="0"/>
        <w:autoSpaceDE w:val="0"/>
        <w:autoSpaceDN w:val="0"/>
        <w:bidi w:val="0"/>
        <w:adjustRightInd/>
        <w:spacing w:before="0" w:line="351" w:lineRule="auto"/>
        <w:ind w:leftChars="0" w:right="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3.4.4</w:t>
      </w:r>
      <w:r>
        <w:rPr>
          <w:rFonts w:hint="eastAsia" w:ascii="仿宋" w:hAnsi="仿宋" w:eastAsia="仿宋" w:cs="仿宋"/>
          <w:color w:val="auto"/>
          <w:kern w:val="0"/>
          <w:szCs w:val="24"/>
          <w:lang w:val="en-US" w:eastAsia="zh-CN"/>
        </w:rPr>
        <w:t xml:space="preserve"> </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77AC73">
      <w:pPr>
        <w:pStyle w:val="75"/>
        <w:keepNext w:val="0"/>
        <w:keepLines w:val="0"/>
        <w:pageBreakBefore w:val="0"/>
        <w:kinsoku/>
        <w:wordWrap/>
        <w:overflowPunct/>
        <w:topLinePunct w:val="0"/>
        <w:autoSpaceDE w:val="0"/>
        <w:autoSpaceDN w:val="0"/>
        <w:bidi w:val="0"/>
        <w:adjustRightInd/>
        <w:spacing w:before="0" w:line="351" w:lineRule="auto"/>
        <w:ind w:leftChars="0" w:right="0" w:firstLine="480" w:firstLineChars="200"/>
        <w:textAlignment w:val="auto"/>
        <w:rPr>
          <w:rFonts w:hint="default" w:ascii="仿宋" w:hAnsi="仿宋" w:eastAsia="仿宋" w:cs="仿宋"/>
          <w:color w:val="0000FF"/>
          <w:sz w:val="24"/>
          <w:szCs w:val="24"/>
          <w:lang w:val="en-US" w:eastAsia="zh-CN" w:bidi="zh-CN"/>
        </w:rPr>
      </w:pPr>
      <w:r>
        <w:rPr>
          <w:rFonts w:hint="eastAsia" w:ascii="仿宋" w:hAnsi="仿宋" w:eastAsia="仿宋" w:cs="仿宋"/>
          <w:color w:val="auto"/>
          <w:kern w:val="0"/>
          <w:szCs w:val="24"/>
          <w:lang w:val="en-US" w:eastAsia="zh-CN"/>
        </w:rPr>
        <w:t>3.4.5</w:t>
      </w:r>
      <w:r>
        <w:rPr>
          <w:rFonts w:hint="eastAsia" w:ascii="仿宋" w:hAnsi="仿宋" w:eastAsia="仿宋" w:cs="仿宋"/>
          <w:color w:val="0000FF"/>
          <w:sz w:val="24"/>
          <w:szCs w:val="24"/>
          <w:lang w:val="en-US" w:eastAsia="zh-CN" w:bidi="zh-CN"/>
        </w:rPr>
        <w:t>《商务技术评分汇总表》供应商商务技术得分低于全部供应商有效商务技术总分平均值*60%的，报价将被拒绝，“报价符合性审查”为不合格。</w:t>
      </w:r>
    </w:p>
    <w:p w14:paraId="6A305A3C">
      <w:pPr>
        <w:keepNext w:val="0"/>
        <w:keepLines w:val="0"/>
        <w:pageBreakBefore w:val="0"/>
        <w:kinsoku/>
        <w:wordWrap/>
        <w:overflowPunct/>
        <w:topLinePunct w:val="0"/>
        <w:autoSpaceDE w:val="0"/>
        <w:autoSpaceDN w:val="0"/>
        <w:bidi w:val="0"/>
        <w:adjustRightInd/>
        <w:spacing w:line="351" w:lineRule="auto"/>
        <w:ind w:leftChars="0" w:right="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3.5</w:t>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rPr>
        <w:t>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46C29C">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457AFB">
      <w:pPr>
        <w:keepNext w:val="0"/>
        <w:keepLines w:val="0"/>
        <w:pageBreakBefore w:val="0"/>
        <w:kinsoku/>
        <w:wordWrap/>
        <w:overflowPunct/>
        <w:topLinePunct w:val="0"/>
        <w:autoSpaceDE w:val="0"/>
        <w:autoSpaceDN w:val="0"/>
        <w:bidi w:val="0"/>
        <w:adjustRightInd/>
        <w:spacing w:line="351" w:lineRule="auto"/>
        <w:ind w:leftChars="0" w:right="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3.6</w:t>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11C8D6">
      <w:pPr>
        <w:keepNext w:val="0"/>
        <w:keepLines w:val="0"/>
        <w:pageBreakBefore w:val="0"/>
        <w:widowControl/>
        <w:shd w:val="clear" w:color="auto" w:fill="FFFFFF"/>
        <w:kinsoku/>
        <w:wordWrap/>
        <w:overflowPunct/>
        <w:topLinePunct w:val="0"/>
        <w:autoSpaceDE w:val="0"/>
        <w:autoSpaceDN w:val="0"/>
        <w:bidi w:val="0"/>
        <w:adjustRightInd/>
        <w:spacing w:line="351" w:lineRule="auto"/>
        <w:ind w:leftChars="0" w:right="0" w:firstLine="0" w:firstLineChars="0"/>
        <w:jc w:val="left"/>
        <w:textAlignment w:val="auto"/>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0B4C74B4">
      <w:pPr>
        <w:pStyle w:val="75"/>
        <w:keepNext w:val="0"/>
        <w:keepLines w:val="0"/>
        <w:pageBreakBefore w:val="0"/>
        <w:kinsoku/>
        <w:wordWrap/>
        <w:overflowPunct/>
        <w:topLinePunct w:val="0"/>
        <w:autoSpaceDE w:val="0"/>
        <w:autoSpaceDN w:val="0"/>
        <w:bidi w:val="0"/>
        <w:adjustRightInd/>
        <w:spacing w:before="0" w:line="351" w:lineRule="auto"/>
        <w:ind w:leftChars="0" w:right="0" w:firstLine="482" w:firstLineChars="200"/>
        <w:textAlignment w:val="auto"/>
        <w:rPr>
          <w:rFonts w:hint="eastAsia" w:ascii="仿宋" w:hAnsi="仿宋" w:eastAsia="仿宋" w:cs="仿宋"/>
          <w:color w:val="auto"/>
          <w:kern w:val="0"/>
          <w:szCs w:val="24"/>
        </w:rPr>
      </w:pPr>
      <w:r>
        <w:rPr>
          <w:rFonts w:hint="eastAsia" w:ascii="仿宋" w:hAnsi="仿宋" w:eastAsia="仿宋" w:cs="仿宋"/>
          <w:b/>
          <w:color w:val="auto"/>
          <w:kern w:val="0"/>
          <w:szCs w:val="24"/>
        </w:rPr>
        <w:t>4.1</w:t>
      </w:r>
      <w:r>
        <w:rPr>
          <w:rFonts w:hint="eastAsia" w:ascii="仿宋" w:hAnsi="仿宋" w:eastAsia="仿宋" w:cs="仿宋"/>
          <w:b/>
          <w:color w:val="auto"/>
          <w:kern w:val="0"/>
          <w:szCs w:val="24"/>
          <w:lang w:val="en-US" w:eastAsia="zh-CN"/>
        </w:rPr>
        <w:t xml:space="preserve"> </w:t>
      </w:r>
      <w:r>
        <w:rPr>
          <w:rFonts w:hint="eastAsia" w:ascii="仿宋" w:hAnsi="仿宋" w:eastAsia="仿宋" w:cs="仿宋"/>
          <w:b/>
          <w:color w:val="auto"/>
          <w:kern w:val="0"/>
          <w:szCs w:val="24"/>
        </w:rPr>
        <w:t>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F08B56">
      <w:pPr>
        <w:pStyle w:val="13"/>
        <w:keepNext w:val="0"/>
        <w:keepLines w:val="0"/>
        <w:pageBreakBefore w:val="0"/>
        <w:kinsoku/>
        <w:wordWrap/>
        <w:overflowPunct/>
        <w:topLinePunct w:val="0"/>
        <w:autoSpaceDE w:val="0"/>
        <w:autoSpaceDN w:val="0"/>
        <w:bidi w:val="0"/>
        <w:adjustRightInd/>
        <w:spacing w:after="0" w:line="351" w:lineRule="auto"/>
        <w:ind w:left="0" w:leftChars="0" w:right="0" w:firstLine="482" w:firstLineChars="200"/>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b/>
          <w:bCs/>
          <w:color w:val="auto"/>
          <w:kern w:val="0"/>
          <w:sz w:val="24"/>
          <w:szCs w:val="24"/>
          <w:lang w:val="zh-CN" w:eastAsia="zh-CN" w:bidi="zh-CN"/>
        </w:rPr>
        <w:t>4.2投标无效。有下列情形之一的，投标无效：</w:t>
      </w:r>
    </w:p>
    <w:p w14:paraId="4982F0EA">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投标人不具备招标文件中规定的资格要求的（投标人未提供有效的资格文件的，视为投标人不具备招标文件中规定的资格要求）；</w:t>
      </w:r>
    </w:p>
    <w:p w14:paraId="6BA6D2B4">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4.2.2</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投标文件未按照招标文件要求签署、盖章的；</w:t>
      </w:r>
    </w:p>
    <w:p w14:paraId="2C86438A">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4.2.3</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采购人拟采购的产品属于政府强制采购的节能产品品目清单范围的，投标人相应的投标产品未获得国家确定的认证机构出具的、处于有效期之内的节能产品认证证书的；</w:t>
      </w:r>
    </w:p>
    <w:p w14:paraId="38AB2E9E">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投标文件含有采购人不能接受的附加条件的；</w:t>
      </w:r>
    </w:p>
    <w:p w14:paraId="42804202">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4.2.5</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投标文件中承诺的投标有效期少于招标文件中载明的投标有效期的；</w:t>
      </w:r>
    </w:p>
    <w:p w14:paraId="5EE5D1A3">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4.2.6</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投标文件出现不是唯一的、有选择性投标报价的;</w:t>
      </w:r>
    </w:p>
    <w:p w14:paraId="6F279D27">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4.2.7</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投标报价超过招标文件中规定的预算金额或者最高限价的;</w:t>
      </w:r>
    </w:p>
    <w:p w14:paraId="67616C1C">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4.2.8</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报价明显低于其他通过符合性审查投标人的报价，有可能影响产品质量或者不能诚信履约的，未能按要求提供书面说明或者提交相关证明材料，不能证明其报价合理性的;</w:t>
      </w:r>
    </w:p>
    <w:p w14:paraId="2AE8791F">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4.2.9</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0000FF"/>
          <w:sz w:val="24"/>
          <w:szCs w:val="24"/>
          <w:lang w:val="en-US" w:eastAsia="zh-CN" w:bidi="zh-CN"/>
        </w:rPr>
        <w:t>《商务技术评分汇总表》供应商商务技术得分低于全部供应商有效商务技术总分平均值*60%；</w:t>
      </w:r>
    </w:p>
    <w:p w14:paraId="417389EF">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4.2.10</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投标人对根据修正原则修正后的报价不确认的；</w:t>
      </w:r>
    </w:p>
    <w:p w14:paraId="04970412">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4.2.11投标人提供虚假材料投标的；</w:t>
      </w:r>
    </w:p>
    <w:p w14:paraId="2F0A1C80">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4.2.12</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投标人有恶意串通、妨碍其他投标人的竞争行为、损害采购人或者其他投标人的合法权益情形的；</w:t>
      </w:r>
    </w:p>
    <w:p w14:paraId="05E5A781">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b w:val="0"/>
          <w:bCs w:val="0"/>
          <w:color w:val="auto"/>
          <w:kern w:val="0"/>
          <w:sz w:val="24"/>
          <w:szCs w:val="24"/>
          <w:lang w:val="en-US"/>
        </w:rPr>
        <w:t xml:space="preserve">4.2.13 </w:t>
      </w:r>
      <w:r>
        <w:rPr>
          <w:rFonts w:hint="eastAsia" w:ascii="仿宋" w:hAnsi="仿宋" w:eastAsia="仿宋" w:cs="仿宋"/>
          <w:color w:val="auto"/>
          <w:kern w:val="0"/>
          <w:sz w:val="24"/>
        </w:rPr>
        <w:t>投标人仅提交备份投标文件，未在电子交易平台传输递交投标文件的，投标无效；</w:t>
      </w:r>
    </w:p>
    <w:p w14:paraId="7C477C3D">
      <w:pPr>
        <w:pStyle w:val="6"/>
        <w:keepNext w:val="0"/>
        <w:keepLines w:val="0"/>
        <w:pageBreakBefore w:val="0"/>
        <w:tabs>
          <w:tab w:val="left" w:pos="432"/>
        </w:tabs>
        <w:kinsoku/>
        <w:wordWrap/>
        <w:overflowPunct/>
        <w:topLinePunct w:val="0"/>
        <w:autoSpaceDE w:val="0"/>
        <w:autoSpaceDN w:val="0"/>
        <w:bidi w:val="0"/>
        <w:adjustRightInd/>
        <w:spacing w:line="351" w:lineRule="auto"/>
        <w:ind w:left="451" w:leftChars="0" w:right="0" w:firstLine="0" w:firstLineChars="0"/>
        <w:textAlignment w:val="auto"/>
        <w:rPr>
          <w:rFonts w:hint="eastAsia" w:ascii="仿宋" w:hAnsi="仿宋" w:eastAsia="仿宋" w:cs="仿宋"/>
          <w:b w:val="0"/>
          <w:bCs w:val="0"/>
          <w:color w:val="auto"/>
          <w:kern w:val="0"/>
          <w:sz w:val="24"/>
          <w:szCs w:val="24"/>
          <w:lang w:val="en-US"/>
        </w:rPr>
      </w:pPr>
      <w:bookmarkStart w:id="205" w:name="_Toc4828"/>
      <w:bookmarkStart w:id="206" w:name="_Toc2739"/>
      <w:r>
        <w:rPr>
          <w:rFonts w:hint="eastAsia" w:ascii="仿宋" w:hAnsi="仿宋" w:eastAsia="仿宋" w:cs="仿宋"/>
          <w:color w:val="auto"/>
          <w:kern w:val="0"/>
          <w:sz w:val="24"/>
        </w:rPr>
        <w:t>4.2.14</w:t>
      </w:r>
      <w:r>
        <w:rPr>
          <w:rFonts w:hint="eastAsia" w:ascii="仿宋" w:hAnsi="仿宋" w:eastAsia="仿宋" w:cs="仿宋"/>
          <w:color w:val="auto"/>
          <w:kern w:val="0"/>
          <w:sz w:val="24"/>
          <w:lang w:val="en-US" w:eastAsia="zh-CN"/>
        </w:rPr>
        <w:t xml:space="preserve"> </w:t>
      </w:r>
      <w:r>
        <w:rPr>
          <w:rFonts w:hint="eastAsia" w:ascii="仿宋" w:hAnsi="仿宋" w:eastAsia="仿宋" w:cs="仿宋"/>
          <w:b w:val="0"/>
          <w:bCs w:val="0"/>
          <w:color w:val="auto"/>
          <w:kern w:val="0"/>
          <w:sz w:val="24"/>
          <w:szCs w:val="24"/>
          <w:lang w:val="en-US"/>
        </w:rPr>
        <w:t>投标文件不满足招标文件的其它实质性要求的；</w:t>
      </w:r>
      <w:bookmarkEnd w:id="205"/>
      <w:bookmarkEnd w:id="206"/>
    </w:p>
    <w:p w14:paraId="6B910BF1">
      <w:pPr>
        <w:keepNext w:val="0"/>
        <w:keepLines w:val="0"/>
        <w:pageBreakBefore w:val="0"/>
        <w:kinsoku/>
        <w:wordWrap/>
        <w:overflowPunct/>
        <w:topLinePunct w:val="0"/>
        <w:autoSpaceDE w:val="0"/>
        <w:autoSpaceDN w:val="0"/>
        <w:bidi w:val="0"/>
        <w:adjustRightInd/>
        <w:spacing w:line="351" w:lineRule="auto"/>
        <w:ind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 xml:space="preserve">5 </w:t>
      </w:r>
      <w:r>
        <w:rPr>
          <w:rFonts w:hint="eastAsia" w:ascii="仿宋" w:hAnsi="仿宋" w:eastAsia="仿宋" w:cs="仿宋"/>
          <w:color w:val="auto"/>
          <w:kern w:val="0"/>
          <w:sz w:val="24"/>
        </w:rPr>
        <w:t>法律、法规、规章（适用本市的）及省级以上规范性文件（适用本市的）规定的其他无效情形。</w:t>
      </w:r>
    </w:p>
    <w:p w14:paraId="26A8303F">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5.废标。</w:t>
      </w:r>
      <w:r>
        <w:rPr>
          <w:rFonts w:hint="eastAsia" w:ascii="仿宋" w:hAnsi="仿宋" w:eastAsia="仿宋" w:cs="仿宋"/>
          <w:color w:val="auto"/>
          <w:sz w:val="24"/>
          <w:szCs w:val="24"/>
        </w:rPr>
        <w:t>根据《中华人民共和国政府采购法》第三十六条之规定，在采购中，出现下列情形之一的，应予废标：</w:t>
      </w:r>
    </w:p>
    <w:p w14:paraId="4A918B3B">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符合专业条件的供应商或者对招标文件作实质响应的供应商不足3家的；</w:t>
      </w:r>
    </w:p>
    <w:p w14:paraId="48EE9B6D">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出现影响采购公正的违法、违规行为的；</w:t>
      </w:r>
    </w:p>
    <w:p w14:paraId="0B4BC430">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投标人的报价均超过了采购预算，采购人不能支付的；</w:t>
      </w:r>
    </w:p>
    <w:p w14:paraId="7AE1377C">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因重大变故，采购任务取消的。</w:t>
      </w:r>
    </w:p>
    <w:p w14:paraId="76E8A7D3">
      <w:pPr>
        <w:pStyle w:val="13"/>
        <w:keepNext w:val="0"/>
        <w:keepLines w:val="0"/>
        <w:pageBreakBefore w:val="0"/>
        <w:kinsoku/>
        <w:wordWrap/>
        <w:overflowPunct/>
        <w:topLinePunct w:val="0"/>
        <w:autoSpaceDE w:val="0"/>
        <w:autoSpaceDN w:val="0"/>
        <w:bidi w:val="0"/>
        <w:adjustRightInd/>
        <w:snapToGrid w:val="0"/>
        <w:spacing w:after="0" w:line="351" w:lineRule="auto"/>
        <w:ind w:leftChars="0" w:right="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废标后，</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应当将废标理由通知所有投标人。</w:t>
      </w:r>
    </w:p>
    <w:p w14:paraId="7F90A290">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6.修改招标文件，重新组织采购活动。</w:t>
      </w:r>
      <w:r>
        <w:rPr>
          <w:rFonts w:hint="eastAsia" w:ascii="仿宋" w:hAnsi="仿宋" w:eastAsia="仿宋" w:cs="仿宋"/>
          <w:color w:val="auto"/>
          <w:sz w:val="24"/>
          <w:szCs w:val="24"/>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沟通并作书面记录。采购人、</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确认后，将修改招标文件，重新组织采购活动。</w:t>
      </w:r>
    </w:p>
    <w:p w14:paraId="21164520">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rPr>
        <w:t>7.重新开展采购。</w:t>
      </w:r>
      <w:r>
        <w:rPr>
          <w:rFonts w:hint="eastAsia" w:ascii="仿宋" w:hAnsi="仿宋" w:eastAsia="仿宋" w:cs="仿宋"/>
          <w:color w:val="auto"/>
          <w:sz w:val="24"/>
          <w:szCs w:val="24"/>
        </w:rPr>
        <w:t>有政府采购法第七十一条、第七十二条规定的违法行为之一，影响或者可能影响中标结果的，依照下列规定处理：</w:t>
      </w:r>
    </w:p>
    <w:p w14:paraId="7C67A17B">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未确定中标供应商的，终止本次政府采购活动，重新开展政府采购活动。</w:t>
      </w:r>
    </w:p>
    <w:p w14:paraId="6AD7CEA2">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已确定中标供应商但尚未签订政府采购合同的，中标结果无效，从合格的中标候选人中另行确定中标供应商；没有合格的中标候选人的，重新开展政府采购活动。</w:t>
      </w:r>
    </w:p>
    <w:p w14:paraId="3F5C0D75">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政府采购合同已签订但尚未履行的，撤销合同，从合格的中标候选人中另行确定中标供应商；没有合格的中标候选人的，重新开展政府采购活动。</w:t>
      </w:r>
    </w:p>
    <w:p w14:paraId="0ED6A230">
      <w:pPr>
        <w:pStyle w:val="13"/>
        <w:keepNext w:val="0"/>
        <w:keepLines w:val="0"/>
        <w:pageBreakBefore w:val="0"/>
        <w:kinsoku/>
        <w:wordWrap/>
        <w:overflowPunct/>
        <w:topLinePunct w:val="0"/>
        <w:autoSpaceDE w:val="0"/>
        <w:autoSpaceDN w:val="0"/>
        <w:bidi w:val="0"/>
        <w:adjustRightInd/>
        <w:snapToGrid w:val="0"/>
        <w:spacing w:after="0" w:line="351" w:lineRule="auto"/>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政府采购合同已经履行，给采购人、供应商造成损失的，由责任人承担赔偿责任。</w:t>
      </w:r>
    </w:p>
    <w:p w14:paraId="5B446587">
      <w:pPr>
        <w:keepNext w:val="0"/>
        <w:keepLines w:val="0"/>
        <w:pageBreakBefore w:val="0"/>
        <w:widowControl w:val="0"/>
        <w:kinsoku/>
        <w:wordWrap/>
        <w:overflowPunct/>
        <w:topLinePunct w:val="0"/>
        <w:autoSpaceDE w:val="0"/>
        <w:autoSpaceDN w:val="0"/>
        <w:bidi w:val="0"/>
        <w:adjustRightInd/>
        <w:snapToGrid/>
        <w:spacing w:line="351" w:lineRule="auto"/>
        <w:ind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政府采购当事人有其他违反政府采购法或者政府采购法实施条例等法律法规规定的行为，经改正后仍然影响或者可能影响中标结果或者依法被认定为中标无效的，依照7.1-7.4规定处理。</w:t>
      </w:r>
    </w:p>
    <w:p w14:paraId="72EE37AF">
      <w:pPr>
        <w:tabs>
          <w:tab w:val="left" w:pos="1286"/>
        </w:tabs>
        <w:spacing w:before="55"/>
        <w:ind w:right="17"/>
        <w:jc w:val="center"/>
        <w:outlineLvl w:val="0"/>
        <w:rPr>
          <w:rFonts w:hint="eastAsia" w:ascii="仿宋" w:hAnsi="仿宋" w:eastAsia="仿宋" w:cs="仿宋"/>
          <w:b/>
          <w:color w:val="auto"/>
          <w:sz w:val="36"/>
          <w:szCs w:val="24"/>
          <w:lang w:val="en-US"/>
        </w:rPr>
      </w:pPr>
      <w:bookmarkStart w:id="207" w:name="_Toc9158"/>
      <w:bookmarkStart w:id="208" w:name="_Toc6661"/>
      <w:r>
        <w:rPr>
          <w:rFonts w:hint="eastAsia" w:ascii="仿宋" w:hAnsi="仿宋" w:eastAsia="仿宋" w:cs="仿宋"/>
          <w:b/>
          <w:color w:val="auto"/>
          <w:sz w:val="36"/>
          <w:szCs w:val="24"/>
        </w:rPr>
        <w:t>第五章</w:t>
      </w:r>
      <w:r>
        <w:rPr>
          <w:rFonts w:hint="eastAsia" w:ascii="仿宋" w:hAnsi="仿宋" w:eastAsia="仿宋" w:cs="仿宋"/>
          <w:b/>
          <w:color w:val="auto"/>
          <w:sz w:val="36"/>
          <w:szCs w:val="24"/>
          <w:lang w:val="en-US"/>
        </w:rPr>
        <w:t xml:space="preserve">  政府采购合同参考范本</w:t>
      </w:r>
      <w:bookmarkEnd w:id="207"/>
      <w:bookmarkEnd w:id="208"/>
    </w:p>
    <w:p w14:paraId="2FB16DFF">
      <w:pPr>
        <w:tabs>
          <w:tab w:val="left" w:pos="1286"/>
        </w:tabs>
        <w:spacing w:before="55"/>
        <w:ind w:right="17"/>
        <w:jc w:val="center"/>
        <w:outlineLvl w:val="9"/>
        <w:rPr>
          <w:rFonts w:hint="eastAsia" w:ascii="仿宋" w:hAnsi="仿宋" w:eastAsia="仿宋" w:cs="仿宋"/>
          <w:b/>
          <w:color w:val="auto"/>
          <w:sz w:val="36"/>
          <w:szCs w:val="24"/>
          <w:lang w:val="en-US"/>
        </w:rPr>
      </w:pPr>
      <w:r>
        <w:rPr>
          <w:rFonts w:hint="eastAsia" w:ascii="仿宋" w:hAnsi="仿宋" w:eastAsia="仿宋" w:cs="仿宋"/>
          <w:b/>
          <w:color w:val="auto"/>
          <w:sz w:val="36"/>
          <w:szCs w:val="24"/>
          <w:lang w:val="en-US"/>
        </w:rPr>
        <w:t>（货物类）</w:t>
      </w:r>
    </w:p>
    <w:p w14:paraId="21BC9CFC">
      <w:pPr>
        <w:tabs>
          <w:tab w:val="left" w:pos="1286"/>
        </w:tabs>
        <w:spacing w:before="55"/>
        <w:ind w:right="17"/>
        <w:jc w:val="center"/>
        <w:outlineLvl w:val="9"/>
        <w:rPr>
          <w:rFonts w:hint="eastAsia" w:ascii="仿宋" w:hAnsi="仿宋" w:eastAsia="仿宋" w:cs="仿宋"/>
          <w:b/>
          <w:color w:val="auto"/>
          <w:sz w:val="36"/>
          <w:szCs w:val="24"/>
          <w:lang w:val="en-US"/>
        </w:rPr>
      </w:pPr>
    </w:p>
    <w:p w14:paraId="3958A8D2">
      <w:pPr>
        <w:tabs>
          <w:tab w:val="left" w:pos="1286"/>
        </w:tabs>
        <w:spacing w:before="55"/>
        <w:ind w:right="17"/>
        <w:jc w:val="center"/>
        <w:outlineLvl w:val="9"/>
        <w:rPr>
          <w:rFonts w:hint="eastAsia" w:ascii="仿宋" w:hAnsi="仿宋" w:eastAsia="仿宋" w:cs="仿宋"/>
          <w:b/>
          <w:color w:val="auto"/>
          <w:sz w:val="36"/>
          <w:szCs w:val="24"/>
          <w:lang w:val="en-US"/>
        </w:rPr>
      </w:pPr>
    </w:p>
    <w:p w14:paraId="415E9813">
      <w:pPr>
        <w:tabs>
          <w:tab w:val="left" w:pos="1286"/>
        </w:tabs>
        <w:spacing w:before="55"/>
        <w:ind w:right="17"/>
        <w:jc w:val="center"/>
        <w:outlineLvl w:val="9"/>
        <w:rPr>
          <w:rFonts w:hint="eastAsia" w:ascii="仿宋" w:hAnsi="仿宋" w:eastAsia="仿宋" w:cs="仿宋"/>
          <w:b/>
          <w:color w:val="auto"/>
          <w:sz w:val="36"/>
          <w:szCs w:val="24"/>
          <w:lang w:val="en-US"/>
        </w:rPr>
      </w:pPr>
    </w:p>
    <w:p w14:paraId="1CCBF4FA">
      <w:pPr>
        <w:tabs>
          <w:tab w:val="left" w:pos="1286"/>
        </w:tabs>
        <w:spacing w:before="55"/>
        <w:ind w:right="17"/>
        <w:jc w:val="center"/>
        <w:outlineLvl w:val="9"/>
        <w:rPr>
          <w:rFonts w:ascii="仿宋" w:hAnsi="仿宋" w:eastAsia="仿宋" w:cs="仿宋"/>
          <w:color w:val="auto"/>
          <w:sz w:val="21"/>
        </w:rPr>
      </w:pPr>
      <w:r>
        <w:rPr>
          <w:rFonts w:hint="eastAsia" w:ascii="仿宋" w:hAnsi="仿宋" w:eastAsia="仿宋" w:cs="仿宋"/>
          <w:b/>
          <w:color w:val="auto"/>
          <w:sz w:val="32"/>
          <w:szCs w:val="22"/>
          <w:lang w:val="en-US"/>
        </w:rPr>
        <w:t>第一部分 合同书</w:t>
      </w:r>
    </w:p>
    <w:p w14:paraId="4217998F">
      <w:pPr>
        <w:pStyle w:val="2"/>
        <w:outlineLvl w:val="9"/>
        <w:rPr>
          <w:rFonts w:ascii="仿宋" w:hAnsi="仿宋" w:eastAsia="仿宋" w:cs="仿宋"/>
          <w:color w:val="auto"/>
          <w:sz w:val="20"/>
        </w:rPr>
      </w:pPr>
    </w:p>
    <w:p w14:paraId="2CDD9D95">
      <w:pPr>
        <w:spacing w:line="360" w:lineRule="auto"/>
        <w:ind w:firstLine="480" w:firstLineChars="200"/>
        <w:outlineLvl w:val="9"/>
        <w:rPr>
          <w:rFonts w:hint="eastAsia" w:ascii="仿宋" w:hAnsi="仿宋" w:eastAsia="仿宋" w:cs="仿宋"/>
          <w:b w:val="0"/>
          <w:color w:val="auto"/>
          <w:sz w:val="24"/>
          <w:szCs w:val="24"/>
        </w:rPr>
      </w:pPr>
    </w:p>
    <w:p w14:paraId="2C915B88">
      <w:pPr>
        <w:spacing w:line="360" w:lineRule="auto"/>
        <w:ind w:firstLine="1400" w:firstLineChars="500"/>
        <w:outlineLvl w:val="9"/>
        <w:rPr>
          <w:rFonts w:hint="default" w:ascii="仿宋" w:hAnsi="仿宋" w:eastAsia="仿宋" w:cs="仿宋"/>
          <w:b w:val="0"/>
          <w:color w:val="auto"/>
          <w:sz w:val="28"/>
          <w:szCs w:val="28"/>
          <w:lang w:val="en-US" w:eastAsia="zh-CN"/>
        </w:rPr>
      </w:pPr>
      <w:r>
        <w:rPr>
          <w:rFonts w:hint="eastAsia" w:ascii="仿宋" w:hAnsi="仿宋" w:eastAsia="仿宋" w:cs="仿宋"/>
          <w:b w:val="0"/>
          <w:color w:val="auto"/>
          <w:sz w:val="28"/>
          <w:szCs w:val="28"/>
        </w:rPr>
        <w:t>合同编号：</w:t>
      </w:r>
      <w:r>
        <w:rPr>
          <w:rFonts w:hint="eastAsia" w:ascii="仿宋" w:hAnsi="仿宋" w:eastAsia="仿宋" w:cs="仿宋"/>
          <w:b w:val="0"/>
          <w:color w:val="auto"/>
          <w:sz w:val="28"/>
          <w:szCs w:val="28"/>
          <w:u w:val="single"/>
          <w:lang w:val="en-US" w:eastAsia="zh-CN"/>
        </w:rPr>
        <w:t xml:space="preserve">                                        </w:t>
      </w:r>
    </w:p>
    <w:p w14:paraId="7662DCEF">
      <w:pPr>
        <w:spacing w:line="360" w:lineRule="auto"/>
        <w:ind w:firstLine="560" w:firstLineChars="200"/>
        <w:outlineLvl w:val="9"/>
        <w:rPr>
          <w:rFonts w:hint="eastAsia" w:ascii="仿宋" w:hAnsi="仿宋" w:eastAsia="仿宋" w:cs="仿宋"/>
          <w:b w:val="0"/>
          <w:color w:val="auto"/>
          <w:sz w:val="28"/>
          <w:szCs w:val="28"/>
        </w:rPr>
      </w:pPr>
    </w:p>
    <w:p w14:paraId="5866A8DE">
      <w:pPr>
        <w:pStyle w:val="33"/>
        <w:outlineLvl w:val="9"/>
        <w:rPr>
          <w:rFonts w:hint="eastAsia" w:ascii="仿宋" w:hAnsi="仿宋" w:eastAsia="仿宋" w:cs="仿宋"/>
          <w:b w:val="0"/>
          <w:color w:val="auto"/>
          <w:sz w:val="28"/>
          <w:szCs w:val="28"/>
        </w:rPr>
      </w:pPr>
    </w:p>
    <w:p w14:paraId="40EFF882">
      <w:pPr>
        <w:pStyle w:val="2"/>
        <w:outlineLvl w:val="9"/>
        <w:rPr>
          <w:rFonts w:hint="eastAsia"/>
          <w:color w:val="auto"/>
          <w:sz w:val="28"/>
          <w:szCs w:val="28"/>
        </w:rPr>
      </w:pPr>
    </w:p>
    <w:p w14:paraId="46E39517">
      <w:pPr>
        <w:spacing w:line="360" w:lineRule="auto"/>
        <w:ind w:firstLine="1400" w:firstLineChars="500"/>
        <w:outlineLvl w:val="9"/>
        <w:rPr>
          <w:rFonts w:hint="eastAsia" w:ascii="仿宋" w:hAnsi="仿宋" w:eastAsia="仿宋" w:cs="仿宋"/>
          <w:b w:val="0"/>
          <w:color w:val="auto"/>
          <w:sz w:val="28"/>
          <w:szCs w:val="28"/>
        </w:rPr>
      </w:pPr>
      <w:r>
        <w:rPr>
          <w:rFonts w:hint="eastAsia" w:ascii="仿宋" w:hAnsi="仿宋" w:eastAsia="仿宋" w:cs="仿宋"/>
          <w:b w:val="0"/>
          <w:color w:val="auto"/>
          <w:sz w:val="28"/>
          <w:szCs w:val="28"/>
        </w:rPr>
        <w:t>项目名称</w:t>
      </w:r>
      <w:r>
        <w:rPr>
          <w:rFonts w:hint="eastAsia" w:ascii="仿宋" w:hAnsi="仿宋" w:eastAsia="仿宋" w:cs="仿宋"/>
          <w:b w:val="0"/>
          <w:color w:val="auto"/>
          <w:sz w:val="28"/>
          <w:szCs w:val="28"/>
          <w:u w:val="none"/>
        </w:rPr>
        <w:t>：</w:t>
      </w:r>
      <w:r>
        <w:rPr>
          <w:rFonts w:hint="eastAsia" w:ascii="仿宋" w:hAnsi="仿宋" w:eastAsia="仿宋" w:cs="仿宋"/>
          <w:b w:val="0"/>
          <w:color w:val="auto"/>
          <w:sz w:val="28"/>
          <w:szCs w:val="28"/>
          <w:u w:val="single"/>
        </w:rPr>
        <w:t xml:space="preserve">                                         </w:t>
      </w:r>
    </w:p>
    <w:p w14:paraId="643110A1">
      <w:pPr>
        <w:spacing w:line="360" w:lineRule="auto"/>
        <w:ind w:firstLine="560" w:firstLineChars="200"/>
        <w:outlineLvl w:val="9"/>
        <w:rPr>
          <w:rFonts w:hint="eastAsia" w:ascii="仿宋" w:hAnsi="仿宋" w:eastAsia="仿宋" w:cs="仿宋"/>
          <w:b w:val="0"/>
          <w:color w:val="auto"/>
          <w:sz w:val="28"/>
          <w:szCs w:val="28"/>
        </w:rPr>
      </w:pPr>
      <w:r>
        <w:rPr>
          <w:rFonts w:hint="eastAsia" w:ascii="仿宋" w:hAnsi="仿宋" w:eastAsia="仿宋" w:cs="仿宋"/>
          <w:b w:val="0"/>
          <w:color w:val="auto"/>
          <w:sz w:val="28"/>
          <w:szCs w:val="28"/>
        </w:rPr>
        <w:t xml:space="preserve"> </w:t>
      </w:r>
    </w:p>
    <w:p w14:paraId="2BC323F5">
      <w:pPr>
        <w:spacing w:line="360" w:lineRule="auto"/>
        <w:ind w:firstLine="560" w:firstLineChars="200"/>
        <w:outlineLvl w:val="9"/>
        <w:rPr>
          <w:rFonts w:hint="eastAsia" w:ascii="仿宋" w:hAnsi="仿宋" w:eastAsia="仿宋" w:cs="仿宋"/>
          <w:b w:val="0"/>
          <w:color w:val="auto"/>
          <w:sz w:val="28"/>
          <w:szCs w:val="28"/>
        </w:rPr>
      </w:pPr>
    </w:p>
    <w:p w14:paraId="3AAB3176">
      <w:pPr>
        <w:spacing w:line="360" w:lineRule="auto"/>
        <w:ind w:firstLine="560" w:firstLineChars="200"/>
        <w:outlineLvl w:val="9"/>
        <w:rPr>
          <w:rFonts w:hint="eastAsia" w:ascii="仿宋" w:hAnsi="仿宋" w:eastAsia="仿宋" w:cs="仿宋"/>
          <w:b w:val="0"/>
          <w:color w:val="auto"/>
          <w:sz w:val="28"/>
          <w:szCs w:val="28"/>
        </w:rPr>
      </w:pPr>
    </w:p>
    <w:p w14:paraId="207B27F1">
      <w:pPr>
        <w:spacing w:line="360" w:lineRule="auto"/>
        <w:ind w:firstLine="560" w:firstLineChars="200"/>
        <w:outlineLvl w:val="9"/>
        <w:rPr>
          <w:rFonts w:hint="eastAsia" w:ascii="仿宋" w:hAnsi="仿宋" w:eastAsia="仿宋" w:cs="仿宋"/>
          <w:b w:val="0"/>
          <w:color w:val="auto"/>
          <w:sz w:val="28"/>
          <w:szCs w:val="28"/>
        </w:rPr>
      </w:pPr>
    </w:p>
    <w:p w14:paraId="782B06E4">
      <w:pPr>
        <w:spacing w:line="360" w:lineRule="auto"/>
        <w:ind w:firstLine="1400" w:firstLineChars="500"/>
        <w:outlineLvl w:val="9"/>
        <w:rPr>
          <w:rFonts w:hint="eastAsia" w:ascii="仿宋" w:hAnsi="仿宋" w:eastAsia="仿宋" w:cs="仿宋"/>
          <w:b w:val="0"/>
          <w:color w:val="auto"/>
          <w:sz w:val="28"/>
          <w:szCs w:val="28"/>
        </w:rPr>
      </w:pPr>
      <w:r>
        <w:rPr>
          <w:rFonts w:hint="eastAsia" w:ascii="仿宋" w:hAnsi="仿宋" w:eastAsia="仿宋" w:cs="仿宋"/>
          <w:b w:val="0"/>
          <w:color w:val="auto"/>
          <w:sz w:val="28"/>
          <w:szCs w:val="28"/>
        </w:rPr>
        <w:t>甲　　方（即采购人）：</w:t>
      </w:r>
      <w:r>
        <w:rPr>
          <w:rFonts w:hint="eastAsia" w:ascii="仿宋" w:hAnsi="仿宋" w:eastAsia="仿宋" w:cs="仿宋"/>
          <w:b w:val="0"/>
          <w:color w:val="auto"/>
          <w:sz w:val="28"/>
          <w:szCs w:val="28"/>
          <w:u w:val="single"/>
        </w:rPr>
        <w:t xml:space="preserve">                               </w:t>
      </w:r>
    </w:p>
    <w:p w14:paraId="31A13564">
      <w:pPr>
        <w:spacing w:line="360" w:lineRule="auto"/>
        <w:ind w:firstLine="560" w:firstLineChars="200"/>
        <w:outlineLvl w:val="9"/>
        <w:rPr>
          <w:rFonts w:hint="eastAsia" w:ascii="仿宋" w:hAnsi="仿宋" w:eastAsia="仿宋" w:cs="仿宋"/>
          <w:b w:val="0"/>
          <w:color w:val="auto"/>
          <w:sz w:val="28"/>
          <w:szCs w:val="28"/>
        </w:rPr>
      </w:pPr>
    </w:p>
    <w:p w14:paraId="2C3B7FCA">
      <w:pPr>
        <w:spacing w:line="360" w:lineRule="auto"/>
        <w:ind w:firstLine="1400" w:firstLineChars="500"/>
        <w:outlineLvl w:val="9"/>
        <w:rPr>
          <w:rFonts w:hint="eastAsia" w:ascii="仿宋" w:hAnsi="仿宋" w:eastAsia="仿宋" w:cs="仿宋"/>
          <w:b w:val="0"/>
          <w:color w:val="auto"/>
          <w:sz w:val="28"/>
          <w:szCs w:val="28"/>
          <w:u w:val="single"/>
        </w:rPr>
      </w:pPr>
      <w:r>
        <w:rPr>
          <w:rFonts w:hint="eastAsia" w:ascii="仿宋" w:hAnsi="仿宋" w:eastAsia="仿宋" w:cs="仿宋"/>
          <w:b w:val="0"/>
          <w:color w:val="auto"/>
          <w:sz w:val="28"/>
          <w:szCs w:val="28"/>
        </w:rPr>
        <w:t xml:space="preserve">乙　　方（即中标供应商）： </w:t>
      </w:r>
      <w:r>
        <w:rPr>
          <w:rFonts w:hint="eastAsia" w:ascii="仿宋" w:hAnsi="仿宋" w:eastAsia="仿宋" w:cs="仿宋"/>
          <w:b w:val="0"/>
          <w:color w:val="auto"/>
          <w:sz w:val="28"/>
          <w:szCs w:val="28"/>
          <w:u w:val="single"/>
        </w:rPr>
        <w:t xml:space="preserve">                          </w:t>
      </w:r>
    </w:p>
    <w:p w14:paraId="0F5A6136">
      <w:pPr>
        <w:spacing w:line="360" w:lineRule="auto"/>
        <w:ind w:firstLine="1400" w:firstLineChars="500"/>
        <w:outlineLvl w:val="9"/>
        <w:rPr>
          <w:rFonts w:hint="eastAsia" w:ascii="仿宋" w:hAnsi="仿宋" w:eastAsia="仿宋" w:cs="仿宋"/>
          <w:b w:val="0"/>
          <w:color w:val="auto"/>
          <w:sz w:val="28"/>
          <w:szCs w:val="28"/>
          <w:u w:val="single"/>
        </w:rPr>
      </w:pPr>
    </w:p>
    <w:p w14:paraId="5CFE4E53">
      <w:pPr>
        <w:spacing w:line="360" w:lineRule="auto"/>
        <w:ind w:firstLine="1400" w:firstLineChars="500"/>
        <w:outlineLvl w:val="9"/>
        <w:rPr>
          <w:rFonts w:hint="default" w:ascii="仿宋" w:hAnsi="仿宋" w:eastAsia="仿宋" w:cs="仿宋"/>
          <w:b w:val="0"/>
          <w:color w:val="auto"/>
          <w:sz w:val="28"/>
          <w:szCs w:val="28"/>
          <w:lang w:val="en-US" w:eastAsia="zh-CN"/>
        </w:rPr>
      </w:pPr>
      <w:r>
        <w:rPr>
          <w:rFonts w:hint="eastAsia" w:ascii="仿宋" w:hAnsi="仿宋" w:eastAsia="仿宋" w:cs="仿宋"/>
          <w:b w:val="0"/>
          <w:color w:val="auto"/>
          <w:sz w:val="28"/>
          <w:szCs w:val="28"/>
          <w:u w:val="none"/>
          <w:lang w:val="en-US" w:eastAsia="zh-CN"/>
        </w:rPr>
        <w:t>签订日期：</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p w14:paraId="2B2B6525">
      <w:pPr>
        <w:spacing w:line="360" w:lineRule="auto"/>
        <w:ind w:firstLine="480"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 xml:space="preserve"> </w:t>
      </w:r>
    </w:p>
    <w:p w14:paraId="1CD259AD">
      <w:pPr>
        <w:spacing w:line="360" w:lineRule="auto"/>
        <w:ind w:firstLine="480" w:firstLineChars="200"/>
        <w:outlineLvl w:val="9"/>
        <w:rPr>
          <w:rFonts w:hint="eastAsia" w:ascii="仿宋" w:hAnsi="仿宋" w:eastAsia="仿宋" w:cs="仿宋"/>
          <w:b w:val="0"/>
          <w:color w:val="auto"/>
          <w:sz w:val="24"/>
          <w:szCs w:val="24"/>
        </w:rPr>
      </w:pPr>
    </w:p>
    <w:p w14:paraId="5040E71B">
      <w:pPr>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br w:type="page"/>
      </w:r>
    </w:p>
    <w:p w14:paraId="41920814">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u w:val="single"/>
          <w:lang w:val="zh-CN"/>
        </w:rPr>
        <w:t xml:space="preserve">        </w:t>
      </w:r>
      <w:r>
        <w:rPr>
          <w:rFonts w:hint="eastAsia" w:ascii="仿宋" w:hAnsi="仿宋" w:eastAsia="仿宋"/>
          <w:color w:val="auto"/>
          <w:sz w:val="24"/>
          <w:lang w:val="zh-CN"/>
        </w:rPr>
        <w:t>年</w:t>
      </w:r>
      <w:r>
        <w:rPr>
          <w:rFonts w:hint="eastAsia" w:ascii="仿宋" w:hAnsi="仿宋" w:eastAsia="仿宋"/>
          <w:color w:val="auto"/>
          <w:sz w:val="24"/>
          <w:u w:val="single"/>
          <w:lang w:val="zh-CN"/>
        </w:rPr>
        <w:t xml:space="preserve">    </w:t>
      </w:r>
      <w:r>
        <w:rPr>
          <w:rFonts w:hint="eastAsia" w:ascii="仿宋" w:hAnsi="仿宋" w:eastAsia="仿宋"/>
          <w:color w:val="auto"/>
          <w:sz w:val="24"/>
          <w:lang w:val="zh-CN"/>
        </w:rPr>
        <w:t>月</w:t>
      </w:r>
      <w:r>
        <w:rPr>
          <w:rFonts w:hint="eastAsia"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龙港市世纪中学</w:t>
      </w:r>
      <w:r>
        <w:rPr>
          <w:rFonts w:hint="eastAsia" w:ascii="仿宋" w:hAnsi="仿宋" w:eastAsia="仿宋"/>
          <w:color w:val="auto"/>
          <w:sz w:val="24"/>
          <w:u w:val="single"/>
        </w:rPr>
        <w:t xml:space="preserve">   </w:t>
      </w:r>
      <w:r>
        <w:rPr>
          <w:rFonts w:hint="eastAsia" w:ascii="仿宋" w:hAnsi="仿宋" w:eastAsia="仿宋"/>
          <w:color w:val="auto"/>
          <w:sz w:val="24"/>
        </w:rPr>
        <w:t>以</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公开招标</w:t>
      </w:r>
      <w:r>
        <w:rPr>
          <w:rFonts w:hint="eastAsia" w:ascii="仿宋" w:hAnsi="仿宋" w:eastAsia="仿宋"/>
          <w:color w:val="auto"/>
          <w:sz w:val="24"/>
          <w:u w:val="single"/>
        </w:rPr>
        <w:t xml:space="preserve">  </w:t>
      </w:r>
      <w:r>
        <w:rPr>
          <w:rFonts w:hint="eastAsia" w:ascii="仿宋" w:hAnsi="仿宋" w:eastAsia="仿宋"/>
          <w:color w:val="auto"/>
          <w:sz w:val="24"/>
        </w:rPr>
        <w:t>对</w:t>
      </w:r>
      <w:r>
        <w:rPr>
          <w:rFonts w:hint="eastAsia" w:ascii="仿宋" w:hAnsi="仿宋" w:eastAsia="仿宋"/>
          <w:color w:val="auto"/>
          <w:sz w:val="24"/>
          <w:u w:val="single"/>
        </w:rPr>
        <w:t xml:space="preserve">   （同前页项目名称）   </w:t>
      </w:r>
      <w:r>
        <w:rPr>
          <w:rFonts w:hint="eastAsia" w:ascii="仿宋" w:hAnsi="仿宋" w:eastAsia="仿宋"/>
          <w:color w:val="auto"/>
          <w:sz w:val="24"/>
        </w:rPr>
        <w:t>项目进行了采购。经评定，</w:t>
      </w:r>
      <w:r>
        <w:rPr>
          <w:rFonts w:hint="eastAsia"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14:paraId="2825C9C9">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olor w:val="auto"/>
          <w:sz w:val="24"/>
          <w:u w:val="single"/>
        </w:rPr>
        <w:t xml:space="preserve">   （采购人名称）   </w:t>
      </w:r>
      <w:r>
        <w:rPr>
          <w:rFonts w:hint="eastAsia" w:ascii="仿宋" w:hAnsi="仿宋" w:eastAsia="仿宋"/>
          <w:color w:val="auto"/>
          <w:sz w:val="24"/>
          <w:lang w:val="zh-CN"/>
        </w:rPr>
        <w:t>(以下简称：甲方)和</w:t>
      </w:r>
      <w:r>
        <w:rPr>
          <w:rFonts w:hint="eastAsia" w:ascii="仿宋" w:hAnsi="仿宋" w:eastAsia="仿宋"/>
          <w:color w:val="auto"/>
          <w:sz w:val="24"/>
          <w:u w:val="single"/>
        </w:rPr>
        <w:t xml:space="preserve">   （中标供应商名称）   </w:t>
      </w:r>
      <w:r>
        <w:rPr>
          <w:rFonts w:hint="eastAsia"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14:paraId="785FF5B7">
      <w:pPr>
        <w:spacing w:line="560" w:lineRule="exact"/>
        <w:ind w:firstLine="482" w:firstLineChars="200"/>
        <w:outlineLvl w:val="9"/>
        <w:rPr>
          <w:rFonts w:ascii="仿宋" w:hAnsi="仿宋" w:eastAsia="仿宋"/>
          <w:b/>
          <w:color w:val="auto"/>
          <w:sz w:val="24"/>
        </w:rPr>
      </w:pPr>
      <w:bookmarkStart w:id="209" w:name="_Toc3029"/>
      <w:bookmarkStart w:id="210" w:name="_Toc24059"/>
      <w:bookmarkStart w:id="211" w:name="_Toc2232"/>
      <w:r>
        <w:rPr>
          <w:rFonts w:hint="eastAsia" w:ascii="仿宋" w:hAnsi="仿宋" w:eastAsia="仿宋"/>
          <w:b/>
          <w:color w:val="auto"/>
          <w:sz w:val="24"/>
        </w:rPr>
        <w:t>1.1 合同组成部分</w:t>
      </w:r>
      <w:bookmarkEnd w:id="209"/>
      <w:bookmarkEnd w:id="210"/>
      <w:bookmarkEnd w:id="211"/>
    </w:p>
    <w:p w14:paraId="366CFC93">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B37BD4">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1.1.1 本合同及其补充合同、变更协议；</w:t>
      </w:r>
    </w:p>
    <w:p w14:paraId="6B09C3A3">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1.1.2 中标通知书；</w:t>
      </w:r>
    </w:p>
    <w:p w14:paraId="3161FD4A">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1.1.3 投标文件（含澄清或者说明文件）；</w:t>
      </w:r>
    </w:p>
    <w:p w14:paraId="1E7FBECA">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1.1.4 招标文件（含澄清或者修改文件）；</w:t>
      </w:r>
    </w:p>
    <w:p w14:paraId="7FCF079B">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1.1.5 其他相关采购文件。</w:t>
      </w:r>
    </w:p>
    <w:p w14:paraId="1238EECB">
      <w:pPr>
        <w:spacing w:line="560" w:lineRule="exact"/>
        <w:ind w:firstLine="482" w:firstLineChars="200"/>
        <w:outlineLvl w:val="9"/>
        <w:rPr>
          <w:rFonts w:ascii="仿宋" w:hAnsi="仿宋" w:eastAsia="仿宋"/>
          <w:b/>
          <w:color w:val="auto"/>
          <w:sz w:val="24"/>
        </w:rPr>
      </w:pPr>
      <w:bookmarkStart w:id="212" w:name="_Toc24300"/>
      <w:bookmarkStart w:id="213" w:name="_Toc27126"/>
      <w:bookmarkStart w:id="214" w:name="_Toc21295"/>
      <w:r>
        <w:rPr>
          <w:rFonts w:hint="eastAsia" w:ascii="仿宋" w:hAnsi="仿宋" w:eastAsia="仿宋"/>
          <w:b/>
          <w:color w:val="auto"/>
          <w:sz w:val="24"/>
        </w:rPr>
        <w:t>1.2 货物</w:t>
      </w:r>
      <w:bookmarkEnd w:id="212"/>
      <w:bookmarkEnd w:id="213"/>
      <w:bookmarkEnd w:id="214"/>
    </w:p>
    <w:p w14:paraId="5749D378">
      <w:pPr>
        <w:spacing w:line="560" w:lineRule="exact"/>
        <w:ind w:firstLine="480" w:firstLineChars="200"/>
        <w:outlineLvl w:val="9"/>
        <w:rPr>
          <w:rFonts w:ascii="仿宋" w:hAnsi="仿宋" w:eastAsia="仿宋"/>
          <w:color w:val="auto"/>
          <w:sz w:val="24"/>
          <w:u w:val="single"/>
        </w:rPr>
      </w:pPr>
      <w:r>
        <w:rPr>
          <w:rFonts w:hint="eastAsia" w:ascii="仿宋" w:hAnsi="仿宋" w:eastAsia="仿宋"/>
          <w:color w:val="auto"/>
          <w:sz w:val="24"/>
        </w:rPr>
        <w:t>1.2.1 货物名称：</w:t>
      </w:r>
      <w:r>
        <w:rPr>
          <w:rFonts w:hint="eastAsia" w:ascii="仿宋" w:hAnsi="仿宋" w:eastAsia="仿宋"/>
          <w:color w:val="auto"/>
          <w:sz w:val="24"/>
          <w:u w:val="single"/>
        </w:rPr>
        <w:t xml:space="preserve">                                                </w:t>
      </w:r>
      <w:r>
        <w:rPr>
          <w:rFonts w:hint="eastAsia" w:ascii="仿宋" w:hAnsi="仿宋" w:eastAsia="仿宋"/>
          <w:color w:val="auto"/>
          <w:sz w:val="24"/>
        </w:rPr>
        <w:t>；</w:t>
      </w:r>
    </w:p>
    <w:p w14:paraId="4FC490E6">
      <w:pPr>
        <w:spacing w:line="560" w:lineRule="exact"/>
        <w:ind w:firstLine="480" w:firstLineChars="200"/>
        <w:outlineLvl w:val="9"/>
        <w:rPr>
          <w:rFonts w:ascii="仿宋" w:hAnsi="仿宋" w:eastAsia="仿宋"/>
          <w:color w:val="auto"/>
          <w:sz w:val="24"/>
          <w:u w:val="single"/>
        </w:rPr>
      </w:pPr>
      <w:r>
        <w:rPr>
          <w:rFonts w:hint="eastAsia" w:ascii="仿宋" w:hAnsi="仿宋" w:eastAsia="仿宋"/>
          <w:color w:val="auto"/>
          <w:sz w:val="24"/>
        </w:rPr>
        <w:t>1.2.2 货物数量：</w:t>
      </w:r>
      <w:r>
        <w:rPr>
          <w:rFonts w:hint="eastAsia" w:ascii="仿宋" w:hAnsi="仿宋" w:eastAsia="仿宋"/>
          <w:color w:val="auto"/>
          <w:sz w:val="24"/>
          <w:u w:val="single"/>
        </w:rPr>
        <w:t xml:space="preserve">                                                </w:t>
      </w:r>
      <w:r>
        <w:rPr>
          <w:rFonts w:hint="eastAsia" w:ascii="仿宋" w:hAnsi="仿宋" w:eastAsia="仿宋"/>
          <w:color w:val="auto"/>
          <w:sz w:val="24"/>
        </w:rPr>
        <w:t>；</w:t>
      </w:r>
    </w:p>
    <w:p w14:paraId="6ED3B0A8">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1.2.3 货物质量：</w:t>
      </w:r>
      <w:r>
        <w:rPr>
          <w:rFonts w:hint="eastAsia" w:ascii="仿宋" w:hAnsi="仿宋" w:eastAsia="仿宋"/>
          <w:color w:val="auto"/>
          <w:sz w:val="24"/>
          <w:u w:val="single"/>
        </w:rPr>
        <w:t xml:space="preserve">　　　　　　　　　                      　      </w:t>
      </w:r>
      <w:r>
        <w:rPr>
          <w:rFonts w:hint="eastAsia" w:ascii="仿宋" w:hAnsi="仿宋" w:eastAsia="仿宋"/>
          <w:color w:val="auto"/>
          <w:sz w:val="24"/>
        </w:rPr>
        <w:t>。</w:t>
      </w:r>
    </w:p>
    <w:p w14:paraId="571799B5">
      <w:pPr>
        <w:spacing w:line="560" w:lineRule="exact"/>
        <w:ind w:firstLine="482" w:firstLineChars="200"/>
        <w:outlineLvl w:val="9"/>
        <w:rPr>
          <w:rFonts w:ascii="仿宋" w:hAnsi="仿宋" w:eastAsia="仿宋"/>
          <w:b/>
          <w:color w:val="auto"/>
          <w:sz w:val="24"/>
        </w:rPr>
      </w:pPr>
      <w:bookmarkStart w:id="215" w:name="_Toc21631"/>
      <w:bookmarkStart w:id="216" w:name="_Toc21551"/>
      <w:bookmarkStart w:id="217" w:name="_Toc23292"/>
      <w:r>
        <w:rPr>
          <w:rFonts w:hint="eastAsia" w:ascii="仿宋" w:hAnsi="仿宋" w:eastAsia="仿宋"/>
          <w:b/>
          <w:color w:val="auto"/>
          <w:sz w:val="24"/>
        </w:rPr>
        <w:t>1.3 价款</w:t>
      </w:r>
      <w:bookmarkEnd w:id="215"/>
      <w:bookmarkEnd w:id="216"/>
      <w:bookmarkEnd w:id="217"/>
    </w:p>
    <w:p w14:paraId="713EDA63">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本合同总价为：￥</w:t>
      </w:r>
      <w:r>
        <w:rPr>
          <w:rFonts w:hint="eastAsia" w:ascii="仿宋" w:hAnsi="仿宋" w:eastAsia="仿宋"/>
          <w:color w:val="auto"/>
          <w:sz w:val="24"/>
          <w:u w:val="single"/>
        </w:rPr>
        <w:t xml:space="preserve">           </w:t>
      </w:r>
      <w:r>
        <w:rPr>
          <w:rFonts w:hint="eastAsia" w:ascii="仿宋" w:hAnsi="仿宋" w:eastAsia="仿宋"/>
          <w:color w:val="auto"/>
          <w:sz w:val="24"/>
        </w:rPr>
        <w:t>元（大写：</w:t>
      </w:r>
      <w:r>
        <w:rPr>
          <w:rFonts w:hint="eastAsia" w:ascii="仿宋" w:hAnsi="仿宋" w:eastAsia="仿宋"/>
          <w:color w:val="auto"/>
          <w:sz w:val="24"/>
          <w:u w:val="single"/>
        </w:rPr>
        <w:t xml:space="preserve">                 </w:t>
      </w:r>
      <w:r>
        <w:rPr>
          <w:rFonts w:hint="eastAsia" w:ascii="仿宋" w:hAnsi="仿宋" w:eastAsia="仿宋"/>
          <w:color w:val="auto"/>
          <w:sz w:val="24"/>
        </w:rPr>
        <w:t>元人民币）。</w:t>
      </w:r>
    </w:p>
    <w:p w14:paraId="65AE44C9">
      <w:pPr>
        <w:spacing w:line="560" w:lineRule="exact"/>
        <w:ind w:firstLine="480" w:firstLineChars="200"/>
        <w:outlineLvl w:val="9"/>
        <w:rPr>
          <w:rFonts w:ascii="仿宋" w:hAnsi="仿宋" w:eastAsia="仿宋"/>
          <w:color w:val="auto"/>
          <w:sz w:val="24"/>
          <w:u w:val="single"/>
        </w:rPr>
      </w:pPr>
      <w:r>
        <w:rPr>
          <w:rFonts w:hint="eastAsia" w:ascii="仿宋" w:hAnsi="仿宋" w:eastAsia="仿宋"/>
          <w:color w:val="auto"/>
          <w:sz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AC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F7A263">
            <w:pPr>
              <w:pStyle w:val="70"/>
              <w:spacing w:line="560" w:lineRule="exact"/>
              <w:jc w:val="center"/>
              <w:outlineLvl w:val="9"/>
              <w:rPr>
                <w:rFonts w:ascii="仿宋" w:hAnsi="仿宋" w:eastAsia="仿宋"/>
                <w:color w:val="auto"/>
                <w:sz w:val="24"/>
                <w:szCs w:val="24"/>
              </w:rPr>
            </w:pPr>
            <w:r>
              <w:rPr>
                <w:rFonts w:hint="eastAsia" w:ascii="仿宋" w:hAnsi="仿宋" w:eastAsia="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AB678A9">
            <w:pPr>
              <w:pStyle w:val="70"/>
              <w:spacing w:line="560" w:lineRule="exact"/>
              <w:ind w:firstLine="480"/>
              <w:jc w:val="center"/>
              <w:outlineLvl w:val="9"/>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BDA1841">
            <w:pPr>
              <w:pStyle w:val="70"/>
              <w:spacing w:line="560" w:lineRule="exact"/>
              <w:jc w:val="center"/>
              <w:outlineLvl w:val="9"/>
              <w:rPr>
                <w:rFonts w:ascii="仿宋" w:hAnsi="仿宋" w:eastAsia="仿宋"/>
                <w:color w:val="auto"/>
                <w:sz w:val="24"/>
                <w:szCs w:val="24"/>
              </w:rPr>
            </w:pPr>
            <w:r>
              <w:rPr>
                <w:rFonts w:hint="eastAsia" w:ascii="仿宋" w:hAnsi="仿宋" w:eastAsia="仿宋"/>
                <w:color w:val="auto"/>
                <w:sz w:val="24"/>
                <w:szCs w:val="24"/>
              </w:rPr>
              <w:t>分项价格</w:t>
            </w:r>
          </w:p>
        </w:tc>
      </w:tr>
      <w:tr w14:paraId="3A78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B1DE58">
            <w:pPr>
              <w:pStyle w:val="70"/>
              <w:spacing w:line="560" w:lineRule="exact"/>
              <w:ind w:firstLine="480"/>
              <w:jc w:val="center"/>
              <w:outlineLvl w:val="9"/>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384EA44">
            <w:pPr>
              <w:pStyle w:val="70"/>
              <w:spacing w:line="560" w:lineRule="exact"/>
              <w:ind w:firstLine="480"/>
              <w:jc w:val="center"/>
              <w:outlineLvl w:val="9"/>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7FAA728">
            <w:pPr>
              <w:pStyle w:val="70"/>
              <w:spacing w:line="560" w:lineRule="exact"/>
              <w:ind w:firstLine="480"/>
              <w:jc w:val="center"/>
              <w:outlineLvl w:val="9"/>
              <w:rPr>
                <w:rFonts w:ascii="仿宋" w:hAnsi="仿宋" w:eastAsia="仿宋"/>
                <w:color w:val="auto"/>
                <w:sz w:val="24"/>
                <w:szCs w:val="24"/>
              </w:rPr>
            </w:pPr>
          </w:p>
        </w:tc>
      </w:tr>
      <w:tr w14:paraId="2CB3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273451">
            <w:pPr>
              <w:pStyle w:val="70"/>
              <w:spacing w:line="560" w:lineRule="exact"/>
              <w:ind w:firstLine="480"/>
              <w:jc w:val="center"/>
              <w:outlineLvl w:val="9"/>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F7EF330">
            <w:pPr>
              <w:pStyle w:val="70"/>
              <w:spacing w:line="560" w:lineRule="exact"/>
              <w:ind w:firstLine="480"/>
              <w:jc w:val="center"/>
              <w:outlineLvl w:val="9"/>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9C54714">
            <w:pPr>
              <w:pStyle w:val="70"/>
              <w:spacing w:line="560" w:lineRule="exact"/>
              <w:ind w:firstLine="480"/>
              <w:jc w:val="center"/>
              <w:outlineLvl w:val="9"/>
              <w:rPr>
                <w:rFonts w:ascii="仿宋" w:hAnsi="仿宋" w:eastAsia="仿宋"/>
                <w:color w:val="auto"/>
                <w:sz w:val="24"/>
                <w:szCs w:val="24"/>
              </w:rPr>
            </w:pPr>
          </w:p>
        </w:tc>
      </w:tr>
      <w:tr w14:paraId="5B06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0712385">
            <w:pPr>
              <w:pStyle w:val="70"/>
              <w:spacing w:line="560" w:lineRule="exact"/>
              <w:ind w:firstLine="480"/>
              <w:jc w:val="center"/>
              <w:outlineLvl w:val="9"/>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4EFD521">
            <w:pPr>
              <w:pStyle w:val="70"/>
              <w:spacing w:line="560" w:lineRule="exact"/>
              <w:ind w:firstLine="480"/>
              <w:jc w:val="center"/>
              <w:outlineLvl w:val="9"/>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D964A9A">
            <w:pPr>
              <w:pStyle w:val="70"/>
              <w:spacing w:line="560" w:lineRule="exact"/>
              <w:ind w:firstLine="480"/>
              <w:jc w:val="center"/>
              <w:outlineLvl w:val="9"/>
              <w:rPr>
                <w:rFonts w:ascii="仿宋" w:hAnsi="仿宋" w:eastAsia="仿宋"/>
                <w:color w:val="auto"/>
                <w:sz w:val="24"/>
                <w:szCs w:val="24"/>
              </w:rPr>
            </w:pPr>
          </w:p>
        </w:tc>
      </w:tr>
      <w:tr w14:paraId="678E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3A6A35">
            <w:pPr>
              <w:pStyle w:val="70"/>
              <w:spacing w:line="560" w:lineRule="exact"/>
              <w:ind w:firstLine="480"/>
              <w:jc w:val="center"/>
              <w:outlineLvl w:val="9"/>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4C9C399">
            <w:pPr>
              <w:pStyle w:val="70"/>
              <w:spacing w:line="560" w:lineRule="exact"/>
              <w:ind w:firstLine="480"/>
              <w:jc w:val="center"/>
              <w:outlineLvl w:val="9"/>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B90079A">
            <w:pPr>
              <w:pStyle w:val="70"/>
              <w:spacing w:line="560" w:lineRule="exact"/>
              <w:ind w:firstLine="480"/>
              <w:jc w:val="center"/>
              <w:outlineLvl w:val="9"/>
              <w:rPr>
                <w:rFonts w:ascii="仿宋" w:hAnsi="仿宋" w:eastAsia="仿宋"/>
                <w:color w:val="auto"/>
                <w:sz w:val="24"/>
                <w:szCs w:val="24"/>
              </w:rPr>
            </w:pPr>
          </w:p>
        </w:tc>
      </w:tr>
      <w:tr w14:paraId="20B5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63F7781">
            <w:pPr>
              <w:pStyle w:val="70"/>
              <w:spacing w:line="560" w:lineRule="exact"/>
              <w:ind w:firstLine="480"/>
              <w:jc w:val="center"/>
              <w:outlineLvl w:val="9"/>
              <w:rPr>
                <w:rFonts w:ascii="仿宋" w:hAnsi="仿宋" w:eastAsia="仿宋"/>
                <w:color w:val="auto"/>
                <w:sz w:val="24"/>
                <w:szCs w:val="24"/>
              </w:rPr>
            </w:pPr>
            <w:r>
              <w:rPr>
                <w:rFonts w:hint="eastAsia" w:ascii="仿宋" w:hAnsi="仿宋" w:eastAsia="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75EF3C6">
            <w:pPr>
              <w:pStyle w:val="70"/>
              <w:spacing w:line="560" w:lineRule="exact"/>
              <w:ind w:firstLine="480"/>
              <w:jc w:val="center"/>
              <w:outlineLvl w:val="9"/>
              <w:rPr>
                <w:rFonts w:ascii="仿宋" w:hAnsi="仿宋" w:eastAsia="仿宋"/>
                <w:color w:val="auto"/>
                <w:sz w:val="24"/>
                <w:szCs w:val="24"/>
              </w:rPr>
            </w:pPr>
          </w:p>
        </w:tc>
      </w:tr>
    </w:tbl>
    <w:p w14:paraId="2E7AD4E3">
      <w:pPr>
        <w:spacing w:line="360" w:lineRule="auto"/>
        <w:ind w:firstLine="482" w:firstLineChars="200"/>
        <w:outlineLvl w:val="9"/>
        <w:rPr>
          <w:rFonts w:hint="eastAsia" w:ascii="仿宋" w:hAnsi="仿宋" w:eastAsia="仿宋"/>
          <w:b/>
          <w:color w:val="auto"/>
          <w:sz w:val="24"/>
        </w:rPr>
      </w:pPr>
      <w:bookmarkStart w:id="218" w:name="_Toc10340"/>
      <w:bookmarkStart w:id="219" w:name="_Toc22618"/>
      <w:bookmarkStart w:id="220" w:name="_Toc1814"/>
    </w:p>
    <w:p w14:paraId="440D2BD3">
      <w:pPr>
        <w:spacing w:line="560" w:lineRule="exact"/>
        <w:ind w:firstLine="482" w:firstLineChars="200"/>
        <w:outlineLvl w:val="9"/>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1.4 付款</w:t>
      </w:r>
      <w:bookmarkEnd w:id="218"/>
      <w:bookmarkEnd w:id="219"/>
      <w:bookmarkEnd w:id="220"/>
      <w:r>
        <w:rPr>
          <w:rFonts w:hint="eastAsia" w:ascii="仿宋" w:hAnsi="仿宋" w:eastAsia="仿宋" w:cs="宋体"/>
          <w:b/>
          <w:bCs/>
          <w:color w:val="auto"/>
          <w:sz w:val="24"/>
          <w:highlight w:val="none"/>
        </w:rPr>
        <w:t>方式、时间和条件</w:t>
      </w:r>
    </w:p>
    <w:p w14:paraId="3C0B8FAD">
      <w:pPr>
        <w:spacing w:line="560" w:lineRule="exact"/>
        <w:ind w:firstLine="480" w:firstLineChars="200"/>
        <w:outlineLvl w:val="9"/>
        <w:rPr>
          <w:rFonts w:hint="eastAsia" w:ascii="仿宋" w:hAnsi="仿宋" w:eastAsia="仿宋" w:cs="宋体"/>
          <w:color w:val="auto"/>
          <w:sz w:val="24"/>
          <w:highlight w:val="none"/>
        </w:rPr>
      </w:pPr>
      <w:r>
        <w:rPr>
          <w:rFonts w:hint="eastAsia" w:ascii="仿宋" w:hAnsi="仿宋" w:eastAsia="仿宋" w:cs="宋体"/>
          <w:color w:val="auto"/>
          <w:sz w:val="24"/>
          <w:highlight w:val="none"/>
        </w:rPr>
        <w:t>1.4.1甲方应积极履行合同，及时组织验收，验收合格后应及时将合同款支付完毕。对于满足合同约定支付条件的，甲方应自收到发票后5个工作日内将资金支付到合同约定的乙方账户，有条件的甲方可以即时支付。甲方不得以机构变动、人员更替、政策调整、单位放假等为由延迟付款。</w:t>
      </w:r>
    </w:p>
    <w:p w14:paraId="1D0BDE73">
      <w:pPr>
        <w:spacing w:line="560" w:lineRule="exact"/>
        <w:ind w:firstLine="480" w:firstLineChars="200"/>
        <w:outlineLvl w:val="9"/>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1.4.2甲方应当在政府采购合同中约定预付款，</w:t>
      </w:r>
      <w:r>
        <w:rPr>
          <w:rFonts w:hint="eastAsia" w:ascii="仿宋" w:hAnsi="仿宋" w:eastAsia="仿宋"/>
          <w:color w:val="auto"/>
          <w:sz w:val="24"/>
          <w:highlight w:val="none"/>
          <w:lang w:val="en-US" w:eastAsia="zh-CN"/>
        </w:rPr>
        <w:t>甲方对中小企业合同预付款比例原则上不低于合同金额的40%，不得高于合同金额的70%；项目分年安排预算的，每年预付款比例不低于项目年度计划支付资金额的40%，不高于年度计划支付资金额的70%；采购项目实施以人工投入为主的，可适当降低预付款比例，但不得低于20%。对乙方为大型企业的项目或者以人工投入为主且实行按月定期阶段支付款项的项目，预付款可低于上述比例或者不约定预付款。</w:t>
      </w:r>
    </w:p>
    <w:p w14:paraId="35C270CD">
      <w:pPr>
        <w:spacing w:line="560" w:lineRule="exact"/>
        <w:ind w:firstLine="480" w:firstLineChars="200"/>
        <w:outlineLvl w:val="9"/>
        <w:rPr>
          <w:rFonts w:ascii="仿宋" w:hAnsi="仿宋" w:eastAsia="仿宋"/>
          <w:color w:val="auto"/>
          <w:sz w:val="24"/>
          <w:highlight w:val="none"/>
        </w:rPr>
      </w:pPr>
      <w:r>
        <w:rPr>
          <w:rFonts w:hint="eastAsia" w:ascii="仿宋" w:hAnsi="仿宋" w:eastAsia="仿宋"/>
          <w:color w:val="auto"/>
          <w:sz w:val="24"/>
          <w:highlight w:val="none"/>
        </w:rPr>
        <w:t>1.4.3甲方迟延支付乙方款项的，应当支付逾期利息。双方可以约定逾期利率，约定利率不得低于合同订立时1年期贷款市场报价利率；未作约定的，按照每日利率万分之五支付逾期利息。</w:t>
      </w:r>
    </w:p>
    <w:p w14:paraId="67D17A5F">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rPr>
        <w:t>。</w:t>
      </w:r>
    </w:p>
    <w:p w14:paraId="7160184A">
      <w:pPr>
        <w:spacing w:line="560" w:lineRule="exact"/>
        <w:ind w:firstLine="482" w:firstLineChars="200"/>
        <w:outlineLvl w:val="9"/>
        <w:rPr>
          <w:rFonts w:ascii="仿宋" w:hAnsi="仿宋" w:eastAsia="仿宋"/>
          <w:b/>
          <w:color w:val="auto"/>
          <w:sz w:val="24"/>
        </w:rPr>
      </w:pPr>
      <w:bookmarkStart w:id="221" w:name="_Toc32071"/>
      <w:bookmarkStart w:id="222" w:name="_Toc19304"/>
      <w:bookmarkStart w:id="223" w:name="_Toc2846"/>
      <w:r>
        <w:rPr>
          <w:rFonts w:hint="eastAsia" w:ascii="仿宋" w:hAnsi="仿宋" w:eastAsia="仿宋"/>
          <w:b/>
          <w:color w:val="auto"/>
          <w:sz w:val="24"/>
        </w:rPr>
        <w:t>1.5 货物交付期限、地点和方式</w:t>
      </w:r>
      <w:bookmarkEnd w:id="221"/>
      <w:bookmarkEnd w:id="222"/>
      <w:bookmarkEnd w:id="223"/>
    </w:p>
    <w:p w14:paraId="0AFB9AF4">
      <w:pPr>
        <w:spacing w:line="560" w:lineRule="exact"/>
        <w:ind w:firstLine="480" w:firstLineChars="200"/>
        <w:outlineLvl w:val="9"/>
        <w:rPr>
          <w:rFonts w:ascii="仿宋" w:hAnsi="仿宋" w:eastAsia="仿宋"/>
          <w:color w:val="auto"/>
          <w:sz w:val="24"/>
          <w:u w:val="single"/>
        </w:rPr>
      </w:pPr>
      <w:r>
        <w:rPr>
          <w:rFonts w:hint="eastAsia" w:ascii="仿宋" w:hAnsi="仿宋" w:eastAsia="仿宋"/>
          <w:color w:val="auto"/>
          <w:sz w:val="24"/>
        </w:rPr>
        <w:t>1.5.1 交付期限：</w:t>
      </w:r>
      <w:r>
        <w:rPr>
          <w:rFonts w:hint="eastAsia" w:ascii="仿宋" w:hAnsi="仿宋" w:eastAsia="仿宋"/>
          <w:color w:val="auto"/>
          <w:sz w:val="24"/>
          <w:u w:val="single"/>
        </w:rPr>
        <w:t xml:space="preserve">                                                </w:t>
      </w:r>
      <w:r>
        <w:rPr>
          <w:rFonts w:hint="eastAsia" w:ascii="仿宋" w:hAnsi="仿宋" w:eastAsia="仿宋"/>
          <w:color w:val="auto"/>
          <w:sz w:val="24"/>
        </w:rPr>
        <w:t>；</w:t>
      </w:r>
    </w:p>
    <w:p w14:paraId="4BF9788C">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1.5.2 交付地点：</w:t>
      </w:r>
      <w:r>
        <w:rPr>
          <w:rFonts w:hint="eastAsia" w:ascii="仿宋" w:hAnsi="仿宋" w:eastAsia="仿宋"/>
          <w:color w:val="auto"/>
          <w:sz w:val="24"/>
          <w:u w:val="single"/>
        </w:rPr>
        <w:t xml:space="preserve">                                                </w:t>
      </w:r>
      <w:r>
        <w:rPr>
          <w:rFonts w:hint="eastAsia" w:ascii="仿宋" w:hAnsi="仿宋" w:eastAsia="仿宋"/>
          <w:color w:val="auto"/>
          <w:sz w:val="24"/>
        </w:rPr>
        <w:t>；</w:t>
      </w:r>
    </w:p>
    <w:p w14:paraId="4BB8E49C">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1.5.3 交付方式：</w:t>
      </w:r>
      <w:r>
        <w:rPr>
          <w:rFonts w:hint="eastAsia" w:ascii="仿宋" w:hAnsi="仿宋" w:eastAsia="仿宋"/>
          <w:color w:val="auto"/>
          <w:sz w:val="24"/>
          <w:u w:val="single"/>
        </w:rPr>
        <w:t xml:space="preserve">　　　　　　　　　                      　      </w:t>
      </w:r>
      <w:r>
        <w:rPr>
          <w:rFonts w:hint="eastAsia" w:ascii="仿宋" w:hAnsi="仿宋" w:eastAsia="仿宋"/>
          <w:color w:val="auto"/>
          <w:sz w:val="24"/>
        </w:rPr>
        <w:t>。</w:t>
      </w:r>
    </w:p>
    <w:p w14:paraId="643B1086">
      <w:pPr>
        <w:spacing w:line="560" w:lineRule="exact"/>
        <w:ind w:firstLine="482" w:firstLineChars="200"/>
        <w:outlineLvl w:val="9"/>
        <w:rPr>
          <w:rFonts w:ascii="仿宋" w:hAnsi="仿宋" w:eastAsia="仿宋"/>
          <w:b/>
          <w:color w:val="auto"/>
          <w:sz w:val="24"/>
        </w:rPr>
      </w:pPr>
      <w:bookmarkStart w:id="224" w:name="_Toc21423"/>
      <w:bookmarkStart w:id="225" w:name="_Toc19554"/>
      <w:bookmarkStart w:id="226" w:name="_Toc27250"/>
      <w:r>
        <w:rPr>
          <w:rFonts w:hint="eastAsia" w:ascii="仿宋" w:hAnsi="仿宋" w:eastAsia="仿宋"/>
          <w:b/>
          <w:color w:val="auto"/>
          <w:sz w:val="24"/>
        </w:rPr>
        <w:t>1.6 违约责任</w:t>
      </w:r>
      <w:bookmarkEnd w:id="224"/>
      <w:bookmarkEnd w:id="225"/>
      <w:bookmarkEnd w:id="226"/>
    </w:p>
    <w:p w14:paraId="0F49E9B7">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auto"/>
          <w:sz w:val="24"/>
          <w:u w:val="single"/>
        </w:rPr>
        <w:t xml:space="preserve">    </w:t>
      </w:r>
      <w:r>
        <w:rPr>
          <w:rFonts w:hint="eastAsia" w:ascii="仿宋" w:hAnsi="仿宋" w:eastAsia="仿宋"/>
          <w:color w:val="auto"/>
          <w:sz w:val="24"/>
        </w:rPr>
        <w:t>%计算，最高限额为本合同总价的</w:t>
      </w:r>
      <w:r>
        <w:rPr>
          <w:rFonts w:hint="eastAsia" w:ascii="仿宋" w:hAnsi="仿宋" w:eastAsia="仿宋"/>
          <w:color w:val="auto"/>
          <w:sz w:val="24"/>
          <w:u w:val="single"/>
        </w:rPr>
        <w:t xml:space="preserve">   </w:t>
      </w:r>
      <w:r>
        <w:rPr>
          <w:rFonts w:hint="eastAsia" w:ascii="仿宋" w:hAnsi="仿宋" w:eastAsia="仿宋"/>
          <w:color w:val="auto"/>
          <w:sz w:val="24"/>
        </w:rPr>
        <w:t>%；迟延交付货物的违约金计算数额达到前述最高限额之日起，甲方有权在要求乙方支付违约金的同时，书面通知乙方解除本合同；</w:t>
      </w:r>
    </w:p>
    <w:p w14:paraId="4F97D2E3">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u w:val="single"/>
        </w:rPr>
        <w:t xml:space="preserve">    </w:t>
      </w:r>
      <w:r>
        <w:rPr>
          <w:rFonts w:hint="eastAsia" w:ascii="仿宋" w:hAnsi="仿宋" w:eastAsia="仿宋"/>
          <w:color w:val="auto"/>
          <w:sz w:val="24"/>
        </w:rPr>
        <w:t>%计算，最高限额为本合同总价的</w:t>
      </w:r>
      <w:r>
        <w:rPr>
          <w:rFonts w:hint="eastAsia" w:ascii="仿宋" w:hAnsi="仿宋" w:eastAsia="仿宋"/>
          <w:color w:val="auto"/>
          <w:sz w:val="24"/>
          <w:u w:val="single"/>
        </w:rPr>
        <w:t xml:space="preserve">     </w:t>
      </w:r>
      <w:r>
        <w:rPr>
          <w:rFonts w:hint="eastAsia" w:ascii="仿宋" w:hAnsi="仿宋" w:eastAsia="仿宋"/>
          <w:color w:val="auto"/>
          <w:sz w:val="24"/>
        </w:rPr>
        <w:t>%；迟延付款的违约金计算数额达到前述最高限额之日起，乙方有权在要求甲方支付违约金的同时，书面通知甲方解除本合同；</w:t>
      </w:r>
    </w:p>
    <w:p w14:paraId="0760584D">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77715C">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D6583CA">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B174E3">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5B1ED3E">
      <w:pPr>
        <w:spacing w:line="560" w:lineRule="exact"/>
        <w:ind w:firstLine="482" w:firstLineChars="200"/>
        <w:outlineLvl w:val="9"/>
        <w:rPr>
          <w:rFonts w:ascii="仿宋" w:hAnsi="仿宋" w:eastAsia="仿宋"/>
          <w:b/>
          <w:color w:val="auto"/>
          <w:sz w:val="24"/>
        </w:rPr>
      </w:pPr>
      <w:bookmarkStart w:id="227" w:name="_Toc15583"/>
      <w:bookmarkStart w:id="228" w:name="_Toc16021"/>
      <w:bookmarkStart w:id="229" w:name="_Toc28375"/>
      <w:r>
        <w:rPr>
          <w:rFonts w:hint="eastAsia" w:ascii="仿宋" w:hAnsi="仿宋" w:eastAsia="仿宋"/>
          <w:b/>
          <w:color w:val="auto"/>
          <w:sz w:val="24"/>
        </w:rPr>
        <w:t>1.7 合同争议的解决</w:t>
      </w:r>
      <w:bookmarkEnd w:id="227"/>
      <w:bookmarkEnd w:id="228"/>
      <w:bookmarkEnd w:id="229"/>
    </w:p>
    <w:p w14:paraId="6F721B55">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 xml:space="preserve">本合同履行过程中发生的任何争议，双方当事人均可通过和解或者调解解决；不愿和解、调解或者和解、调解不成的，可以选择以下第 </w:t>
      </w:r>
      <w:r>
        <w:rPr>
          <w:rFonts w:hint="eastAsia" w:ascii="仿宋" w:hAnsi="仿宋" w:eastAsia="仿宋"/>
          <w:color w:val="auto"/>
          <w:sz w:val="24"/>
          <w:u w:val="single"/>
        </w:rPr>
        <w:t xml:space="preserve">      </w:t>
      </w:r>
      <w:r>
        <w:rPr>
          <w:rFonts w:hint="eastAsia" w:ascii="仿宋" w:hAnsi="仿宋" w:eastAsia="仿宋"/>
          <w:color w:val="auto"/>
          <w:sz w:val="24"/>
        </w:rPr>
        <w:t>条款规定的方式解决：</w:t>
      </w:r>
    </w:p>
    <w:p w14:paraId="6D4080CF">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1.7.1 将争议提交</w:t>
      </w:r>
      <w:r>
        <w:rPr>
          <w:rFonts w:hint="eastAsia" w:ascii="仿宋" w:hAnsi="仿宋" w:eastAsia="仿宋"/>
          <w:color w:val="auto"/>
          <w:sz w:val="24"/>
          <w:u w:val="single"/>
        </w:rPr>
        <w:t xml:space="preserve">              </w:t>
      </w:r>
      <w:r>
        <w:rPr>
          <w:rFonts w:hint="eastAsia" w:ascii="仿宋" w:hAnsi="仿宋" w:eastAsia="仿宋"/>
          <w:color w:val="auto"/>
          <w:sz w:val="24"/>
        </w:rPr>
        <w:t>仲裁委员会依申请仲裁时其现行有效的仲裁规则裁决；</w:t>
      </w:r>
    </w:p>
    <w:p w14:paraId="5282E4B2">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1.7.2 向</w:t>
      </w:r>
      <w:r>
        <w:rPr>
          <w:rFonts w:hint="eastAsia" w:ascii="仿宋" w:hAnsi="仿宋" w:eastAsia="仿宋"/>
          <w:color w:val="auto"/>
          <w:sz w:val="24"/>
          <w:u w:val="single"/>
          <w:lang w:val="en-US" w:eastAsia="zh-CN"/>
        </w:rPr>
        <w:t>龙港市</w:t>
      </w:r>
      <w:r>
        <w:rPr>
          <w:rFonts w:hint="eastAsia" w:ascii="仿宋" w:hAnsi="仿宋" w:eastAsia="仿宋"/>
          <w:color w:val="auto"/>
          <w:sz w:val="24"/>
        </w:rPr>
        <w:t>人民法院起诉。</w:t>
      </w:r>
    </w:p>
    <w:p w14:paraId="7CD8806D">
      <w:pPr>
        <w:spacing w:line="560" w:lineRule="exact"/>
        <w:ind w:firstLine="482" w:firstLineChars="200"/>
        <w:outlineLvl w:val="9"/>
        <w:rPr>
          <w:rFonts w:ascii="仿宋" w:hAnsi="仿宋" w:eastAsia="仿宋"/>
          <w:b/>
          <w:color w:val="auto"/>
          <w:sz w:val="24"/>
        </w:rPr>
      </w:pPr>
      <w:bookmarkStart w:id="230" w:name="_Toc11173"/>
      <w:bookmarkStart w:id="231" w:name="_Toc7245"/>
      <w:bookmarkStart w:id="232" w:name="_Toc15322"/>
      <w:r>
        <w:rPr>
          <w:rFonts w:hint="eastAsia" w:ascii="仿宋" w:hAnsi="仿宋" w:eastAsia="仿宋"/>
          <w:b/>
          <w:color w:val="auto"/>
          <w:sz w:val="24"/>
        </w:rPr>
        <w:t>1.8 合同生效</w:t>
      </w:r>
      <w:bookmarkEnd w:id="230"/>
      <w:bookmarkEnd w:id="231"/>
      <w:bookmarkEnd w:id="232"/>
    </w:p>
    <w:p w14:paraId="67F5C040">
      <w:pPr>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rPr>
        <w:t>本合同自双方当事人盖章或者签字时生效。</w:t>
      </w:r>
    </w:p>
    <w:p w14:paraId="729E9A20">
      <w:pPr>
        <w:autoSpaceDE w:val="0"/>
        <w:autoSpaceDN w:val="0"/>
        <w:spacing w:line="560" w:lineRule="exact"/>
        <w:ind w:firstLine="482" w:firstLineChars="200"/>
        <w:outlineLvl w:val="9"/>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 xml:space="preserve">：                             </w:t>
      </w:r>
      <w:r>
        <w:rPr>
          <w:rFonts w:hint="eastAsia" w:ascii="仿宋" w:hAnsi="仿宋" w:eastAsia="仿宋"/>
          <w:b/>
          <w:color w:val="auto"/>
          <w:sz w:val="24"/>
          <w:lang w:val="zh-CN"/>
        </w:rPr>
        <w:t xml:space="preserve">      乙方</w:t>
      </w:r>
      <w:r>
        <w:rPr>
          <w:rFonts w:hint="eastAsia" w:ascii="仿宋" w:hAnsi="仿宋" w:eastAsia="仿宋"/>
          <w:color w:val="auto"/>
          <w:sz w:val="24"/>
          <w:lang w:val="zh-CN"/>
        </w:rPr>
        <w:t>：</w:t>
      </w:r>
    </w:p>
    <w:p w14:paraId="1990A7B3">
      <w:pPr>
        <w:autoSpaceDE w:val="0"/>
        <w:autoSpaceDN w:val="0"/>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lang w:val="zh-CN"/>
        </w:rPr>
        <w:t>统一社会信用代码：                        统一社会信用代码或身份证号码：</w:t>
      </w:r>
    </w:p>
    <w:p w14:paraId="0103D3A5">
      <w:pPr>
        <w:autoSpaceDE w:val="0"/>
        <w:autoSpaceDN w:val="0"/>
        <w:spacing w:line="560" w:lineRule="exact"/>
        <w:outlineLvl w:val="9"/>
        <w:rPr>
          <w:rFonts w:ascii="仿宋" w:hAnsi="仿宋" w:eastAsia="仿宋"/>
          <w:color w:val="auto"/>
          <w:sz w:val="24"/>
          <w:lang w:val="zh-CN"/>
        </w:rPr>
      </w:pPr>
    </w:p>
    <w:p w14:paraId="3FFA0E0E">
      <w:pPr>
        <w:autoSpaceDE w:val="0"/>
        <w:autoSpaceDN w:val="0"/>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lang w:val="zh-CN"/>
        </w:rPr>
        <w:t>住所：                                   住所：</w:t>
      </w:r>
    </w:p>
    <w:p w14:paraId="3BC09D4B">
      <w:pPr>
        <w:autoSpaceDE w:val="0"/>
        <w:autoSpaceDN w:val="0"/>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lang w:val="zh-CN"/>
        </w:rPr>
        <w:t>法定代表人或                             法定代表人</w:t>
      </w:r>
    </w:p>
    <w:p w14:paraId="2AD02D60">
      <w:pPr>
        <w:autoSpaceDE w:val="0"/>
        <w:autoSpaceDN w:val="0"/>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lang w:val="zh-CN"/>
        </w:rPr>
        <w:t xml:space="preserve">授权代表（签字）：                       或授权代表（签字）: </w:t>
      </w:r>
    </w:p>
    <w:p w14:paraId="39EE01E5">
      <w:pPr>
        <w:autoSpaceDE w:val="0"/>
        <w:autoSpaceDN w:val="0"/>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lang w:val="zh-CN"/>
        </w:rPr>
        <w:t>联系人：                                 联系人：</w:t>
      </w:r>
    </w:p>
    <w:p w14:paraId="0FEB71EF">
      <w:pPr>
        <w:autoSpaceDE w:val="0"/>
        <w:autoSpaceDN w:val="0"/>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lang w:val="zh-CN"/>
        </w:rPr>
        <w:t>约定送达地址：                           约定送达地址：</w:t>
      </w:r>
    </w:p>
    <w:p w14:paraId="33C1D6B7">
      <w:pPr>
        <w:autoSpaceDE w:val="0"/>
        <w:autoSpaceDN w:val="0"/>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lang w:val="zh-CN"/>
        </w:rPr>
        <w:t>邮政编码：                               邮政编码：</w:t>
      </w:r>
    </w:p>
    <w:p w14:paraId="2C8FC1A5">
      <w:pPr>
        <w:autoSpaceDE w:val="0"/>
        <w:autoSpaceDN w:val="0"/>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lang w:val="zh-CN"/>
        </w:rPr>
        <w:t xml:space="preserve">电话:                                    电话: </w:t>
      </w:r>
    </w:p>
    <w:p w14:paraId="15940CB5">
      <w:pPr>
        <w:autoSpaceDE w:val="0"/>
        <w:autoSpaceDN w:val="0"/>
        <w:spacing w:line="560" w:lineRule="exact"/>
        <w:ind w:firstLine="480" w:firstLineChars="200"/>
        <w:outlineLvl w:val="9"/>
        <w:rPr>
          <w:rFonts w:ascii="仿宋" w:hAnsi="仿宋" w:eastAsia="仿宋"/>
          <w:color w:val="auto"/>
          <w:sz w:val="24"/>
          <w:lang w:val="zh-CN"/>
        </w:rPr>
      </w:pPr>
      <w:r>
        <w:rPr>
          <w:rFonts w:hint="eastAsia" w:ascii="仿宋" w:hAnsi="仿宋" w:eastAsia="仿宋"/>
          <w:color w:val="auto"/>
          <w:sz w:val="24"/>
          <w:lang w:val="zh-CN"/>
        </w:rPr>
        <w:t>传真:                                    传真:</w:t>
      </w:r>
    </w:p>
    <w:p w14:paraId="131D0CCF">
      <w:pPr>
        <w:autoSpaceDE w:val="0"/>
        <w:autoSpaceDN w:val="0"/>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lang w:val="zh-CN"/>
        </w:rPr>
        <w:t>电子邮箱：                               电子邮箱：</w:t>
      </w:r>
    </w:p>
    <w:p w14:paraId="1F6CD854">
      <w:pPr>
        <w:autoSpaceDE w:val="0"/>
        <w:autoSpaceDN w:val="0"/>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 xml:space="preserve">开户银行：                               开户银行： </w:t>
      </w:r>
    </w:p>
    <w:p w14:paraId="402B0D06">
      <w:pPr>
        <w:autoSpaceDE w:val="0"/>
        <w:autoSpaceDN w:val="0"/>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 xml:space="preserve">开户名称：                               开户名称： </w:t>
      </w:r>
    </w:p>
    <w:p w14:paraId="40BCEC24">
      <w:pPr>
        <w:autoSpaceDE w:val="0"/>
        <w:autoSpaceDN w:val="0"/>
        <w:spacing w:line="560" w:lineRule="exact"/>
        <w:ind w:firstLine="480" w:firstLineChars="200"/>
        <w:outlineLvl w:val="9"/>
        <w:rPr>
          <w:rFonts w:ascii="仿宋" w:hAnsi="仿宋" w:eastAsia="仿宋"/>
          <w:b/>
          <w:color w:val="auto"/>
          <w:kern w:val="0"/>
          <w:sz w:val="24"/>
        </w:rPr>
      </w:pPr>
      <w:r>
        <w:rPr>
          <w:rFonts w:hint="eastAsia" w:ascii="仿宋" w:hAnsi="仿宋" w:eastAsia="仿宋"/>
          <w:color w:val="auto"/>
          <w:sz w:val="24"/>
        </w:rPr>
        <w:t>开户账号：</w:t>
      </w:r>
      <w:r>
        <w:rPr>
          <w:rFonts w:hint="eastAsia" w:ascii="仿宋" w:hAnsi="仿宋" w:eastAsia="仿宋"/>
          <w:color w:val="auto"/>
          <w:sz w:val="24"/>
          <w:lang w:val="zh-CN"/>
        </w:rPr>
        <w:t xml:space="preserve">                               </w:t>
      </w:r>
      <w:r>
        <w:rPr>
          <w:rFonts w:hint="eastAsia" w:ascii="仿宋" w:hAnsi="仿宋" w:eastAsia="仿宋"/>
          <w:color w:val="auto"/>
          <w:sz w:val="24"/>
        </w:rPr>
        <w:t>开户账号：</w:t>
      </w:r>
    </w:p>
    <w:p w14:paraId="3F880C3D">
      <w:pPr>
        <w:autoSpaceDE/>
        <w:autoSpaceDN/>
        <w:spacing w:line="360" w:lineRule="auto"/>
        <w:outlineLvl w:val="9"/>
        <w:rPr>
          <w:rFonts w:hint="eastAsia" w:ascii="仿宋" w:hAnsi="仿宋" w:eastAsia="仿宋" w:cs="仿宋"/>
          <w:b/>
          <w:color w:val="auto"/>
          <w:sz w:val="24"/>
          <w:szCs w:val="24"/>
        </w:rPr>
      </w:pPr>
    </w:p>
    <w:p w14:paraId="19A6D76A">
      <w:pPr>
        <w:pStyle w:val="3"/>
        <w:spacing w:line="360" w:lineRule="auto"/>
        <w:outlineLvl w:val="9"/>
        <w:rPr>
          <w:rFonts w:ascii="仿宋" w:hAnsi="仿宋" w:eastAsia="仿宋" w:cs="仿宋"/>
          <w:color w:val="auto"/>
          <w:lang w:val="en-US"/>
        </w:rPr>
      </w:pPr>
      <w:r>
        <w:rPr>
          <w:rFonts w:hint="eastAsia" w:ascii="仿宋" w:hAnsi="仿宋" w:eastAsia="仿宋" w:cs="仿宋"/>
          <w:b/>
          <w:color w:val="auto"/>
          <w:szCs w:val="24"/>
        </w:rPr>
        <w:t>注：本合同作为示范文本，具体以中标人与采购人所签订正式合同为准</w:t>
      </w:r>
      <w:r>
        <w:rPr>
          <w:rFonts w:hint="eastAsia" w:ascii="仿宋" w:hAnsi="仿宋" w:eastAsia="仿宋" w:cs="仿宋"/>
          <w:color w:val="auto"/>
          <w:szCs w:val="24"/>
        </w:rPr>
        <w:t>。</w:t>
      </w:r>
    </w:p>
    <w:p w14:paraId="2B01FBF2">
      <w:pPr>
        <w:outlineLvl w:val="9"/>
        <w:rPr>
          <w:rFonts w:ascii="Times New Roman"/>
          <w:color w:val="auto"/>
          <w:sz w:val="16"/>
        </w:rPr>
      </w:pPr>
      <w:r>
        <w:rPr>
          <w:rFonts w:ascii="Times New Roman"/>
          <w:color w:val="auto"/>
          <w:sz w:val="16"/>
        </w:rPr>
        <w:br w:type="page"/>
      </w:r>
    </w:p>
    <w:p w14:paraId="780BCC1E">
      <w:pPr>
        <w:pStyle w:val="72"/>
        <w:spacing w:line="560" w:lineRule="exact"/>
        <w:ind w:firstLine="482"/>
        <w:jc w:val="center"/>
        <w:outlineLvl w:val="9"/>
        <w:rPr>
          <w:rFonts w:ascii="仿宋" w:hAnsi="仿宋" w:eastAsia="仿宋"/>
          <w:b/>
          <w:color w:val="auto"/>
          <w:szCs w:val="24"/>
        </w:rPr>
      </w:pPr>
      <w:r>
        <w:rPr>
          <w:rFonts w:hint="eastAsia" w:ascii="仿宋" w:hAnsi="仿宋" w:eastAsia="仿宋" w:cs="仿宋"/>
          <w:b/>
          <w:color w:val="auto"/>
          <w:sz w:val="32"/>
          <w:szCs w:val="22"/>
          <w:lang w:val="en-US" w:eastAsia="zh-CN" w:bidi="zh-CN"/>
        </w:rPr>
        <w:t>第二部分 合同一般条款</w:t>
      </w:r>
    </w:p>
    <w:p w14:paraId="2602A19E">
      <w:pPr>
        <w:spacing w:line="560" w:lineRule="exact"/>
        <w:ind w:firstLine="482" w:firstLineChars="200"/>
        <w:outlineLvl w:val="9"/>
        <w:rPr>
          <w:rFonts w:ascii="仿宋" w:hAnsi="仿宋" w:eastAsia="仿宋"/>
          <w:b/>
          <w:color w:val="auto"/>
          <w:sz w:val="24"/>
        </w:rPr>
      </w:pPr>
      <w:bookmarkStart w:id="233" w:name="_Ref467379195"/>
      <w:bookmarkStart w:id="234" w:name="_Toc487900349"/>
      <w:bookmarkStart w:id="235" w:name="_Toc259093669"/>
      <w:bookmarkStart w:id="236" w:name="_Ref467379205"/>
      <w:bookmarkStart w:id="237" w:name="_Ref467379225"/>
      <w:bookmarkStart w:id="238" w:name="_Ref467379101"/>
      <w:bookmarkStart w:id="239" w:name="_Ref467378463"/>
      <w:bookmarkStart w:id="240" w:name="_Ref467379214"/>
      <w:bookmarkStart w:id="241" w:name="_Ref467379094"/>
      <w:bookmarkStart w:id="242" w:name="_Toc16917"/>
      <w:bookmarkStart w:id="243" w:name="_Ref467378499"/>
      <w:bookmarkStart w:id="244" w:name="_Ref467379109"/>
      <w:bookmarkStart w:id="245" w:name="_Toc19614"/>
      <w:bookmarkStart w:id="246" w:name="_Ref467378404"/>
      <w:bookmarkStart w:id="247" w:name="_Toc28763"/>
      <w:bookmarkStart w:id="248" w:name="_Toc279701240"/>
      <w:r>
        <w:rPr>
          <w:rFonts w:hint="eastAsia" w:ascii="仿宋" w:hAnsi="仿宋" w:eastAsia="仿宋"/>
          <w:b/>
          <w:color w:val="auto"/>
          <w:sz w:val="24"/>
        </w:rPr>
        <w:t>2.1 定义</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FF44295">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本合同中的下列词语应按以下内容进行解释：</w:t>
      </w:r>
    </w:p>
    <w:p w14:paraId="28274A1B">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2.1.1 “合同”系指采购人和中标供应商签订的载明双方当事人所达成的协议，并包括所有的附件、附录和构成合同的其他文件。</w:t>
      </w:r>
    </w:p>
    <w:p w14:paraId="61109BD5">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2.1.2 “合同价”系指根据合同约定，中标供应商在完全履行合同义务后，采购人应支付给中标供应商的价格。</w:t>
      </w:r>
    </w:p>
    <w:p w14:paraId="183D7057">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2.1.3 “货物”系指中标供应商根据合同约定应向采购人交付的一切各种形态和种类的物品，包括原材料、燃料、设备、机械、仪表、备件、计算机软件、产品等，并包括工具、手册等其他相关资料。</w:t>
      </w:r>
    </w:p>
    <w:p w14:paraId="38F4A0EB">
      <w:pPr>
        <w:spacing w:line="560" w:lineRule="exact"/>
        <w:ind w:firstLine="480" w:firstLineChars="200"/>
        <w:outlineLvl w:val="9"/>
        <w:rPr>
          <w:rFonts w:ascii="仿宋" w:hAnsi="仿宋" w:eastAsia="仿宋"/>
          <w:color w:val="auto"/>
          <w:sz w:val="24"/>
        </w:rPr>
      </w:pPr>
      <w:bookmarkStart w:id="249" w:name="_Ref467378840"/>
      <w:r>
        <w:rPr>
          <w:rFonts w:hint="eastAsia" w:ascii="仿宋" w:hAnsi="仿宋" w:eastAsia="仿宋"/>
          <w:color w:val="auto"/>
          <w:sz w:val="24"/>
        </w:rPr>
        <w:t>2.1.4 “甲方”系指与中标供应商签署合同的采购人</w:t>
      </w:r>
      <w:bookmarkEnd w:id="249"/>
      <w:r>
        <w:rPr>
          <w:rFonts w:hint="eastAsia" w:ascii="仿宋" w:hAnsi="仿宋" w:eastAsia="仿宋"/>
          <w:color w:val="auto"/>
          <w:sz w:val="24"/>
        </w:rPr>
        <w:t>；采购人委托采购代理机构代表其与乙方签订合同的，采购人的授权委托书作为合同附件。</w:t>
      </w:r>
    </w:p>
    <w:p w14:paraId="64DFF88E">
      <w:pPr>
        <w:spacing w:line="560" w:lineRule="exact"/>
        <w:ind w:firstLine="480" w:firstLineChars="200"/>
        <w:outlineLvl w:val="9"/>
        <w:rPr>
          <w:rFonts w:ascii="仿宋" w:hAnsi="仿宋" w:eastAsia="仿宋"/>
          <w:color w:val="auto"/>
          <w:sz w:val="24"/>
        </w:rPr>
      </w:pPr>
      <w:bookmarkStart w:id="250" w:name="_Ref467379400"/>
      <w:r>
        <w:rPr>
          <w:rFonts w:hint="eastAsia" w:ascii="仿宋" w:hAnsi="仿宋" w:eastAsia="仿宋"/>
          <w:color w:val="auto"/>
          <w:sz w:val="24"/>
        </w:rPr>
        <w:t>2.1.5 “乙方”系指根据合同约定交付货物的中标供应商</w:t>
      </w:r>
      <w:bookmarkEnd w:id="250"/>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206C57">
      <w:pPr>
        <w:spacing w:line="560" w:lineRule="exact"/>
        <w:ind w:firstLine="480" w:firstLineChars="200"/>
        <w:outlineLvl w:val="9"/>
        <w:rPr>
          <w:rFonts w:ascii="仿宋" w:hAnsi="仿宋" w:eastAsia="仿宋"/>
          <w:color w:val="auto"/>
          <w:sz w:val="24"/>
        </w:rPr>
      </w:pPr>
      <w:bookmarkStart w:id="251" w:name="_Ref467379436"/>
      <w:r>
        <w:rPr>
          <w:rFonts w:hint="eastAsia" w:ascii="仿宋" w:hAnsi="仿宋" w:eastAsia="仿宋"/>
          <w:color w:val="auto"/>
          <w:sz w:val="24"/>
        </w:rPr>
        <w:t>2.1.6 “现场”系指合同约定货物将要运至或者安装的地点。</w:t>
      </w:r>
      <w:bookmarkEnd w:id="251"/>
    </w:p>
    <w:p w14:paraId="1681D2DD">
      <w:pPr>
        <w:spacing w:line="560" w:lineRule="exact"/>
        <w:ind w:firstLine="482" w:firstLineChars="200"/>
        <w:outlineLvl w:val="9"/>
        <w:rPr>
          <w:rFonts w:ascii="仿宋" w:hAnsi="仿宋" w:eastAsia="仿宋"/>
          <w:b/>
          <w:color w:val="auto"/>
          <w:sz w:val="24"/>
        </w:rPr>
      </w:pPr>
      <w:bookmarkStart w:id="252" w:name="_Toc13336"/>
      <w:bookmarkStart w:id="253" w:name="_Toc279701241"/>
      <w:bookmarkStart w:id="254" w:name="_Toc27635"/>
      <w:bookmarkStart w:id="255" w:name="_Toc259093670"/>
      <w:bookmarkStart w:id="256" w:name="_Toc487900350"/>
      <w:bookmarkStart w:id="257" w:name="_Toc32504"/>
      <w:r>
        <w:rPr>
          <w:rFonts w:hint="eastAsia" w:ascii="仿宋" w:hAnsi="仿宋" w:eastAsia="仿宋"/>
          <w:b/>
          <w:color w:val="auto"/>
          <w:sz w:val="24"/>
        </w:rPr>
        <w:t>2.2 技术规范</w:t>
      </w:r>
      <w:bookmarkEnd w:id="252"/>
      <w:bookmarkEnd w:id="253"/>
      <w:bookmarkEnd w:id="254"/>
      <w:bookmarkEnd w:id="255"/>
      <w:bookmarkEnd w:id="256"/>
      <w:bookmarkEnd w:id="257"/>
    </w:p>
    <w:p w14:paraId="0A34B7FF">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600D16D">
      <w:pPr>
        <w:spacing w:line="560" w:lineRule="exact"/>
        <w:ind w:firstLine="482" w:firstLineChars="200"/>
        <w:outlineLvl w:val="9"/>
        <w:rPr>
          <w:rFonts w:ascii="仿宋" w:hAnsi="仿宋" w:eastAsia="仿宋"/>
          <w:b/>
          <w:color w:val="auto"/>
          <w:sz w:val="24"/>
        </w:rPr>
      </w:pPr>
      <w:bookmarkStart w:id="258" w:name="_Toc27853"/>
      <w:bookmarkStart w:id="259" w:name="_Toc31634"/>
      <w:bookmarkStart w:id="260" w:name="_Toc259093671"/>
      <w:bookmarkStart w:id="261" w:name="_Toc487900351"/>
      <w:bookmarkStart w:id="262" w:name="_Toc279701242"/>
      <w:bookmarkStart w:id="263" w:name="_Toc9829"/>
      <w:r>
        <w:rPr>
          <w:rFonts w:hint="eastAsia" w:ascii="仿宋" w:hAnsi="仿宋" w:eastAsia="仿宋"/>
          <w:b/>
          <w:color w:val="auto"/>
          <w:sz w:val="24"/>
        </w:rPr>
        <w:t>2.3 知识产权</w:t>
      </w:r>
      <w:bookmarkEnd w:id="258"/>
      <w:bookmarkEnd w:id="259"/>
      <w:bookmarkEnd w:id="260"/>
      <w:bookmarkEnd w:id="261"/>
      <w:bookmarkEnd w:id="262"/>
      <w:bookmarkEnd w:id="263"/>
    </w:p>
    <w:p w14:paraId="5C24E212">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EE912DB">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2.3.2</w:t>
      </w:r>
      <w:r>
        <w:rPr>
          <w:rFonts w:hint="eastAsia" w:ascii="仿宋" w:hAnsi="仿宋" w:eastAsia="仿宋"/>
          <w:color w:val="auto"/>
          <w:sz w:val="24"/>
          <w:lang w:val="en-US" w:eastAsia="zh-CN"/>
        </w:rPr>
        <w:t xml:space="preserve"> </w:t>
      </w:r>
      <w:r>
        <w:rPr>
          <w:rFonts w:hint="eastAsia" w:ascii="仿宋" w:hAnsi="仿宋" w:eastAsia="仿宋"/>
          <w:color w:val="auto"/>
          <w:sz w:val="24"/>
        </w:rPr>
        <w:t>具有知识产权的计算机软件等货物的知识产权归属，详见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14:paraId="2A2BF459">
      <w:pPr>
        <w:spacing w:line="560" w:lineRule="exact"/>
        <w:ind w:firstLine="482" w:firstLineChars="200"/>
        <w:outlineLvl w:val="9"/>
        <w:rPr>
          <w:rFonts w:ascii="仿宋" w:hAnsi="仿宋" w:eastAsia="仿宋"/>
          <w:b/>
          <w:color w:val="auto"/>
          <w:sz w:val="24"/>
        </w:rPr>
      </w:pPr>
      <w:bookmarkStart w:id="264" w:name="_Toc11932"/>
      <w:bookmarkStart w:id="265" w:name="_Toc29149"/>
      <w:bookmarkStart w:id="266" w:name="_Toc4194"/>
      <w:r>
        <w:rPr>
          <w:rFonts w:hint="eastAsia" w:ascii="仿宋" w:hAnsi="仿宋" w:eastAsia="仿宋"/>
          <w:b/>
          <w:color w:val="auto"/>
          <w:sz w:val="24"/>
        </w:rPr>
        <w:t>2.4 包装和装运</w:t>
      </w:r>
      <w:bookmarkEnd w:id="264"/>
      <w:bookmarkEnd w:id="265"/>
      <w:bookmarkEnd w:id="266"/>
    </w:p>
    <w:p w14:paraId="5425F074">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2.4.1</w:t>
      </w:r>
      <w:r>
        <w:rPr>
          <w:rFonts w:hint="eastAsia" w:ascii="仿宋" w:hAnsi="仿宋" w:eastAsia="仿宋"/>
          <w:color w:val="auto"/>
          <w:sz w:val="24"/>
          <w:lang w:val="en-US" w:eastAsia="zh-CN"/>
        </w:rPr>
        <w:t xml:space="preserve"> </w:t>
      </w:r>
      <w:r>
        <w:rPr>
          <w:rFonts w:hint="eastAsia" w:ascii="仿宋" w:hAnsi="仿宋" w:eastAsia="仿宋"/>
          <w:color w:val="auto"/>
          <w:sz w:val="24"/>
        </w:rPr>
        <w:t>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4066C61">
      <w:pPr>
        <w:spacing w:line="560" w:lineRule="exact"/>
        <w:ind w:firstLine="480" w:firstLineChars="200"/>
        <w:outlineLvl w:val="9"/>
        <w:rPr>
          <w:rFonts w:ascii="仿宋" w:hAnsi="仿宋" w:eastAsia="仿宋"/>
          <w:color w:val="auto"/>
          <w:sz w:val="24"/>
          <w:highlight w:val="none"/>
        </w:rPr>
      </w:pPr>
      <w:r>
        <w:rPr>
          <w:rFonts w:hint="eastAsia" w:ascii="仿宋" w:hAnsi="仿宋" w:eastAsia="仿宋"/>
          <w:color w:val="auto"/>
          <w:sz w:val="24"/>
        </w:rPr>
        <w:t>2.4.</w:t>
      </w: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乙方提供产品及相关快递服务的具体包装要求应符合《商品包装政府采购需求标准（试行）》《快递包装政府采购需求标准（试行）》，并作为履约验收的内容，必要时甲方可以要求乙方在履约验收环节出具检测报告。</w:t>
      </w:r>
    </w:p>
    <w:p w14:paraId="35FBB700">
      <w:pPr>
        <w:spacing w:line="560" w:lineRule="exact"/>
        <w:ind w:firstLine="480" w:firstLineChars="200"/>
        <w:outlineLvl w:val="9"/>
        <w:rPr>
          <w:rFonts w:ascii="仿宋" w:hAnsi="仿宋" w:eastAsia="仿宋"/>
          <w:color w:val="auto"/>
          <w:sz w:val="24"/>
          <w:highlight w:val="none"/>
        </w:rPr>
      </w:pPr>
      <w:r>
        <w:rPr>
          <w:rFonts w:hint="eastAsia" w:ascii="仿宋" w:hAnsi="仿宋" w:eastAsia="仿宋"/>
          <w:color w:val="auto"/>
          <w:sz w:val="24"/>
          <w:highlight w:val="none"/>
        </w:rPr>
        <w:t>2.4.</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 xml:space="preserve"> 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5ED0D9CB">
      <w:pPr>
        <w:spacing w:line="560" w:lineRule="exact"/>
        <w:ind w:firstLine="482" w:firstLineChars="200"/>
        <w:outlineLvl w:val="9"/>
        <w:rPr>
          <w:rFonts w:ascii="仿宋" w:hAnsi="仿宋" w:eastAsia="仿宋"/>
          <w:b/>
          <w:color w:val="auto"/>
          <w:sz w:val="24"/>
          <w:highlight w:val="none"/>
        </w:rPr>
      </w:pPr>
      <w:bookmarkStart w:id="267" w:name="_Ref467379527"/>
      <w:bookmarkStart w:id="268" w:name="_Ref467379536"/>
      <w:bookmarkStart w:id="269" w:name="_Ref467378591"/>
      <w:bookmarkStart w:id="270" w:name="_Toc487900354"/>
      <w:bookmarkStart w:id="271" w:name="_Ref467379542"/>
      <w:bookmarkStart w:id="272" w:name="_Toc279701245"/>
      <w:bookmarkStart w:id="273" w:name="_Toc259093674"/>
      <w:bookmarkStart w:id="274" w:name="_Ref467378541"/>
      <w:bookmarkStart w:id="275" w:name="_Toc19074"/>
      <w:bookmarkStart w:id="276" w:name="_Toc30272"/>
      <w:bookmarkStart w:id="277" w:name="_Toc26182"/>
      <w:r>
        <w:rPr>
          <w:rFonts w:hint="eastAsia" w:ascii="仿宋" w:hAnsi="仿宋" w:eastAsia="仿宋"/>
          <w:b/>
          <w:color w:val="auto"/>
          <w:sz w:val="24"/>
          <w:highlight w:val="none"/>
        </w:rPr>
        <w:t>2.</w:t>
      </w:r>
      <w:bookmarkEnd w:id="267"/>
      <w:bookmarkEnd w:id="268"/>
      <w:bookmarkEnd w:id="269"/>
      <w:bookmarkEnd w:id="270"/>
      <w:bookmarkEnd w:id="271"/>
      <w:bookmarkEnd w:id="272"/>
      <w:bookmarkEnd w:id="273"/>
      <w:bookmarkEnd w:id="274"/>
      <w:r>
        <w:rPr>
          <w:rFonts w:hint="eastAsia" w:ascii="仿宋" w:hAnsi="仿宋" w:eastAsia="仿宋"/>
          <w:b/>
          <w:color w:val="auto"/>
          <w:sz w:val="24"/>
          <w:highlight w:val="none"/>
        </w:rPr>
        <w:t>5 履约检查和问题反馈</w:t>
      </w:r>
      <w:bookmarkEnd w:id="275"/>
      <w:bookmarkEnd w:id="276"/>
      <w:bookmarkEnd w:id="277"/>
    </w:p>
    <w:p w14:paraId="4A36EB65">
      <w:pPr>
        <w:spacing w:line="560" w:lineRule="exact"/>
        <w:ind w:firstLine="480" w:firstLineChars="200"/>
        <w:outlineLvl w:val="9"/>
        <w:rPr>
          <w:rFonts w:ascii="仿宋" w:hAnsi="仿宋" w:eastAsia="仿宋"/>
          <w:color w:val="auto"/>
          <w:sz w:val="24"/>
        </w:rPr>
      </w:pPr>
      <w:bookmarkStart w:id="278" w:name="_Ref467379657"/>
      <w:r>
        <w:rPr>
          <w:rFonts w:hint="eastAsia" w:ascii="仿宋" w:hAnsi="仿宋" w:eastAsia="仿宋"/>
          <w:color w:val="auto"/>
          <w:sz w:val="24"/>
          <w:highlight w:val="none"/>
        </w:rPr>
        <w:t>2.5.1</w:t>
      </w:r>
      <w:bookmarkEnd w:id="278"/>
      <w:bookmarkStart w:id="279" w:name="_Toc186431854"/>
      <w:bookmarkStart w:id="280" w:name="_Ref467379793"/>
      <w:bookmarkStart w:id="281" w:name="_Toc487900357"/>
      <w:bookmarkStart w:id="282" w:name="_Toc259093676"/>
      <w:bookmarkStart w:id="283" w:name="_Ref467379807"/>
      <w:bookmarkStart w:id="284" w:name="_Toc279701247"/>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甲方有权在其认为必要时，对乙方是</w:t>
      </w:r>
      <w:r>
        <w:rPr>
          <w:rFonts w:hint="eastAsia" w:ascii="仿宋" w:hAnsi="仿宋" w:eastAsia="仿宋"/>
          <w:color w:val="auto"/>
          <w:sz w:val="24"/>
        </w:rPr>
        <w:t>否能够按照合同约定交付货物进行履约检查，以确保乙方所交付的货物能够依约满足甲方之项目需求，但不得因履约检查妨碍乙方的正常工作，乙方应予积极配合；</w:t>
      </w:r>
    </w:p>
    <w:p w14:paraId="2EFA584C">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2.5.2 合同履行期间，甲方有权将履行过程中出现的问题反馈给乙方，双方当事人应以书面形式约定需要完善和改进的内容</w:t>
      </w:r>
      <w:bookmarkEnd w:id="279"/>
      <w:bookmarkStart w:id="285" w:name="_Toc186431855"/>
      <w:r>
        <w:rPr>
          <w:rFonts w:hint="eastAsia" w:ascii="仿宋" w:hAnsi="仿宋" w:eastAsia="仿宋"/>
          <w:color w:val="auto"/>
          <w:sz w:val="24"/>
        </w:rPr>
        <w:t>。</w:t>
      </w:r>
    </w:p>
    <w:bookmarkEnd w:id="280"/>
    <w:bookmarkEnd w:id="281"/>
    <w:bookmarkEnd w:id="282"/>
    <w:bookmarkEnd w:id="283"/>
    <w:bookmarkEnd w:id="284"/>
    <w:bookmarkEnd w:id="285"/>
    <w:p w14:paraId="520E887A">
      <w:pPr>
        <w:spacing w:line="560" w:lineRule="exact"/>
        <w:ind w:firstLine="482" w:firstLineChars="200"/>
        <w:outlineLvl w:val="9"/>
        <w:rPr>
          <w:rFonts w:ascii="仿宋" w:hAnsi="仿宋" w:eastAsia="仿宋"/>
          <w:b/>
          <w:color w:val="auto"/>
          <w:sz w:val="24"/>
        </w:rPr>
      </w:pPr>
      <w:bookmarkStart w:id="286" w:name="_Ref467379923"/>
      <w:bookmarkStart w:id="287" w:name="_Toc259093677"/>
      <w:bookmarkStart w:id="288" w:name="_Toc487900358"/>
      <w:bookmarkStart w:id="289" w:name="_Ref467379852"/>
      <w:bookmarkStart w:id="290" w:name="_Ref467379863"/>
      <w:bookmarkStart w:id="291" w:name="_Toc279701248"/>
      <w:bookmarkStart w:id="292" w:name="_Toc3225"/>
      <w:bookmarkStart w:id="293" w:name="_Toc16110"/>
      <w:bookmarkStart w:id="294" w:name="_Toc774"/>
      <w:r>
        <w:rPr>
          <w:rFonts w:hint="eastAsia" w:ascii="仿宋" w:hAnsi="仿宋" w:eastAsia="仿宋"/>
          <w:b/>
          <w:color w:val="auto"/>
          <w:sz w:val="24"/>
        </w:rPr>
        <w:t>2.6 技术资料</w:t>
      </w:r>
      <w:bookmarkEnd w:id="286"/>
      <w:bookmarkEnd w:id="287"/>
      <w:bookmarkEnd w:id="288"/>
      <w:bookmarkEnd w:id="289"/>
      <w:bookmarkEnd w:id="290"/>
      <w:bookmarkEnd w:id="291"/>
      <w:r>
        <w:rPr>
          <w:rFonts w:hint="eastAsia" w:ascii="仿宋" w:hAnsi="仿宋" w:eastAsia="仿宋"/>
          <w:b/>
          <w:color w:val="auto"/>
          <w:sz w:val="24"/>
        </w:rPr>
        <w:t>和保密义务</w:t>
      </w:r>
      <w:bookmarkEnd w:id="292"/>
      <w:bookmarkEnd w:id="293"/>
      <w:bookmarkEnd w:id="294"/>
    </w:p>
    <w:p w14:paraId="089250C3">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2.6.1 乙方有权依据合同约定和项目需要，向甲方了解有关情况，调阅有关资料等，甲方应予积极配合；</w:t>
      </w:r>
    </w:p>
    <w:p w14:paraId="525189C3">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2.6.2 乙方有义务妥善保管和保护由甲方提供的前款信息和资料等；</w:t>
      </w:r>
    </w:p>
    <w:p w14:paraId="3E7BE384">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B8E6801">
      <w:pPr>
        <w:spacing w:line="560" w:lineRule="exact"/>
        <w:ind w:firstLine="482" w:firstLineChars="200"/>
        <w:outlineLvl w:val="9"/>
        <w:rPr>
          <w:rFonts w:ascii="仿宋" w:hAnsi="仿宋" w:eastAsia="仿宋"/>
          <w:b/>
          <w:color w:val="auto"/>
          <w:sz w:val="24"/>
        </w:rPr>
      </w:pPr>
      <w:bookmarkStart w:id="295" w:name="_Toc7860"/>
      <w:r>
        <w:rPr>
          <w:rFonts w:hint="eastAsia" w:ascii="仿宋" w:hAnsi="仿宋" w:eastAsia="仿宋"/>
          <w:b/>
          <w:color w:val="auto"/>
          <w:sz w:val="24"/>
        </w:rPr>
        <w:t>2.7 质量保证</w:t>
      </w:r>
      <w:bookmarkEnd w:id="295"/>
    </w:p>
    <w:p w14:paraId="0A142C41">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2.7.1 乙方应建立和完善履行合同的内部质量保证体系，并提供相关内部规章制度给甲方，以便甲方进行监督检查；</w:t>
      </w:r>
    </w:p>
    <w:p w14:paraId="18785939">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2.7.2 乙方应保证履行合同的人员数量和素质、软件和硬件设备的配置、场地、环境和设施等满足全面履行合同的要求，并应接受甲方的监督检查。</w:t>
      </w:r>
    </w:p>
    <w:p w14:paraId="65EFF6F7">
      <w:pPr>
        <w:spacing w:line="560" w:lineRule="exact"/>
        <w:ind w:firstLine="482" w:firstLineChars="200"/>
        <w:outlineLvl w:val="9"/>
        <w:rPr>
          <w:rFonts w:ascii="仿宋" w:hAnsi="仿宋" w:eastAsia="仿宋"/>
          <w:b/>
          <w:color w:val="auto"/>
          <w:sz w:val="24"/>
        </w:rPr>
      </w:pPr>
      <w:bookmarkStart w:id="296" w:name="_Toc17244"/>
      <w:bookmarkStart w:id="297" w:name="_Toc259093681"/>
      <w:bookmarkStart w:id="298" w:name="_Toc487900362"/>
      <w:bookmarkStart w:id="299" w:name="_Toc279701252"/>
      <w:r>
        <w:rPr>
          <w:rFonts w:hint="eastAsia" w:ascii="仿宋" w:hAnsi="仿宋" w:eastAsia="仿宋"/>
          <w:b/>
          <w:color w:val="auto"/>
          <w:sz w:val="24"/>
        </w:rPr>
        <w:t>2.8 货物的风险负担</w:t>
      </w:r>
      <w:bookmarkEnd w:id="296"/>
    </w:p>
    <w:p w14:paraId="0FD45783">
      <w:pPr>
        <w:spacing w:line="560" w:lineRule="exact"/>
        <w:ind w:firstLine="480" w:firstLineChars="200"/>
        <w:outlineLvl w:val="9"/>
        <w:rPr>
          <w:rFonts w:ascii="仿宋" w:hAnsi="仿宋" w:eastAsia="仿宋"/>
          <w:b/>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14:paraId="69DAD8A2">
      <w:pPr>
        <w:spacing w:line="560" w:lineRule="exact"/>
        <w:ind w:firstLine="482" w:firstLineChars="200"/>
        <w:outlineLvl w:val="9"/>
        <w:rPr>
          <w:rFonts w:ascii="仿宋" w:hAnsi="仿宋" w:eastAsia="仿宋"/>
          <w:b/>
          <w:color w:val="auto"/>
          <w:sz w:val="24"/>
        </w:rPr>
      </w:pPr>
      <w:bookmarkStart w:id="300" w:name="_Toc14055"/>
      <w:r>
        <w:rPr>
          <w:rFonts w:hint="eastAsia" w:ascii="仿宋" w:hAnsi="仿宋" w:eastAsia="仿宋"/>
          <w:b/>
          <w:color w:val="auto"/>
          <w:sz w:val="24"/>
        </w:rPr>
        <w:t>2.9 延迟交货</w:t>
      </w:r>
      <w:bookmarkEnd w:id="297"/>
      <w:bookmarkEnd w:id="298"/>
      <w:bookmarkEnd w:id="299"/>
      <w:bookmarkEnd w:id="300"/>
    </w:p>
    <w:p w14:paraId="431C3F51">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1FA8DC1">
      <w:pPr>
        <w:spacing w:line="560" w:lineRule="exact"/>
        <w:ind w:firstLine="482" w:firstLineChars="200"/>
        <w:outlineLvl w:val="9"/>
        <w:rPr>
          <w:rFonts w:ascii="仿宋" w:hAnsi="仿宋" w:eastAsia="仿宋"/>
          <w:b/>
          <w:color w:val="auto"/>
          <w:sz w:val="24"/>
        </w:rPr>
      </w:pPr>
      <w:bookmarkStart w:id="301" w:name="_Toc7502"/>
      <w:bookmarkStart w:id="302" w:name="_Toc487900364"/>
      <w:bookmarkStart w:id="303" w:name="_Ref467378121"/>
      <w:bookmarkStart w:id="304" w:name="_Toc279701254"/>
      <w:bookmarkStart w:id="305" w:name="_Toc259093683"/>
      <w:r>
        <w:rPr>
          <w:rFonts w:hint="eastAsia" w:ascii="仿宋" w:hAnsi="仿宋" w:eastAsia="仿宋"/>
          <w:b/>
          <w:color w:val="auto"/>
          <w:sz w:val="24"/>
        </w:rPr>
        <w:t>2.10 合同变更</w:t>
      </w:r>
      <w:bookmarkEnd w:id="301"/>
    </w:p>
    <w:p w14:paraId="65C74B16">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2.10.1</w:t>
      </w:r>
      <w:r>
        <w:rPr>
          <w:rFonts w:hint="eastAsia" w:ascii="仿宋" w:hAnsi="仿宋" w:eastAsia="仿宋"/>
          <w:color w:val="auto"/>
          <w:sz w:val="24"/>
          <w:lang w:val="en-US" w:eastAsia="zh-CN"/>
        </w:rPr>
        <w:t xml:space="preserve"> </w:t>
      </w:r>
      <w:r>
        <w:rPr>
          <w:rFonts w:hint="eastAsia" w:ascii="仿宋" w:hAnsi="仿宋" w:eastAsia="仿宋"/>
          <w:color w:val="auto"/>
          <w:sz w:val="24"/>
        </w:rPr>
        <w:t>双方当事人协商一致，可以签订书面补充合同的形式变更合同，但不得违背采购文件确定的事项，且如果系追加与合同标的相同的货物的，那么所有补充合同的采购金额不得超过原合同价的10%；</w:t>
      </w:r>
    </w:p>
    <w:p w14:paraId="21E49FD1">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2.10.2 合同继续履行将损害国家利益和社会公共利益的，双方当事人应当以书面形式变更合同。有过错的一方应当承担赔偿责任，双方当事人都有过错的，各自承担相应的责任。</w:t>
      </w:r>
      <w:bookmarkStart w:id="306" w:name="_Toc279701259"/>
      <w:bookmarkStart w:id="307" w:name="_Toc259093688"/>
      <w:bookmarkStart w:id="308" w:name="_Toc487900369"/>
    </w:p>
    <w:p w14:paraId="5BBA95CD">
      <w:pPr>
        <w:spacing w:line="560" w:lineRule="exact"/>
        <w:ind w:firstLine="482" w:firstLineChars="200"/>
        <w:outlineLvl w:val="9"/>
        <w:rPr>
          <w:rFonts w:ascii="仿宋" w:hAnsi="仿宋" w:eastAsia="仿宋"/>
          <w:b/>
          <w:color w:val="auto"/>
          <w:sz w:val="24"/>
        </w:rPr>
      </w:pPr>
      <w:bookmarkStart w:id="309" w:name="_Toc10366"/>
      <w:bookmarkStart w:id="310" w:name="_Toc15237"/>
      <w:bookmarkStart w:id="311" w:name="_Toc22955"/>
      <w:r>
        <w:rPr>
          <w:rFonts w:hint="eastAsia" w:ascii="仿宋" w:hAnsi="仿宋" w:eastAsia="仿宋"/>
          <w:b/>
          <w:color w:val="auto"/>
          <w:sz w:val="24"/>
        </w:rPr>
        <w:t>2.11 合同转让</w:t>
      </w:r>
      <w:bookmarkEnd w:id="306"/>
      <w:bookmarkEnd w:id="307"/>
      <w:bookmarkEnd w:id="308"/>
      <w:r>
        <w:rPr>
          <w:rFonts w:hint="eastAsia" w:ascii="仿宋" w:hAnsi="仿宋" w:eastAsia="仿宋"/>
          <w:b/>
          <w:color w:val="auto"/>
          <w:sz w:val="24"/>
        </w:rPr>
        <w:t>和分包</w:t>
      </w:r>
      <w:bookmarkEnd w:id="309"/>
      <w:bookmarkEnd w:id="310"/>
      <w:bookmarkEnd w:id="311"/>
    </w:p>
    <w:p w14:paraId="7E8F8F74">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2.11.1</w:t>
      </w:r>
      <w:r>
        <w:rPr>
          <w:rFonts w:hint="eastAsia" w:ascii="仿宋" w:hAnsi="仿宋" w:eastAsia="仿宋"/>
          <w:color w:val="auto"/>
          <w:sz w:val="24"/>
          <w:lang w:val="en-US" w:eastAsia="zh-CN"/>
        </w:rPr>
        <w:t xml:space="preserve"> </w:t>
      </w:r>
      <w:r>
        <w:rPr>
          <w:rFonts w:hint="eastAsia" w:ascii="仿宋" w:hAnsi="仿宋" w:eastAsia="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93894B">
      <w:pPr>
        <w:spacing w:line="560" w:lineRule="exact"/>
        <w:ind w:firstLine="480" w:firstLineChars="200"/>
        <w:outlineLvl w:val="9"/>
        <w:rPr>
          <w:rFonts w:ascii="仿宋" w:hAnsi="仿宋" w:eastAsia="仿宋"/>
          <w:color w:val="auto"/>
          <w:sz w:val="24"/>
          <w:highlight w:val="none"/>
        </w:rPr>
      </w:pPr>
      <w:r>
        <w:rPr>
          <w:rFonts w:hint="eastAsia" w:ascii="仿宋" w:hAnsi="仿宋" w:eastAsia="仿宋"/>
          <w:color w:val="auto"/>
          <w:sz w:val="24"/>
          <w:highlight w:val="none"/>
        </w:rPr>
        <w:t>2.11.2</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乙方采取分包方式履行合同的，甲方可直接向分包供应商支付款项。</w:t>
      </w:r>
    </w:p>
    <w:p w14:paraId="61F8BFE9">
      <w:pPr>
        <w:spacing w:line="560" w:lineRule="exact"/>
        <w:ind w:firstLine="482" w:firstLineChars="200"/>
        <w:outlineLvl w:val="9"/>
        <w:rPr>
          <w:rFonts w:ascii="仿宋" w:hAnsi="仿宋" w:eastAsia="仿宋"/>
          <w:b/>
          <w:color w:val="auto"/>
          <w:sz w:val="24"/>
        </w:rPr>
      </w:pPr>
      <w:bookmarkStart w:id="312" w:name="_Toc16508"/>
      <w:bookmarkStart w:id="313" w:name="_Toc13566"/>
      <w:bookmarkStart w:id="314" w:name="_Toc14066"/>
      <w:r>
        <w:rPr>
          <w:rFonts w:hint="eastAsia" w:ascii="仿宋" w:hAnsi="仿宋" w:eastAsia="仿宋"/>
          <w:b/>
          <w:color w:val="auto"/>
          <w:sz w:val="24"/>
        </w:rPr>
        <w:t>2.12 不可抗力</w:t>
      </w:r>
      <w:bookmarkEnd w:id="312"/>
      <w:bookmarkEnd w:id="313"/>
      <w:bookmarkEnd w:id="314"/>
    </w:p>
    <w:p w14:paraId="76783B04">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2.12.1</w:t>
      </w:r>
      <w:r>
        <w:rPr>
          <w:rFonts w:hint="eastAsia" w:ascii="仿宋" w:hAnsi="仿宋" w:eastAsia="仿宋"/>
          <w:color w:val="auto"/>
          <w:sz w:val="24"/>
          <w:lang w:val="en-US" w:eastAsia="zh-CN"/>
        </w:rPr>
        <w:t xml:space="preserve"> </w:t>
      </w:r>
      <w:r>
        <w:rPr>
          <w:rFonts w:hint="eastAsia" w:ascii="仿宋" w:hAnsi="仿宋" w:eastAsia="仿宋"/>
          <w:color w:val="auto"/>
          <w:sz w:val="24"/>
        </w:rPr>
        <w:t>如果任何一方遭遇法律规定的不可抗力，致使合同履行受阻时，履行合同的期限应予延长，延长的期限应相当于不可抗力所影响的时间；</w:t>
      </w:r>
    </w:p>
    <w:p w14:paraId="6FC2DB91">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2.12.2 因不可抗力致使不能实现合同目的的，当事人可以解除合同；</w:t>
      </w:r>
    </w:p>
    <w:p w14:paraId="17CB851D">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2.12.3 因不可抗力致使合同有变更必要的，双方当事人应在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14:paraId="79F47227">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2.12.4</w:t>
      </w:r>
      <w:r>
        <w:rPr>
          <w:rFonts w:hint="eastAsia" w:ascii="仿宋" w:hAnsi="仿宋" w:eastAsia="仿宋"/>
          <w:color w:val="auto"/>
          <w:sz w:val="24"/>
          <w:lang w:val="en-US" w:eastAsia="zh-CN"/>
        </w:rPr>
        <w:t xml:space="preserve"> </w:t>
      </w:r>
      <w:r>
        <w:rPr>
          <w:rFonts w:hint="eastAsia" w:ascii="仿宋" w:hAnsi="仿宋" w:eastAsia="仿宋"/>
          <w:color w:val="auto"/>
          <w:sz w:val="24"/>
        </w:rPr>
        <w:t>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约定时间内，将有关部门出具的证明文件送达对方当事人。</w:t>
      </w:r>
    </w:p>
    <w:p w14:paraId="6685FAC7">
      <w:pPr>
        <w:spacing w:line="560" w:lineRule="exact"/>
        <w:ind w:firstLine="482" w:firstLineChars="200"/>
        <w:outlineLvl w:val="9"/>
        <w:rPr>
          <w:rFonts w:ascii="仿宋" w:hAnsi="仿宋" w:eastAsia="仿宋"/>
          <w:b/>
          <w:color w:val="auto"/>
          <w:sz w:val="24"/>
        </w:rPr>
      </w:pPr>
      <w:bookmarkStart w:id="315" w:name="_Toc259093684"/>
      <w:bookmarkStart w:id="316" w:name="_Toc689"/>
      <w:bookmarkStart w:id="317" w:name="_Toc6969"/>
      <w:bookmarkStart w:id="318" w:name="_Toc30676"/>
      <w:bookmarkStart w:id="319" w:name="_Toc279701255"/>
      <w:bookmarkStart w:id="320" w:name="_Toc487900365"/>
      <w:r>
        <w:rPr>
          <w:rFonts w:hint="eastAsia" w:ascii="仿宋" w:hAnsi="仿宋" w:eastAsia="仿宋"/>
          <w:b/>
          <w:color w:val="auto"/>
          <w:sz w:val="24"/>
        </w:rPr>
        <w:t>2.13 税费</w:t>
      </w:r>
      <w:bookmarkEnd w:id="315"/>
      <w:bookmarkEnd w:id="316"/>
      <w:bookmarkEnd w:id="317"/>
      <w:bookmarkEnd w:id="318"/>
      <w:bookmarkEnd w:id="319"/>
      <w:bookmarkEnd w:id="320"/>
    </w:p>
    <w:p w14:paraId="425AE5BE">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14:paraId="5979F2E5">
      <w:pPr>
        <w:spacing w:line="560" w:lineRule="exact"/>
        <w:ind w:firstLine="482" w:firstLineChars="200"/>
        <w:outlineLvl w:val="9"/>
        <w:rPr>
          <w:rFonts w:ascii="仿宋" w:hAnsi="仿宋" w:eastAsia="仿宋"/>
          <w:b/>
          <w:color w:val="auto"/>
          <w:sz w:val="24"/>
        </w:rPr>
      </w:pPr>
      <w:bookmarkStart w:id="321" w:name="_Toc279701258"/>
      <w:bookmarkStart w:id="322" w:name="_Toc487900368"/>
      <w:bookmarkStart w:id="323" w:name="_Toc8298"/>
      <w:bookmarkStart w:id="324" w:name="_Toc16959"/>
      <w:bookmarkStart w:id="325" w:name="_Toc7102"/>
      <w:bookmarkStart w:id="326" w:name="_Toc259093687"/>
      <w:r>
        <w:rPr>
          <w:rFonts w:hint="eastAsia" w:ascii="仿宋" w:hAnsi="仿宋" w:eastAsia="仿宋"/>
          <w:b/>
          <w:color w:val="auto"/>
          <w:sz w:val="24"/>
        </w:rPr>
        <w:t>2.14</w:t>
      </w:r>
      <w:r>
        <w:rPr>
          <w:rFonts w:hint="eastAsia" w:ascii="仿宋" w:hAnsi="仿宋" w:eastAsia="仿宋"/>
          <w:b/>
          <w:color w:val="auto"/>
          <w:sz w:val="24"/>
          <w:lang w:val="en-US" w:eastAsia="zh-CN"/>
        </w:rPr>
        <w:t xml:space="preserve"> </w:t>
      </w:r>
      <w:r>
        <w:rPr>
          <w:rFonts w:hint="eastAsia" w:ascii="仿宋" w:hAnsi="仿宋" w:eastAsia="仿宋"/>
          <w:b/>
          <w:color w:val="auto"/>
          <w:sz w:val="24"/>
        </w:rPr>
        <w:t>乙方破产</w:t>
      </w:r>
      <w:bookmarkEnd w:id="321"/>
      <w:bookmarkEnd w:id="322"/>
      <w:bookmarkEnd w:id="323"/>
      <w:bookmarkEnd w:id="324"/>
      <w:bookmarkEnd w:id="325"/>
      <w:bookmarkEnd w:id="326"/>
    </w:p>
    <w:p w14:paraId="6DDB3ECD">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81483FF">
      <w:pPr>
        <w:spacing w:line="560" w:lineRule="exact"/>
        <w:ind w:firstLine="482" w:firstLineChars="200"/>
        <w:outlineLvl w:val="9"/>
        <w:rPr>
          <w:rFonts w:ascii="仿宋" w:hAnsi="仿宋" w:eastAsia="仿宋"/>
          <w:b/>
          <w:color w:val="auto"/>
          <w:sz w:val="24"/>
        </w:rPr>
      </w:pPr>
      <w:bookmarkStart w:id="327" w:name="_Toc29333"/>
      <w:bookmarkStart w:id="328" w:name="_Toc15387"/>
      <w:bookmarkStart w:id="329" w:name="_Toc6134"/>
      <w:r>
        <w:rPr>
          <w:rFonts w:hint="eastAsia" w:ascii="仿宋" w:hAnsi="仿宋" w:eastAsia="仿宋"/>
          <w:b/>
          <w:color w:val="auto"/>
          <w:sz w:val="24"/>
        </w:rPr>
        <w:t>2.15 合同中止、终止</w:t>
      </w:r>
      <w:bookmarkEnd w:id="327"/>
      <w:bookmarkEnd w:id="328"/>
      <w:bookmarkEnd w:id="329"/>
    </w:p>
    <w:p w14:paraId="3253E230">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2.15.1 双方当事人不得擅自中止或者终止合同；</w:t>
      </w:r>
    </w:p>
    <w:p w14:paraId="466E877B">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2.15.2</w:t>
      </w:r>
      <w:r>
        <w:rPr>
          <w:rFonts w:hint="eastAsia" w:ascii="仿宋" w:hAnsi="仿宋" w:eastAsia="仿宋"/>
          <w:color w:val="auto"/>
          <w:sz w:val="24"/>
          <w:lang w:val="en-US" w:eastAsia="zh-CN"/>
        </w:rPr>
        <w:t xml:space="preserve"> </w:t>
      </w:r>
      <w:r>
        <w:rPr>
          <w:rFonts w:hint="eastAsia" w:ascii="仿宋" w:hAnsi="仿宋" w:eastAsia="仿宋"/>
          <w:color w:val="auto"/>
          <w:sz w:val="24"/>
        </w:rPr>
        <w:t>合同继续履行将损害国家利益和社会公共利益的，双方当事人应当中止或者终止合同。有过错的一方应当承担赔偿责任，双方当事人都有过错的，各自承担相应的责任。</w:t>
      </w:r>
    </w:p>
    <w:p w14:paraId="68E316C3">
      <w:pPr>
        <w:spacing w:line="560" w:lineRule="exact"/>
        <w:ind w:firstLine="482" w:firstLineChars="200"/>
        <w:outlineLvl w:val="9"/>
        <w:rPr>
          <w:rFonts w:ascii="仿宋" w:hAnsi="仿宋" w:eastAsia="仿宋"/>
          <w:b/>
          <w:color w:val="auto"/>
          <w:sz w:val="24"/>
        </w:rPr>
      </w:pPr>
      <w:bookmarkStart w:id="330" w:name="_Toc14563"/>
      <w:bookmarkStart w:id="331" w:name="_Toc6596"/>
      <w:bookmarkStart w:id="332" w:name="_Toc1125"/>
      <w:r>
        <w:rPr>
          <w:rFonts w:hint="eastAsia" w:ascii="仿宋" w:hAnsi="仿宋" w:eastAsia="仿宋"/>
          <w:b/>
          <w:color w:val="auto"/>
          <w:sz w:val="24"/>
        </w:rPr>
        <w:t>2.16</w:t>
      </w:r>
      <w:r>
        <w:rPr>
          <w:rFonts w:hint="eastAsia" w:ascii="仿宋" w:hAnsi="仿宋" w:eastAsia="仿宋"/>
          <w:b/>
          <w:color w:val="auto"/>
          <w:sz w:val="24"/>
          <w:lang w:val="en-US" w:eastAsia="zh-CN"/>
        </w:rPr>
        <w:t xml:space="preserve"> </w:t>
      </w:r>
      <w:r>
        <w:rPr>
          <w:rFonts w:hint="eastAsia" w:ascii="仿宋" w:hAnsi="仿宋" w:eastAsia="仿宋"/>
          <w:b/>
          <w:color w:val="auto"/>
          <w:sz w:val="24"/>
        </w:rPr>
        <w:t>检验和验收</w:t>
      </w:r>
      <w:bookmarkEnd w:id="330"/>
      <w:bookmarkEnd w:id="331"/>
      <w:bookmarkEnd w:id="332"/>
    </w:p>
    <w:p w14:paraId="7022B706">
      <w:pPr>
        <w:tabs>
          <w:tab w:val="left" w:pos="360"/>
          <w:tab w:val="left" w:pos="540"/>
          <w:tab w:val="left" w:pos="1080"/>
        </w:tabs>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2.16.1</w:t>
      </w:r>
      <w:r>
        <w:rPr>
          <w:rFonts w:hint="eastAsia" w:ascii="仿宋" w:hAnsi="仿宋" w:eastAsia="仿宋"/>
          <w:color w:val="auto"/>
          <w:sz w:val="24"/>
          <w:lang w:val="en-US" w:eastAsia="zh-CN"/>
        </w:rPr>
        <w:t xml:space="preserve"> </w:t>
      </w:r>
      <w:r>
        <w:rPr>
          <w:rFonts w:hint="eastAsia" w:ascii="仿宋" w:hAnsi="仿宋" w:eastAsia="仿宋"/>
          <w:color w:val="auto"/>
          <w:sz w:val="24"/>
        </w:rPr>
        <w:t>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14:paraId="1C860A07">
      <w:pPr>
        <w:tabs>
          <w:tab w:val="left" w:pos="360"/>
          <w:tab w:val="left" w:pos="540"/>
          <w:tab w:val="left" w:pos="1080"/>
        </w:tabs>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2.16.2</w:t>
      </w:r>
      <w:r>
        <w:rPr>
          <w:rFonts w:hint="eastAsia" w:ascii="仿宋" w:hAnsi="仿宋" w:eastAsia="仿宋"/>
          <w:color w:val="auto"/>
          <w:sz w:val="24"/>
          <w:lang w:val="en-US" w:eastAsia="zh-CN"/>
        </w:rPr>
        <w:t xml:space="preserve"> </w:t>
      </w:r>
      <w:r>
        <w:rPr>
          <w:rFonts w:hint="eastAsia" w:ascii="仿宋" w:hAnsi="仿宋" w:eastAsia="仿宋"/>
          <w:color w:val="auto"/>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AFF61EF">
      <w:pPr>
        <w:tabs>
          <w:tab w:val="left" w:pos="360"/>
          <w:tab w:val="left" w:pos="540"/>
          <w:tab w:val="left" w:pos="1080"/>
        </w:tabs>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2.16.3 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302"/>
    <w:bookmarkEnd w:id="303"/>
    <w:bookmarkEnd w:id="304"/>
    <w:bookmarkEnd w:id="305"/>
    <w:p w14:paraId="4B0977D7">
      <w:pPr>
        <w:spacing w:line="560" w:lineRule="exact"/>
        <w:ind w:firstLine="482" w:firstLineChars="200"/>
        <w:outlineLvl w:val="9"/>
        <w:rPr>
          <w:rFonts w:ascii="仿宋" w:hAnsi="仿宋" w:eastAsia="仿宋"/>
          <w:b/>
          <w:color w:val="auto"/>
          <w:sz w:val="24"/>
        </w:rPr>
      </w:pPr>
      <w:bookmarkStart w:id="333" w:name="_Toc259093690"/>
      <w:bookmarkStart w:id="334" w:name="_Toc487900371"/>
      <w:bookmarkStart w:id="335" w:name="_Toc279701261"/>
      <w:bookmarkStart w:id="336" w:name="_Toc11284"/>
      <w:bookmarkStart w:id="337" w:name="_Toc19604"/>
      <w:bookmarkStart w:id="338" w:name="_Toc25182"/>
      <w:r>
        <w:rPr>
          <w:rFonts w:hint="eastAsia" w:ascii="仿宋" w:hAnsi="仿宋" w:eastAsia="仿宋"/>
          <w:b/>
          <w:color w:val="auto"/>
          <w:sz w:val="24"/>
        </w:rPr>
        <w:t>2.17 通知</w:t>
      </w:r>
      <w:bookmarkEnd w:id="333"/>
      <w:bookmarkEnd w:id="334"/>
      <w:bookmarkEnd w:id="335"/>
      <w:r>
        <w:rPr>
          <w:rFonts w:hint="eastAsia" w:ascii="仿宋" w:hAnsi="仿宋" w:eastAsia="仿宋"/>
          <w:b/>
          <w:color w:val="auto"/>
          <w:sz w:val="24"/>
        </w:rPr>
        <w:t>和送达</w:t>
      </w:r>
      <w:bookmarkEnd w:id="336"/>
      <w:bookmarkEnd w:id="337"/>
      <w:bookmarkEnd w:id="338"/>
    </w:p>
    <w:p w14:paraId="1F1E0E05">
      <w:pPr>
        <w:spacing w:line="560" w:lineRule="exact"/>
        <w:ind w:firstLine="480" w:firstLineChars="200"/>
        <w:outlineLvl w:val="9"/>
        <w:rPr>
          <w:rFonts w:ascii="仿宋" w:hAnsi="仿宋" w:eastAsia="仿宋"/>
          <w:color w:val="auto"/>
          <w:sz w:val="24"/>
        </w:rPr>
      </w:pPr>
      <w:bookmarkStart w:id="339" w:name="_Toc3135"/>
      <w:bookmarkStart w:id="340" w:name="_Toc6698"/>
      <w:bookmarkStart w:id="341" w:name="_Toc279701262"/>
      <w:bookmarkStart w:id="342" w:name="_Toc259093691"/>
      <w:bookmarkStart w:id="343" w:name="_Toc487900372"/>
      <w:r>
        <w:rPr>
          <w:rFonts w:hint="eastAsia" w:ascii="仿宋" w:hAnsi="仿宋" w:eastAsia="仿宋"/>
          <w:color w:val="auto"/>
          <w:sz w:val="24"/>
        </w:rPr>
        <w:t>2.17.1 任何一方因履行合同而以合同第一部分尾部所列明的</w:t>
      </w:r>
      <w:r>
        <w:rPr>
          <w:rFonts w:hint="eastAsia"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 xml:space="preserve">   </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339"/>
      <w:bookmarkEnd w:id="340"/>
    </w:p>
    <w:p w14:paraId="2AD1F031">
      <w:pPr>
        <w:spacing w:line="560" w:lineRule="exact"/>
        <w:ind w:firstLine="480" w:firstLineChars="200"/>
        <w:outlineLvl w:val="9"/>
        <w:rPr>
          <w:rFonts w:ascii="仿宋" w:hAnsi="仿宋" w:eastAsia="仿宋"/>
          <w:color w:val="auto"/>
          <w:sz w:val="24"/>
        </w:rPr>
      </w:pPr>
      <w:bookmarkStart w:id="344" w:name="_Toc23128"/>
      <w:bookmarkStart w:id="345" w:name="_Toc23294"/>
      <w:r>
        <w:rPr>
          <w:rFonts w:hint="eastAsia" w:ascii="仿宋" w:hAnsi="仿宋" w:eastAsia="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344"/>
      <w:bookmarkEnd w:id="345"/>
    </w:p>
    <w:p w14:paraId="545F2A85">
      <w:pPr>
        <w:spacing w:line="560" w:lineRule="exact"/>
        <w:ind w:firstLine="482" w:firstLineChars="200"/>
        <w:outlineLvl w:val="9"/>
        <w:rPr>
          <w:rFonts w:ascii="仿宋" w:hAnsi="仿宋" w:eastAsia="仿宋"/>
          <w:b/>
          <w:color w:val="auto"/>
          <w:sz w:val="24"/>
        </w:rPr>
      </w:pPr>
      <w:bookmarkStart w:id="346" w:name="_Toc4355"/>
      <w:bookmarkStart w:id="347" w:name="_Toc18540"/>
      <w:bookmarkStart w:id="348" w:name="_Toc30599"/>
      <w:r>
        <w:rPr>
          <w:rFonts w:hint="eastAsia" w:ascii="仿宋" w:hAnsi="仿宋" w:eastAsia="仿宋"/>
          <w:b/>
          <w:color w:val="auto"/>
          <w:sz w:val="24"/>
        </w:rPr>
        <w:t>2.18 计量单位</w:t>
      </w:r>
      <w:bookmarkEnd w:id="341"/>
      <w:bookmarkEnd w:id="342"/>
      <w:bookmarkEnd w:id="343"/>
      <w:bookmarkEnd w:id="346"/>
      <w:bookmarkEnd w:id="347"/>
      <w:bookmarkEnd w:id="348"/>
    </w:p>
    <w:p w14:paraId="7689978C">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除技术规范中另有规定外,合同的计量单位均使用国家法定计量单位。</w:t>
      </w:r>
    </w:p>
    <w:p w14:paraId="2F7785B5">
      <w:pPr>
        <w:spacing w:line="560" w:lineRule="exact"/>
        <w:ind w:firstLine="482" w:firstLineChars="200"/>
        <w:outlineLvl w:val="9"/>
        <w:rPr>
          <w:rFonts w:ascii="仿宋" w:hAnsi="仿宋" w:eastAsia="仿宋"/>
          <w:b/>
          <w:color w:val="auto"/>
          <w:sz w:val="24"/>
        </w:rPr>
      </w:pPr>
      <w:bookmarkStart w:id="349" w:name="_Toc12773"/>
      <w:bookmarkStart w:id="350" w:name="_Toc487900373"/>
      <w:bookmarkStart w:id="351" w:name="_Toc10330"/>
      <w:bookmarkStart w:id="352" w:name="_Toc259093692"/>
      <w:bookmarkStart w:id="353" w:name="_Toc279701263"/>
      <w:bookmarkStart w:id="354" w:name="_Toc18567"/>
      <w:r>
        <w:rPr>
          <w:rFonts w:hint="eastAsia" w:ascii="仿宋" w:hAnsi="仿宋" w:eastAsia="仿宋"/>
          <w:b/>
          <w:color w:val="auto"/>
          <w:sz w:val="24"/>
        </w:rPr>
        <w:t>2.19 合同使用的文字和适用的法律</w:t>
      </w:r>
      <w:bookmarkEnd w:id="349"/>
      <w:bookmarkEnd w:id="350"/>
      <w:bookmarkEnd w:id="351"/>
      <w:bookmarkEnd w:id="352"/>
      <w:bookmarkEnd w:id="353"/>
      <w:bookmarkEnd w:id="354"/>
    </w:p>
    <w:p w14:paraId="60DA8DC4">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2.19.1 合同使用汉语书就、变更和解释；</w:t>
      </w:r>
    </w:p>
    <w:p w14:paraId="140AEE0A">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2.19.2 合同适用中华人民共和国法律。</w:t>
      </w:r>
    </w:p>
    <w:p w14:paraId="6F7F03FA">
      <w:pPr>
        <w:spacing w:line="560" w:lineRule="exact"/>
        <w:ind w:firstLine="482" w:firstLineChars="200"/>
        <w:outlineLvl w:val="9"/>
        <w:rPr>
          <w:rFonts w:hint="eastAsia" w:ascii="仿宋" w:hAnsi="仿宋" w:eastAsia="仿宋" w:cs="宋体"/>
          <w:b/>
          <w:color w:val="auto"/>
          <w:sz w:val="24"/>
        </w:rPr>
      </w:pPr>
      <w:bookmarkStart w:id="355" w:name="_Toc3148"/>
      <w:bookmarkStart w:id="356" w:name="_Toc259093693"/>
      <w:bookmarkStart w:id="357" w:name="_Toc12004"/>
      <w:bookmarkStart w:id="358" w:name="_Toc16673"/>
      <w:bookmarkStart w:id="359" w:name="_Toc279701264"/>
      <w:bookmarkStart w:id="360" w:name="_Toc487900374"/>
      <w:r>
        <w:rPr>
          <w:rFonts w:hint="eastAsia" w:ascii="仿宋" w:hAnsi="仿宋" w:eastAsia="仿宋"/>
          <w:b/>
          <w:color w:val="auto"/>
          <w:sz w:val="24"/>
        </w:rPr>
        <w:t>2</w:t>
      </w:r>
      <w:r>
        <w:rPr>
          <w:rFonts w:hint="eastAsia" w:ascii="仿宋" w:hAnsi="仿宋" w:eastAsia="仿宋" w:cs="宋体"/>
          <w:b/>
          <w:color w:val="auto"/>
          <w:sz w:val="24"/>
        </w:rPr>
        <w:t>.20 履约保证金</w:t>
      </w:r>
      <w:bookmarkEnd w:id="355"/>
      <w:bookmarkEnd w:id="356"/>
      <w:bookmarkEnd w:id="357"/>
      <w:bookmarkEnd w:id="358"/>
      <w:bookmarkEnd w:id="359"/>
    </w:p>
    <w:p w14:paraId="3C2425CC">
      <w:pPr>
        <w:spacing w:line="560" w:lineRule="exact"/>
        <w:ind w:firstLine="480" w:firstLineChars="200"/>
        <w:outlineLvl w:val="9"/>
        <w:rPr>
          <w:rFonts w:ascii="仿宋" w:hAnsi="仿宋" w:eastAsia="仿宋"/>
          <w:color w:val="auto"/>
          <w:sz w:val="24"/>
          <w:highlight w:val="none"/>
        </w:rPr>
      </w:pPr>
      <w:r>
        <w:rPr>
          <w:rFonts w:hint="eastAsia" w:ascii="仿宋" w:hAnsi="仿宋" w:eastAsia="仿宋" w:cs="宋体"/>
          <w:b w:val="0"/>
          <w:bCs/>
          <w:color w:val="auto"/>
          <w:sz w:val="24"/>
        </w:rPr>
        <w:t xml:space="preserve">2.20.1 </w:t>
      </w:r>
      <w:r>
        <w:rPr>
          <w:rFonts w:hint="eastAsia" w:ascii="仿宋" w:hAnsi="仿宋" w:eastAsia="仿宋" w:cs="宋体"/>
          <w:b w:val="0"/>
          <w:bCs/>
          <w:color w:val="auto"/>
          <w:sz w:val="24"/>
          <w:lang w:val="en-US" w:eastAsia="zh-CN"/>
        </w:rPr>
        <w:t>本项目无需履约保证金</w:t>
      </w:r>
      <w:r>
        <w:rPr>
          <w:rFonts w:hint="eastAsia" w:ascii="仿宋" w:hAnsi="仿宋" w:eastAsia="仿宋"/>
          <w:color w:val="auto"/>
          <w:sz w:val="24"/>
          <w:highlight w:val="none"/>
        </w:rPr>
        <w:t>。</w:t>
      </w:r>
    </w:p>
    <w:bookmarkEnd w:id="360"/>
    <w:p w14:paraId="3057FF01">
      <w:pPr>
        <w:spacing w:line="560" w:lineRule="exact"/>
        <w:ind w:firstLine="482" w:firstLineChars="200"/>
        <w:outlineLvl w:val="9"/>
        <w:rPr>
          <w:rFonts w:ascii="仿宋" w:hAnsi="仿宋" w:eastAsia="仿宋"/>
          <w:b/>
          <w:color w:val="auto"/>
          <w:sz w:val="24"/>
        </w:rPr>
      </w:pPr>
      <w:bookmarkStart w:id="361" w:name="_Toc6885"/>
      <w:bookmarkStart w:id="362" w:name="_Toc19890"/>
      <w:bookmarkStart w:id="363" w:name="_Toc14001"/>
      <w:r>
        <w:rPr>
          <w:rFonts w:hint="eastAsia" w:ascii="仿宋" w:hAnsi="仿宋" w:eastAsia="仿宋"/>
          <w:b/>
          <w:color w:val="auto"/>
          <w:sz w:val="24"/>
        </w:rPr>
        <w:t>2.21 合同份数</w:t>
      </w:r>
      <w:bookmarkEnd w:id="361"/>
      <w:bookmarkEnd w:id="362"/>
      <w:bookmarkEnd w:id="363"/>
    </w:p>
    <w:p w14:paraId="62D7576B">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p>
    <w:p w14:paraId="0B78BCDF">
      <w:pPr>
        <w:pStyle w:val="72"/>
        <w:spacing w:line="560" w:lineRule="exact"/>
        <w:jc w:val="center"/>
        <w:outlineLvl w:val="9"/>
        <w:rPr>
          <w:rFonts w:hint="eastAsia" w:ascii="仿宋" w:hAnsi="仿宋" w:eastAsia="仿宋" w:cs="仿宋"/>
          <w:b/>
          <w:color w:val="auto"/>
          <w:sz w:val="32"/>
          <w:szCs w:val="22"/>
          <w:lang w:val="en-US" w:eastAsia="zh-CN" w:bidi="zh-CN"/>
        </w:rPr>
      </w:pPr>
      <w:r>
        <w:rPr>
          <w:rFonts w:hint="eastAsia" w:ascii="仿宋" w:hAnsi="仿宋" w:eastAsia="仿宋" w:cstheme="minorBidi"/>
          <w:color w:val="auto"/>
          <w:kern w:val="0"/>
          <w:szCs w:val="24"/>
        </w:rPr>
        <w:br w:type="page"/>
      </w:r>
      <w:bookmarkStart w:id="364" w:name="_Toc331685784"/>
      <w:r>
        <w:rPr>
          <w:rFonts w:hint="eastAsia" w:ascii="仿宋" w:hAnsi="仿宋" w:eastAsia="仿宋" w:cs="仿宋"/>
          <w:b/>
          <w:color w:val="auto"/>
          <w:sz w:val="32"/>
          <w:szCs w:val="22"/>
          <w:lang w:val="en-US" w:eastAsia="zh-CN" w:bidi="zh-CN"/>
        </w:rPr>
        <w:t>第三部分  合同专用条款</w:t>
      </w:r>
      <w:bookmarkEnd w:id="364"/>
    </w:p>
    <w:p w14:paraId="56F70368">
      <w:pPr>
        <w:spacing w:line="560" w:lineRule="exact"/>
        <w:ind w:firstLine="480" w:firstLineChars="200"/>
        <w:outlineLvl w:val="9"/>
        <w:rPr>
          <w:rFonts w:ascii="仿宋" w:hAnsi="仿宋" w:eastAsia="仿宋"/>
          <w:color w:val="auto"/>
          <w:sz w:val="24"/>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84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9"/>
        <w:gridCol w:w="7557"/>
      </w:tblGrid>
      <w:tr w14:paraId="422E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538A0F87">
            <w:pPr>
              <w:spacing w:line="560" w:lineRule="exact"/>
              <w:jc w:val="center"/>
              <w:outlineLvl w:val="9"/>
              <w:rPr>
                <w:rFonts w:ascii="仿宋" w:hAnsi="仿宋" w:eastAsia="仿宋"/>
                <w:b/>
                <w:color w:val="auto"/>
                <w:sz w:val="24"/>
              </w:rPr>
            </w:pPr>
            <w:r>
              <w:rPr>
                <w:rFonts w:hint="eastAsia" w:ascii="仿宋" w:hAnsi="仿宋" w:eastAsia="仿宋"/>
                <w:b/>
                <w:color w:val="auto"/>
                <w:sz w:val="24"/>
              </w:rPr>
              <w:t>条款号</w:t>
            </w:r>
          </w:p>
        </w:tc>
        <w:tc>
          <w:tcPr>
            <w:tcW w:w="7557" w:type="dxa"/>
            <w:tcBorders>
              <w:top w:val="single" w:color="auto" w:sz="6" w:space="0"/>
              <w:left w:val="single" w:color="auto" w:sz="6" w:space="0"/>
              <w:bottom w:val="single" w:color="auto" w:sz="6" w:space="0"/>
              <w:right w:val="single" w:color="auto" w:sz="6" w:space="0"/>
            </w:tcBorders>
            <w:vAlign w:val="center"/>
          </w:tcPr>
          <w:p w14:paraId="0A79E248">
            <w:pPr>
              <w:spacing w:line="560" w:lineRule="exact"/>
              <w:jc w:val="center"/>
              <w:outlineLvl w:val="9"/>
              <w:rPr>
                <w:rFonts w:ascii="仿宋" w:hAnsi="仿宋" w:eastAsia="仿宋"/>
                <w:b/>
                <w:color w:val="auto"/>
                <w:sz w:val="24"/>
              </w:rPr>
            </w:pPr>
            <w:r>
              <w:rPr>
                <w:rFonts w:hint="eastAsia" w:ascii="仿宋" w:hAnsi="仿宋" w:eastAsia="仿宋"/>
                <w:b/>
                <w:color w:val="auto"/>
                <w:sz w:val="24"/>
              </w:rPr>
              <w:t>约定内容</w:t>
            </w:r>
          </w:p>
        </w:tc>
      </w:tr>
      <w:tr w14:paraId="0CA6E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7509D594">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1.4.2</w:t>
            </w:r>
          </w:p>
        </w:tc>
        <w:tc>
          <w:tcPr>
            <w:tcW w:w="7557" w:type="dxa"/>
            <w:tcBorders>
              <w:top w:val="single" w:color="auto" w:sz="6" w:space="0"/>
              <w:left w:val="single" w:color="auto" w:sz="6" w:space="0"/>
              <w:bottom w:val="single" w:color="auto" w:sz="6" w:space="0"/>
              <w:right w:val="single" w:color="auto" w:sz="6" w:space="0"/>
            </w:tcBorders>
            <w:vAlign w:val="center"/>
          </w:tcPr>
          <w:p w14:paraId="4AB514F2">
            <w:pPr>
              <w:spacing w:line="560" w:lineRule="exact"/>
              <w:outlineLvl w:val="9"/>
              <w:rPr>
                <w:rFonts w:ascii="仿宋" w:hAnsi="仿宋" w:eastAsia="仿宋"/>
                <w:color w:val="auto"/>
                <w:sz w:val="24"/>
              </w:rPr>
            </w:pPr>
          </w:p>
        </w:tc>
      </w:tr>
      <w:tr w14:paraId="3806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13C7BBA0">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1.5.1</w:t>
            </w:r>
          </w:p>
        </w:tc>
        <w:tc>
          <w:tcPr>
            <w:tcW w:w="7557" w:type="dxa"/>
            <w:tcBorders>
              <w:top w:val="single" w:color="auto" w:sz="6" w:space="0"/>
              <w:left w:val="single" w:color="auto" w:sz="6" w:space="0"/>
              <w:bottom w:val="single" w:color="auto" w:sz="6" w:space="0"/>
              <w:right w:val="single" w:color="auto" w:sz="6" w:space="0"/>
            </w:tcBorders>
            <w:vAlign w:val="center"/>
          </w:tcPr>
          <w:p w14:paraId="3D9B0F8E">
            <w:pPr>
              <w:spacing w:line="560" w:lineRule="exact"/>
              <w:outlineLvl w:val="9"/>
              <w:rPr>
                <w:rFonts w:ascii="仿宋" w:hAnsi="仿宋" w:eastAsia="仿宋"/>
                <w:color w:val="auto"/>
                <w:sz w:val="24"/>
              </w:rPr>
            </w:pPr>
          </w:p>
        </w:tc>
      </w:tr>
      <w:tr w14:paraId="0EC77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009308CE">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1.5.2</w:t>
            </w:r>
          </w:p>
        </w:tc>
        <w:tc>
          <w:tcPr>
            <w:tcW w:w="7557" w:type="dxa"/>
            <w:tcBorders>
              <w:top w:val="single" w:color="auto" w:sz="6" w:space="0"/>
              <w:left w:val="single" w:color="auto" w:sz="6" w:space="0"/>
              <w:bottom w:val="single" w:color="auto" w:sz="6" w:space="0"/>
              <w:right w:val="single" w:color="auto" w:sz="6" w:space="0"/>
            </w:tcBorders>
            <w:vAlign w:val="center"/>
          </w:tcPr>
          <w:p w14:paraId="1187B4F9">
            <w:pPr>
              <w:spacing w:line="560" w:lineRule="exact"/>
              <w:outlineLvl w:val="9"/>
              <w:rPr>
                <w:rFonts w:ascii="仿宋" w:hAnsi="仿宋" w:eastAsia="仿宋"/>
                <w:color w:val="auto"/>
                <w:sz w:val="24"/>
              </w:rPr>
            </w:pPr>
          </w:p>
        </w:tc>
      </w:tr>
      <w:tr w14:paraId="0A39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22A07C79">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1.5.3</w:t>
            </w:r>
          </w:p>
        </w:tc>
        <w:tc>
          <w:tcPr>
            <w:tcW w:w="7557" w:type="dxa"/>
            <w:tcBorders>
              <w:top w:val="single" w:color="auto" w:sz="6" w:space="0"/>
              <w:left w:val="single" w:color="auto" w:sz="6" w:space="0"/>
              <w:bottom w:val="single" w:color="auto" w:sz="6" w:space="0"/>
              <w:right w:val="single" w:color="auto" w:sz="6" w:space="0"/>
            </w:tcBorders>
            <w:vAlign w:val="center"/>
          </w:tcPr>
          <w:p w14:paraId="2E6BD3FD">
            <w:pPr>
              <w:spacing w:line="560" w:lineRule="exact"/>
              <w:outlineLvl w:val="9"/>
              <w:rPr>
                <w:rFonts w:ascii="仿宋" w:hAnsi="仿宋" w:eastAsia="仿宋"/>
                <w:color w:val="auto"/>
                <w:sz w:val="24"/>
              </w:rPr>
            </w:pPr>
          </w:p>
        </w:tc>
      </w:tr>
      <w:tr w14:paraId="3E321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49F13C33">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1.6.2</w:t>
            </w:r>
          </w:p>
        </w:tc>
        <w:tc>
          <w:tcPr>
            <w:tcW w:w="7557" w:type="dxa"/>
            <w:tcBorders>
              <w:top w:val="single" w:color="auto" w:sz="6" w:space="0"/>
              <w:left w:val="single" w:color="auto" w:sz="6" w:space="0"/>
              <w:bottom w:val="single" w:color="auto" w:sz="6" w:space="0"/>
              <w:right w:val="single" w:color="auto" w:sz="6" w:space="0"/>
            </w:tcBorders>
            <w:vAlign w:val="center"/>
          </w:tcPr>
          <w:p w14:paraId="27E31BDF">
            <w:pPr>
              <w:spacing w:line="560" w:lineRule="exact"/>
              <w:outlineLvl w:val="9"/>
              <w:rPr>
                <w:rFonts w:ascii="仿宋" w:hAnsi="仿宋" w:eastAsia="仿宋"/>
                <w:color w:val="auto"/>
                <w:sz w:val="24"/>
              </w:rPr>
            </w:pPr>
          </w:p>
        </w:tc>
      </w:tr>
      <w:tr w14:paraId="47F19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4C0FD340">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1.7.1</w:t>
            </w:r>
          </w:p>
        </w:tc>
        <w:tc>
          <w:tcPr>
            <w:tcW w:w="7557" w:type="dxa"/>
            <w:tcBorders>
              <w:top w:val="single" w:color="auto" w:sz="6" w:space="0"/>
              <w:left w:val="single" w:color="auto" w:sz="6" w:space="0"/>
              <w:bottom w:val="single" w:color="auto" w:sz="6" w:space="0"/>
              <w:right w:val="single" w:color="auto" w:sz="6" w:space="0"/>
            </w:tcBorders>
            <w:vAlign w:val="center"/>
          </w:tcPr>
          <w:p w14:paraId="6F347F03">
            <w:pPr>
              <w:spacing w:line="560" w:lineRule="exact"/>
              <w:outlineLvl w:val="9"/>
              <w:rPr>
                <w:rFonts w:ascii="仿宋" w:hAnsi="仿宋" w:eastAsia="仿宋"/>
                <w:color w:val="auto"/>
                <w:sz w:val="24"/>
              </w:rPr>
            </w:pPr>
          </w:p>
        </w:tc>
      </w:tr>
      <w:tr w14:paraId="606FB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14800B69">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1.7.2</w:t>
            </w:r>
          </w:p>
        </w:tc>
        <w:tc>
          <w:tcPr>
            <w:tcW w:w="7557" w:type="dxa"/>
            <w:tcBorders>
              <w:top w:val="single" w:color="auto" w:sz="6" w:space="0"/>
              <w:left w:val="single" w:color="auto" w:sz="6" w:space="0"/>
              <w:bottom w:val="single" w:color="auto" w:sz="6" w:space="0"/>
              <w:right w:val="single" w:color="auto" w:sz="6" w:space="0"/>
            </w:tcBorders>
            <w:vAlign w:val="center"/>
          </w:tcPr>
          <w:p w14:paraId="5A53DDA2">
            <w:pPr>
              <w:spacing w:line="560" w:lineRule="exact"/>
              <w:outlineLvl w:val="9"/>
              <w:rPr>
                <w:rFonts w:ascii="仿宋" w:hAnsi="仿宋" w:eastAsia="仿宋"/>
                <w:color w:val="auto"/>
                <w:sz w:val="24"/>
                <w:u w:val="single"/>
              </w:rPr>
            </w:pPr>
          </w:p>
        </w:tc>
      </w:tr>
      <w:tr w14:paraId="6922D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24197FC0">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1.7.3</w:t>
            </w:r>
          </w:p>
        </w:tc>
        <w:tc>
          <w:tcPr>
            <w:tcW w:w="7557" w:type="dxa"/>
            <w:tcBorders>
              <w:top w:val="single" w:color="auto" w:sz="6" w:space="0"/>
              <w:left w:val="single" w:color="auto" w:sz="6" w:space="0"/>
              <w:bottom w:val="single" w:color="auto" w:sz="6" w:space="0"/>
              <w:right w:val="single" w:color="auto" w:sz="6" w:space="0"/>
            </w:tcBorders>
            <w:vAlign w:val="center"/>
          </w:tcPr>
          <w:p w14:paraId="352E785B">
            <w:pPr>
              <w:spacing w:line="560" w:lineRule="exact"/>
              <w:outlineLvl w:val="9"/>
              <w:rPr>
                <w:rFonts w:ascii="仿宋" w:hAnsi="仿宋" w:eastAsia="仿宋"/>
                <w:color w:val="auto"/>
                <w:sz w:val="24"/>
              </w:rPr>
            </w:pPr>
          </w:p>
        </w:tc>
      </w:tr>
      <w:tr w14:paraId="35520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0A92B25E">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1.8.6</w:t>
            </w:r>
          </w:p>
        </w:tc>
        <w:tc>
          <w:tcPr>
            <w:tcW w:w="7557" w:type="dxa"/>
            <w:tcBorders>
              <w:top w:val="single" w:color="auto" w:sz="6" w:space="0"/>
              <w:left w:val="single" w:color="auto" w:sz="6" w:space="0"/>
              <w:bottom w:val="single" w:color="auto" w:sz="6" w:space="0"/>
              <w:right w:val="single" w:color="auto" w:sz="6" w:space="0"/>
            </w:tcBorders>
            <w:vAlign w:val="center"/>
          </w:tcPr>
          <w:p w14:paraId="1D839EBE">
            <w:pPr>
              <w:spacing w:line="560" w:lineRule="exact"/>
              <w:outlineLvl w:val="9"/>
              <w:rPr>
                <w:rFonts w:ascii="仿宋" w:hAnsi="仿宋" w:eastAsia="仿宋"/>
                <w:color w:val="auto"/>
                <w:sz w:val="24"/>
              </w:rPr>
            </w:pPr>
          </w:p>
        </w:tc>
      </w:tr>
      <w:tr w14:paraId="676CA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166D9D42">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1.9</w:t>
            </w:r>
          </w:p>
        </w:tc>
        <w:tc>
          <w:tcPr>
            <w:tcW w:w="7557" w:type="dxa"/>
            <w:tcBorders>
              <w:top w:val="single" w:color="auto" w:sz="6" w:space="0"/>
              <w:left w:val="single" w:color="auto" w:sz="6" w:space="0"/>
              <w:bottom w:val="single" w:color="auto" w:sz="6" w:space="0"/>
              <w:right w:val="single" w:color="auto" w:sz="6" w:space="0"/>
            </w:tcBorders>
            <w:vAlign w:val="center"/>
          </w:tcPr>
          <w:p w14:paraId="1D15E371">
            <w:pPr>
              <w:spacing w:line="560" w:lineRule="exact"/>
              <w:outlineLvl w:val="9"/>
              <w:rPr>
                <w:rFonts w:ascii="仿宋" w:hAnsi="仿宋" w:eastAsia="仿宋"/>
                <w:color w:val="auto"/>
                <w:sz w:val="24"/>
              </w:rPr>
            </w:pPr>
          </w:p>
        </w:tc>
      </w:tr>
      <w:tr w14:paraId="265B8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6D821377">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2.3.2</w:t>
            </w:r>
          </w:p>
        </w:tc>
        <w:tc>
          <w:tcPr>
            <w:tcW w:w="7557" w:type="dxa"/>
            <w:tcBorders>
              <w:top w:val="single" w:color="auto" w:sz="6" w:space="0"/>
              <w:left w:val="single" w:color="auto" w:sz="6" w:space="0"/>
              <w:bottom w:val="single" w:color="auto" w:sz="6" w:space="0"/>
              <w:right w:val="single" w:color="auto" w:sz="6" w:space="0"/>
            </w:tcBorders>
            <w:vAlign w:val="center"/>
          </w:tcPr>
          <w:p w14:paraId="41822094">
            <w:pPr>
              <w:spacing w:line="560" w:lineRule="exact"/>
              <w:outlineLvl w:val="9"/>
              <w:rPr>
                <w:rFonts w:ascii="仿宋" w:hAnsi="仿宋" w:eastAsia="仿宋"/>
                <w:color w:val="auto"/>
                <w:sz w:val="24"/>
              </w:rPr>
            </w:pPr>
          </w:p>
        </w:tc>
      </w:tr>
      <w:tr w14:paraId="3CF7E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744A97BA">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2.4.1</w:t>
            </w:r>
          </w:p>
        </w:tc>
        <w:tc>
          <w:tcPr>
            <w:tcW w:w="7557" w:type="dxa"/>
            <w:tcBorders>
              <w:top w:val="single" w:color="auto" w:sz="6" w:space="0"/>
              <w:left w:val="single" w:color="auto" w:sz="6" w:space="0"/>
              <w:bottom w:val="single" w:color="auto" w:sz="6" w:space="0"/>
              <w:right w:val="single" w:color="auto" w:sz="6" w:space="0"/>
            </w:tcBorders>
            <w:vAlign w:val="center"/>
          </w:tcPr>
          <w:p w14:paraId="68252938">
            <w:pPr>
              <w:spacing w:line="560" w:lineRule="exact"/>
              <w:outlineLvl w:val="9"/>
              <w:rPr>
                <w:rFonts w:ascii="仿宋" w:hAnsi="仿宋" w:eastAsia="仿宋"/>
                <w:color w:val="auto"/>
                <w:sz w:val="24"/>
              </w:rPr>
            </w:pPr>
          </w:p>
        </w:tc>
      </w:tr>
      <w:tr w14:paraId="26225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170FC889">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2.4.3</w:t>
            </w:r>
          </w:p>
        </w:tc>
        <w:tc>
          <w:tcPr>
            <w:tcW w:w="7557" w:type="dxa"/>
            <w:tcBorders>
              <w:top w:val="single" w:color="auto" w:sz="6" w:space="0"/>
              <w:left w:val="single" w:color="auto" w:sz="6" w:space="0"/>
              <w:bottom w:val="single" w:color="auto" w:sz="6" w:space="0"/>
              <w:right w:val="single" w:color="auto" w:sz="6" w:space="0"/>
            </w:tcBorders>
            <w:vAlign w:val="center"/>
          </w:tcPr>
          <w:p w14:paraId="31B1F8A2">
            <w:pPr>
              <w:spacing w:line="560" w:lineRule="exact"/>
              <w:outlineLvl w:val="9"/>
              <w:rPr>
                <w:rFonts w:ascii="仿宋" w:hAnsi="仿宋" w:eastAsia="仿宋"/>
                <w:color w:val="auto"/>
                <w:sz w:val="24"/>
              </w:rPr>
            </w:pPr>
          </w:p>
        </w:tc>
      </w:tr>
      <w:tr w14:paraId="20AE8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7F8A3436">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2.8</w:t>
            </w:r>
          </w:p>
        </w:tc>
        <w:tc>
          <w:tcPr>
            <w:tcW w:w="7557" w:type="dxa"/>
            <w:tcBorders>
              <w:top w:val="single" w:color="auto" w:sz="6" w:space="0"/>
              <w:left w:val="single" w:color="auto" w:sz="6" w:space="0"/>
              <w:bottom w:val="single" w:color="auto" w:sz="6" w:space="0"/>
              <w:right w:val="single" w:color="auto" w:sz="6" w:space="0"/>
            </w:tcBorders>
            <w:vAlign w:val="center"/>
          </w:tcPr>
          <w:p w14:paraId="14BE74BF">
            <w:pPr>
              <w:spacing w:line="560" w:lineRule="exact"/>
              <w:outlineLvl w:val="9"/>
              <w:rPr>
                <w:rFonts w:ascii="仿宋" w:hAnsi="仿宋" w:eastAsia="仿宋"/>
                <w:color w:val="auto"/>
                <w:sz w:val="24"/>
              </w:rPr>
            </w:pPr>
          </w:p>
        </w:tc>
      </w:tr>
      <w:tr w14:paraId="5AA1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66B14630">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2.12.3</w:t>
            </w:r>
          </w:p>
        </w:tc>
        <w:tc>
          <w:tcPr>
            <w:tcW w:w="7557" w:type="dxa"/>
            <w:tcBorders>
              <w:top w:val="single" w:color="auto" w:sz="6" w:space="0"/>
              <w:left w:val="single" w:color="auto" w:sz="6" w:space="0"/>
              <w:bottom w:val="single" w:color="auto" w:sz="6" w:space="0"/>
              <w:right w:val="single" w:color="auto" w:sz="6" w:space="0"/>
            </w:tcBorders>
            <w:vAlign w:val="center"/>
          </w:tcPr>
          <w:p w14:paraId="3C493628">
            <w:pPr>
              <w:spacing w:line="560" w:lineRule="exact"/>
              <w:outlineLvl w:val="9"/>
              <w:rPr>
                <w:rFonts w:ascii="仿宋" w:hAnsi="仿宋" w:eastAsia="仿宋"/>
                <w:color w:val="auto"/>
                <w:sz w:val="24"/>
              </w:rPr>
            </w:pPr>
          </w:p>
        </w:tc>
      </w:tr>
      <w:tr w14:paraId="6C0CF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7B172FD9">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2.12.4</w:t>
            </w:r>
          </w:p>
        </w:tc>
        <w:tc>
          <w:tcPr>
            <w:tcW w:w="7557" w:type="dxa"/>
            <w:tcBorders>
              <w:top w:val="single" w:color="auto" w:sz="6" w:space="0"/>
              <w:left w:val="single" w:color="auto" w:sz="6" w:space="0"/>
              <w:bottom w:val="single" w:color="auto" w:sz="6" w:space="0"/>
              <w:right w:val="single" w:color="auto" w:sz="6" w:space="0"/>
            </w:tcBorders>
            <w:vAlign w:val="center"/>
          </w:tcPr>
          <w:p w14:paraId="37A29CA9">
            <w:pPr>
              <w:spacing w:line="560" w:lineRule="exact"/>
              <w:outlineLvl w:val="9"/>
              <w:rPr>
                <w:rFonts w:ascii="仿宋" w:hAnsi="仿宋" w:eastAsia="仿宋"/>
                <w:color w:val="auto"/>
                <w:sz w:val="24"/>
              </w:rPr>
            </w:pPr>
          </w:p>
        </w:tc>
      </w:tr>
      <w:tr w14:paraId="5DAA1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209AFFD1">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2.16.1</w:t>
            </w:r>
          </w:p>
        </w:tc>
        <w:tc>
          <w:tcPr>
            <w:tcW w:w="7557" w:type="dxa"/>
            <w:tcBorders>
              <w:top w:val="single" w:color="auto" w:sz="6" w:space="0"/>
              <w:left w:val="single" w:color="auto" w:sz="6" w:space="0"/>
              <w:bottom w:val="single" w:color="auto" w:sz="6" w:space="0"/>
              <w:right w:val="single" w:color="auto" w:sz="6" w:space="0"/>
            </w:tcBorders>
            <w:vAlign w:val="center"/>
          </w:tcPr>
          <w:p w14:paraId="3A41D24B">
            <w:pPr>
              <w:spacing w:line="560" w:lineRule="exact"/>
              <w:outlineLvl w:val="9"/>
              <w:rPr>
                <w:rFonts w:ascii="仿宋" w:hAnsi="仿宋" w:eastAsia="仿宋"/>
                <w:color w:val="auto"/>
                <w:sz w:val="24"/>
              </w:rPr>
            </w:pPr>
          </w:p>
        </w:tc>
      </w:tr>
      <w:tr w14:paraId="01417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78DF500D">
            <w:pPr>
              <w:spacing w:line="240" w:lineRule="auto"/>
              <w:ind w:left="0" w:leftChars="0" w:right="0" w:rightChars="0" w:firstLine="0" w:firstLineChars="0"/>
              <w:jc w:val="center"/>
              <w:rPr>
                <w:rFonts w:hint="eastAsia" w:ascii="仿宋" w:hAnsi="仿宋" w:eastAsia="仿宋" w:cs="仿宋"/>
                <w:color w:val="auto"/>
                <w:sz w:val="22"/>
                <w:szCs w:val="21"/>
              </w:rPr>
            </w:pPr>
            <w:r>
              <w:rPr>
                <w:rFonts w:hint="eastAsia" w:ascii="仿宋" w:hAnsi="仿宋" w:eastAsia="仿宋" w:cs="仿宋"/>
                <w:color w:val="auto"/>
                <w:sz w:val="22"/>
                <w:szCs w:val="21"/>
              </w:rPr>
              <w:t>2.16.3</w:t>
            </w:r>
          </w:p>
        </w:tc>
        <w:tc>
          <w:tcPr>
            <w:tcW w:w="7557" w:type="dxa"/>
            <w:tcBorders>
              <w:top w:val="single" w:color="auto" w:sz="6" w:space="0"/>
              <w:left w:val="single" w:color="auto" w:sz="6" w:space="0"/>
              <w:bottom w:val="single" w:color="auto" w:sz="6" w:space="0"/>
              <w:right w:val="single" w:color="auto" w:sz="6" w:space="0"/>
            </w:tcBorders>
            <w:vAlign w:val="center"/>
          </w:tcPr>
          <w:p w14:paraId="7E3AB5B3">
            <w:pPr>
              <w:spacing w:line="560" w:lineRule="exact"/>
              <w:outlineLvl w:val="9"/>
              <w:rPr>
                <w:rFonts w:ascii="仿宋" w:hAnsi="仿宋" w:eastAsia="仿宋"/>
                <w:color w:val="auto"/>
                <w:sz w:val="24"/>
              </w:rPr>
            </w:pPr>
          </w:p>
        </w:tc>
      </w:tr>
    </w:tbl>
    <w:p w14:paraId="3A1FB6CD">
      <w:pPr>
        <w:pStyle w:val="5"/>
        <w:spacing w:before="50"/>
        <w:ind w:left="1215"/>
        <w:rPr>
          <w:rFonts w:ascii="仿宋" w:hAnsi="仿宋" w:eastAsia="仿宋" w:cs="仿宋"/>
          <w:color w:val="auto"/>
        </w:rPr>
      </w:pPr>
      <w:r>
        <w:rPr>
          <w:color w:val="auto"/>
        </w:rPr>
        <w:br w:type="page"/>
      </w:r>
      <w:bookmarkStart w:id="365" w:name="_Toc2098"/>
      <w:bookmarkStart w:id="366" w:name="_Toc8923"/>
      <w:r>
        <w:rPr>
          <w:rFonts w:hint="eastAsia" w:ascii="仿宋" w:hAnsi="仿宋" w:eastAsia="仿宋" w:cs="仿宋"/>
          <w:color w:val="auto"/>
        </w:rPr>
        <w:t xml:space="preserve">第六章 </w:t>
      </w:r>
      <w:r>
        <w:rPr>
          <w:rFonts w:hint="eastAsia" w:ascii="仿宋" w:hAnsi="仿宋" w:eastAsia="仿宋" w:cs="仿宋"/>
          <w:color w:val="auto"/>
          <w:lang w:val="en-US"/>
        </w:rPr>
        <w:t xml:space="preserve"> </w:t>
      </w:r>
      <w:bookmarkEnd w:id="365"/>
      <w:r>
        <w:rPr>
          <w:rFonts w:hint="eastAsia" w:ascii="仿宋" w:hAnsi="仿宋" w:eastAsia="仿宋" w:cs="仿宋"/>
          <w:color w:val="auto"/>
          <w:lang w:val="en-US"/>
        </w:rPr>
        <w:t>应提交的有关格式范例</w:t>
      </w:r>
      <w:bookmarkEnd w:id="366"/>
    </w:p>
    <w:p w14:paraId="6885FD87">
      <w:pPr>
        <w:pStyle w:val="2"/>
        <w:spacing w:line="360" w:lineRule="auto"/>
        <w:ind w:firstLine="442" w:firstLineChars="200"/>
        <w:rPr>
          <w:rFonts w:ascii="仿宋" w:hAnsi="仿宋" w:eastAsia="仿宋" w:cs="仿宋"/>
          <w:b/>
          <w:bCs/>
          <w:color w:val="auto"/>
          <w:sz w:val="22"/>
          <w:szCs w:val="22"/>
        </w:rPr>
      </w:pPr>
    </w:p>
    <w:p w14:paraId="0E954777">
      <w:pPr>
        <w:pStyle w:val="2"/>
        <w:spacing w:line="360" w:lineRule="auto"/>
        <w:ind w:firstLine="442" w:firstLineChars="200"/>
        <w:rPr>
          <w:rFonts w:ascii="仿宋" w:hAnsi="仿宋" w:eastAsia="仿宋" w:cs="仿宋"/>
          <w:b/>
          <w:bCs/>
          <w:color w:val="auto"/>
          <w:sz w:val="22"/>
          <w:szCs w:val="22"/>
        </w:rPr>
      </w:pPr>
    </w:p>
    <w:p w14:paraId="11B23C07">
      <w:pPr>
        <w:pStyle w:val="2"/>
        <w:spacing w:line="360" w:lineRule="auto"/>
        <w:ind w:firstLine="482" w:firstLineChars="200"/>
        <w:rPr>
          <w:rFonts w:ascii="仿宋" w:hAnsi="仿宋" w:eastAsia="仿宋" w:cs="仿宋"/>
          <w:b/>
          <w:color w:val="auto"/>
        </w:rPr>
      </w:pPr>
      <w:r>
        <w:rPr>
          <w:rFonts w:hint="eastAsia" w:ascii="仿宋" w:hAnsi="仿宋" w:eastAsia="仿宋" w:cs="仿宋"/>
          <w:b/>
          <w:bCs/>
          <w:color w:val="auto"/>
        </w:rPr>
        <w:t>▲</w:t>
      </w:r>
      <w:r>
        <w:rPr>
          <w:rFonts w:hint="eastAsia" w:ascii="仿宋" w:hAnsi="仿宋" w:eastAsia="仿宋" w:cs="仿宋"/>
          <w:b/>
          <w:bCs/>
          <w:color w:val="auto"/>
          <w:lang w:val="en-US"/>
        </w:rPr>
        <w:t>注：本《</w:t>
      </w:r>
      <w:r>
        <w:rPr>
          <w:rFonts w:hint="eastAsia" w:ascii="仿宋" w:hAnsi="仿宋" w:eastAsia="仿宋" w:cs="仿宋"/>
          <w:b/>
          <w:bCs/>
          <w:color w:val="auto"/>
          <w:lang w:val="en-US" w:eastAsia="zh-CN"/>
        </w:rPr>
        <w:t>招标</w:t>
      </w:r>
      <w:r>
        <w:rPr>
          <w:rFonts w:hint="eastAsia" w:ascii="仿宋" w:hAnsi="仿宋" w:eastAsia="仿宋" w:cs="仿宋"/>
          <w:b/>
          <w:bCs/>
          <w:color w:val="auto"/>
          <w:lang w:val="en-US"/>
        </w:rPr>
        <w:t>文件》中提供投标格式，各投标人应参照格式制作，未提供格式的，请各投标人自行拟定格式，加盖</w:t>
      </w:r>
      <w:r>
        <w:rPr>
          <w:rFonts w:hint="eastAsia" w:ascii="仿宋" w:hAnsi="仿宋" w:eastAsia="仿宋" w:cs="仿宋"/>
          <w:b/>
          <w:bCs/>
          <w:color w:val="auto"/>
          <w:lang w:val="en-US" w:eastAsia="zh-CN"/>
        </w:rPr>
        <w:t>投标人</w:t>
      </w:r>
      <w:r>
        <w:rPr>
          <w:rFonts w:hint="eastAsia" w:ascii="仿宋" w:hAnsi="仿宋" w:eastAsia="仿宋" w:cs="仿宋"/>
          <w:b/>
          <w:bCs/>
          <w:color w:val="auto"/>
          <w:lang w:val="en-US"/>
        </w:rPr>
        <w:t>电子公章。</w:t>
      </w:r>
    </w:p>
    <w:p w14:paraId="013BFC17">
      <w:pPr>
        <w:spacing w:line="360" w:lineRule="auto"/>
        <w:ind w:left="0" w:firstLine="440" w:firstLineChars="200"/>
        <w:outlineLvl w:val="9"/>
        <w:rPr>
          <w:rFonts w:ascii="仿宋" w:hAnsi="仿宋" w:eastAsia="仿宋" w:cs="仿宋"/>
          <w:color w:val="auto"/>
        </w:rPr>
      </w:pPr>
      <w:bookmarkStart w:id="367" w:name="▲资格审查文件内容："/>
      <w:bookmarkEnd w:id="367"/>
    </w:p>
    <w:p w14:paraId="3B62F08D">
      <w:pPr>
        <w:spacing w:line="360" w:lineRule="auto"/>
        <w:ind w:left="0" w:firstLine="440" w:firstLineChars="200"/>
        <w:outlineLvl w:val="9"/>
        <w:rPr>
          <w:rFonts w:ascii="仿宋" w:hAnsi="仿宋" w:eastAsia="仿宋" w:cs="仿宋"/>
          <w:color w:val="auto"/>
        </w:rPr>
      </w:pPr>
    </w:p>
    <w:p w14:paraId="673847DB">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▲资格审查文件内容：</w:t>
      </w:r>
      <w:bookmarkStart w:id="368" w:name="（1）法定代表人资格证明书（附身份证复印件）"/>
      <w:bookmarkEnd w:id="368"/>
    </w:p>
    <w:p w14:paraId="57755930">
      <w:pPr>
        <w:pStyle w:val="2"/>
        <w:numPr>
          <w:ilvl w:val="0"/>
          <w:numId w:val="0"/>
        </w:numPr>
        <w:spacing w:line="360" w:lineRule="auto"/>
        <w:ind w:firstLine="482" w:firstLineChars="200"/>
        <w:rPr>
          <w:rFonts w:ascii="仿宋" w:hAnsi="仿宋" w:eastAsia="仿宋" w:cs="仿宋"/>
          <w:b/>
          <w:bCs/>
          <w:color w:val="auto"/>
          <w:lang w:val="en-US"/>
        </w:rPr>
      </w:pPr>
      <w:bookmarkStart w:id="369" w:name="（2）法定代表人授权委托书（附身份证复印件）"/>
      <w:bookmarkEnd w:id="369"/>
      <w:r>
        <w:rPr>
          <w:rFonts w:hint="eastAsia" w:ascii="仿宋" w:hAnsi="仿宋" w:eastAsia="仿宋" w:cs="仿宋"/>
          <w:b/>
          <w:bCs/>
          <w:color w:val="auto"/>
          <w:u w:val="single"/>
          <w:lang w:val="en-US" w:eastAsia="zh-CN"/>
        </w:rPr>
        <w:t>（1）</w:t>
      </w:r>
      <w:r>
        <w:rPr>
          <w:rFonts w:hint="eastAsia" w:ascii="仿宋" w:hAnsi="仿宋" w:eastAsia="仿宋" w:cs="仿宋"/>
          <w:b/>
          <w:bCs/>
          <w:color w:val="auto"/>
          <w:u w:val="single"/>
          <w:lang w:val="en-US"/>
        </w:rPr>
        <w:t>营业执照（或事业单位法人证书或执业许可证或自然人有效身份证明）</w:t>
      </w:r>
    </w:p>
    <w:p w14:paraId="2EF7F9D6">
      <w:pPr>
        <w:pStyle w:val="2"/>
        <w:spacing w:line="360" w:lineRule="auto"/>
        <w:ind w:firstLine="482" w:firstLineChars="200"/>
        <w:rPr>
          <w:rFonts w:ascii="仿宋" w:hAnsi="仿宋" w:eastAsia="仿宋" w:cs="仿宋"/>
          <w:color w:val="auto"/>
          <w:lang w:val="en-US"/>
        </w:rPr>
      </w:pPr>
      <w:r>
        <w:rPr>
          <w:rFonts w:hint="eastAsia" w:ascii="仿宋" w:hAnsi="仿宋" w:eastAsia="仿宋" w:cs="仿宋"/>
          <w:b/>
          <w:bCs/>
          <w:color w:val="auto"/>
          <w:lang w:val="en-US"/>
        </w:rPr>
        <w:t>提示和说明：</w:t>
      </w:r>
      <w:r>
        <w:rPr>
          <w:rFonts w:hint="eastAsia" w:ascii="仿宋" w:hAnsi="仿宋" w:eastAsia="仿宋" w:cs="仿宋"/>
          <w:color w:val="auto"/>
          <w:lang w:val="en-US"/>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6A3C9063">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1F2A1C79">
      <w:pPr>
        <w:pStyle w:val="2"/>
        <w:numPr>
          <w:ilvl w:val="0"/>
          <w:numId w:val="0"/>
        </w:numPr>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rPr>
        <w:t>（2）符合参加政府采购活动应当具备的一般条件的承诺函</w:t>
      </w:r>
      <w:r>
        <w:rPr>
          <w:rFonts w:hint="eastAsia" w:ascii="仿宋" w:hAnsi="仿宋" w:eastAsia="仿宋" w:cs="仿宋"/>
          <w:color w:val="auto"/>
          <w:lang w:val="en-US" w:eastAsia="zh-CN"/>
        </w:rPr>
        <w:t>。</w:t>
      </w:r>
    </w:p>
    <w:p w14:paraId="50AA3EB9">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lang w:val="en-US"/>
        </w:rPr>
      </w:pPr>
    </w:p>
    <w:p w14:paraId="5FB94EE3">
      <w:pPr>
        <w:spacing w:line="360" w:lineRule="auto"/>
        <w:ind w:firstLine="482" w:firstLineChars="200"/>
        <w:rPr>
          <w:rFonts w:ascii="仿宋" w:hAnsi="仿宋" w:eastAsia="仿宋" w:cs="仿宋"/>
          <w:b/>
          <w:bCs/>
          <w:color w:val="auto"/>
          <w:sz w:val="24"/>
          <w:szCs w:val="24"/>
          <w:lang w:val="en-US"/>
        </w:rPr>
      </w:pPr>
    </w:p>
    <w:p w14:paraId="39C8737C">
      <w:pPr>
        <w:spacing w:line="360" w:lineRule="auto"/>
        <w:ind w:firstLine="440" w:firstLineChars="200"/>
        <w:rPr>
          <w:color w:val="auto"/>
        </w:rPr>
      </w:pPr>
      <w:r>
        <w:rPr>
          <w:color w:val="auto"/>
        </w:rPr>
        <w:br w:type="page"/>
      </w:r>
    </w:p>
    <w:p w14:paraId="1F8A7ED9">
      <w:pPr>
        <w:spacing w:line="360" w:lineRule="auto"/>
        <w:ind w:right="17"/>
        <w:jc w:val="center"/>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）符合参加政府采购活动应当具备的一般条件的承诺函</w:t>
      </w:r>
    </w:p>
    <w:p w14:paraId="0BF5DA12">
      <w:pPr>
        <w:pStyle w:val="15"/>
        <w:spacing w:line="360" w:lineRule="auto"/>
        <w:rPr>
          <w:rFonts w:hint="eastAsia" w:ascii="仿宋" w:hAnsi="仿宋" w:eastAsia="仿宋" w:cs="仿宋"/>
          <w:bCs/>
          <w:color w:val="auto"/>
          <w:sz w:val="32"/>
          <w:szCs w:val="32"/>
        </w:rPr>
      </w:pPr>
    </w:p>
    <w:p w14:paraId="50FF6EA2">
      <w:pPr>
        <w:keepNext w:val="0"/>
        <w:keepLines w:val="0"/>
        <w:pageBreakBefore w:val="0"/>
        <w:widowControl w:val="0"/>
        <w:kinsoku/>
        <w:wordWrap w:val="0"/>
        <w:overflowPunct/>
        <w:topLinePunct w:val="0"/>
        <w:autoSpaceDE w:val="0"/>
        <w:autoSpaceDN w:val="0"/>
        <w:bidi w:val="0"/>
        <w:adjustRightInd/>
        <w:snapToGrid w:val="0"/>
        <w:spacing w:line="360" w:lineRule="auto"/>
        <w:textAlignment w:val="auto"/>
        <w:rPr>
          <w:rFonts w:hint="eastAsia" w:ascii="仿宋" w:hAnsi="仿宋" w:eastAsia="仿宋" w:cs="仿宋"/>
          <w:color w:val="auto"/>
          <w:sz w:val="24"/>
          <w:szCs w:val="22"/>
        </w:rPr>
      </w:pPr>
      <w:r>
        <w:rPr>
          <w:rFonts w:hint="eastAsia" w:ascii="仿宋" w:hAnsi="仿宋" w:eastAsia="仿宋" w:cs="仿宋"/>
          <w:color w:val="auto"/>
          <w:sz w:val="24"/>
          <w:szCs w:val="22"/>
          <w:u w:val="single"/>
          <w:lang w:val="en-US" w:eastAsia="zh-CN"/>
        </w:rPr>
        <w:t>龙港市世纪中学</w:t>
      </w:r>
      <w:r>
        <w:rPr>
          <w:rFonts w:hint="eastAsia" w:ascii="仿宋" w:hAnsi="仿宋" w:eastAsia="仿宋" w:cs="仿宋"/>
          <w:color w:val="auto"/>
          <w:sz w:val="24"/>
          <w:szCs w:val="22"/>
          <w:u w:val="single"/>
        </w:rPr>
        <w:t>、</w:t>
      </w:r>
      <w:r>
        <w:rPr>
          <w:rFonts w:hint="eastAsia" w:ascii="仿宋" w:hAnsi="仿宋" w:eastAsia="仿宋" w:cs="仿宋"/>
          <w:color w:val="auto"/>
          <w:sz w:val="24"/>
          <w:szCs w:val="22"/>
          <w:u w:val="single"/>
          <w:lang w:eastAsia="zh-CN"/>
        </w:rPr>
        <w:t>浙江东瓯工程造价咨询有限公司</w:t>
      </w:r>
      <w:r>
        <w:rPr>
          <w:rFonts w:hint="eastAsia" w:ascii="仿宋" w:hAnsi="仿宋" w:eastAsia="仿宋" w:cs="仿宋"/>
          <w:color w:val="auto"/>
          <w:sz w:val="24"/>
          <w:szCs w:val="22"/>
          <w:u w:val="single"/>
        </w:rPr>
        <w:t>：</w:t>
      </w:r>
    </w:p>
    <w:p w14:paraId="6F33ED16">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我方参与</w:t>
      </w:r>
      <w:r>
        <w:rPr>
          <w:rFonts w:hint="eastAsia" w:ascii="仿宋" w:hAnsi="仿宋" w:eastAsia="仿宋" w:cs="仿宋"/>
          <w:color w:val="auto"/>
          <w:sz w:val="24"/>
          <w:szCs w:val="22"/>
          <w:lang w:eastAsia="zh-CN"/>
        </w:rPr>
        <w:t>龙港市世纪中学功能教室设备仪器采购项目</w:t>
      </w:r>
      <w:r>
        <w:rPr>
          <w:rFonts w:hint="eastAsia" w:ascii="仿宋" w:hAnsi="仿宋" w:eastAsia="仿宋" w:cs="仿宋"/>
          <w:color w:val="auto"/>
          <w:sz w:val="24"/>
          <w:szCs w:val="22"/>
        </w:rPr>
        <w:t>【招标编号：</w:t>
      </w:r>
      <w:r>
        <w:rPr>
          <w:rFonts w:hint="eastAsia" w:ascii="仿宋" w:hAnsi="仿宋" w:eastAsia="仿宋" w:cs="仿宋"/>
          <w:color w:val="auto"/>
          <w:sz w:val="24"/>
          <w:szCs w:val="22"/>
          <w:lang w:eastAsia="zh-CN"/>
        </w:rPr>
        <w:t>LGCG2025129</w:t>
      </w:r>
      <w:r>
        <w:rPr>
          <w:rFonts w:hint="eastAsia" w:ascii="仿宋" w:hAnsi="仿宋" w:eastAsia="仿宋" w:cs="仿宋"/>
          <w:color w:val="auto"/>
          <w:sz w:val="24"/>
          <w:szCs w:val="22"/>
        </w:rPr>
        <w:t>】政府采购活动，郑重承诺：</w:t>
      </w:r>
    </w:p>
    <w:p w14:paraId="0E1AEDFE">
      <w:pPr>
        <w:keepNext w:val="0"/>
        <w:keepLines w:val="0"/>
        <w:pageBreakBefore w:val="0"/>
        <w:widowControl w:val="0"/>
        <w:kinsoku/>
        <w:wordWrap w:val="0"/>
        <w:overflowPunct/>
        <w:topLinePunct w:val="0"/>
        <w:autoSpaceDE w:val="0"/>
        <w:autoSpaceDN w:val="0"/>
        <w:bidi w:val="0"/>
        <w:adjustRightInd/>
        <w:snapToGrid w:val="0"/>
        <w:spacing w:line="360" w:lineRule="auto"/>
        <w:ind w:firstLine="360" w:firstLineChars="15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（一）具备《中华人民共和国政府采购法》第二十二条第一款规定的条件：</w:t>
      </w:r>
    </w:p>
    <w:p w14:paraId="4F39FC93">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1、具有独立承担民事责任的能力；</w:t>
      </w:r>
    </w:p>
    <w:p w14:paraId="0BB90275">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 xml:space="preserve">2、具有良好的商业信誉和健全的财务会计制度； </w:t>
      </w:r>
    </w:p>
    <w:p w14:paraId="5B4E3B8E">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3、具有履行合同所必需的设备和专业技术能力；</w:t>
      </w:r>
    </w:p>
    <w:p w14:paraId="729CB2A9">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4、有依法缴纳税收和社会保障资金的良好记录；</w:t>
      </w:r>
    </w:p>
    <w:p w14:paraId="3F29A40B">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5、参加政府采购活动前三年内，在经营活动中没有重大违法记录；</w:t>
      </w:r>
    </w:p>
    <w:p w14:paraId="1A65EFAA">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6、具有法律、行政法规规定的其他条件。</w:t>
      </w:r>
    </w:p>
    <w:p w14:paraId="735E8546">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（二）未被信用中国（www.creditchina.gov.cn)、中国政府采购网（www.ccgp.gov.cn）列入失信被执行人、重大税收违法案件当事人名单、政府采购严重违法失信行为记录名单。</w:t>
      </w:r>
    </w:p>
    <w:p w14:paraId="670565EA">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（三）不存在以下情况：</w:t>
      </w:r>
    </w:p>
    <w:p w14:paraId="68D2D524">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1、单位负责人为同一人或者存在直接控股、管理关系的不同供应商参加同一合同项下的政府采购活动的；</w:t>
      </w:r>
    </w:p>
    <w:p w14:paraId="58415E63">
      <w:pPr>
        <w:keepNext w:val="0"/>
        <w:keepLines w:val="0"/>
        <w:pageBreakBefore w:val="0"/>
        <w:widowControl w:val="0"/>
        <w:kinsoku/>
        <w:wordWrap w:val="0"/>
        <w:overflowPunct/>
        <w:topLinePunct w:val="0"/>
        <w:autoSpaceDE w:val="0"/>
        <w:autoSpaceDN w:val="0"/>
        <w:bidi w:val="0"/>
        <w:adjustRightInd/>
        <w:snapToGrid w:val="0"/>
        <w:spacing w:line="360" w:lineRule="auto"/>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2、为采购项目提供整体设计、规范编制或者项目管理、监理、检测等服务后再参加该采购项目的其他采购活动的。</w:t>
      </w:r>
    </w:p>
    <w:p w14:paraId="74E718A1">
      <w:pPr>
        <w:keepNext w:val="0"/>
        <w:keepLines w:val="0"/>
        <w:pageBreakBefore w:val="0"/>
        <w:widowControl w:val="0"/>
        <w:kinsoku/>
        <w:wordWrap w:val="0"/>
        <w:overflowPunct/>
        <w:topLinePunct w:val="0"/>
        <w:autoSpaceDE w:val="0"/>
        <w:autoSpaceDN w:val="0"/>
        <w:bidi w:val="0"/>
        <w:adjustRightInd/>
        <w:snapToGrid w:val="0"/>
        <w:spacing w:line="360" w:lineRule="auto"/>
        <w:ind w:firstLine="5520" w:firstLineChars="2300"/>
        <w:textAlignment w:val="auto"/>
        <w:rPr>
          <w:rFonts w:hint="eastAsia" w:ascii="仿宋" w:hAnsi="仿宋" w:eastAsia="仿宋" w:cs="仿宋"/>
          <w:color w:val="auto"/>
          <w:kern w:val="0"/>
          <w:sz w:val="24"/>
          <w:szCs w:val="22"/>
          <w:lang w:val="zh-CN"/>
        </w:rPr>
      </w:pPr>
    </w:p>
    <w:p w14:paraId="190CED4D">
      <w:pPr>
        <w:keepNext w:val="0"/>
        <w:keepLines w:val="0"/>
        <w:pageBreakBefore w:val="0"/>
        <w:widowControl w:val="0"/>
        <w:kinsoku/>
        <w:wordWrap w:val="0"/>
        <w:overflowPunct/>
        <w:topLinePunct w:val="0"/>
        <w:autoSpaceDE w:val="0"/>
        <w:autoSpaceDN w:val="0"/>
        <w:bidi w:val="0"/>
        <w:adjustRightInd/>
        <w:snapToGrid w:val="0"/>
        <w:spacing w:line="360" w:lineRule="auto"/>
        <w:ind w:firstLine="5520" w:firstLineChars="2300"/>
        <w:textAlignment w:val="auto"/>
        <w:rPr>
          <w:rFonts w:hint="eastAsia" w:ascii="仿宋" w:hAnsi="仿宋" w:eastAsia="仿宋" w:cs="仿宋"/>
          <w:color w:val="auto"/>
          <w:kern w:val="0"/>
          <w:sz w:val="24"/>
          <w:szCs w:val="22"/>
        </w:rPr>
      </w:pPr>
      <w:r>
        <w:rPr>
          <w:rFonts w:hint="eastAsia" w:ascii="仿宋" w:hAnsi="仿宋" w:eastAsia="仿宋" w:cs="仿宋"/>
          <w:color w:val="auto"/>
          <w:kern w:val="0"/>
          <w:sz w:val="24"/>
          <w:szCs w:val="22"/>
          <w:lang w:val="zh-CN"/>
        </w:rPr>
        <w:t>投标人名称(电子签名)：</w:t>
      </w:r>
    </w:p>
    <w:p w14:paraId="1F6A8926">
      <w:pPr>
        <w:keepNext w:val="0"/>
        <w:keepLines w:val="0"/>
        <w:pageBreakBefore w:val="0"/>
        <w:widowControl w:val="0"/>
        <w:kinsoku/>
        <w:wordWrap w:val="0"/>
        <w:overflowPunct/>
        <w:topLinePunct w:val="0"/>
        <w:autoSpaceDE w:val="0"/>
        <w:autoSpaceDN w:val="0"/>
        <w:bidi w:val="0"/>
        <w:adjustRightInd/>
        <w:snapToGrid w:val="0"/>
        <w:spacing w:line="360" w:lineRule="auto"/>
        <w:textAlignment w:val="auto"/>
        <w:rPr>
          <w:rFonts w:hint="eastAsia" w:ascii="仿宋" w:hAnsi="仿宋" w:eastAsia="仿宋" w:cs="仿宋"/>
          <w:color w:val="auto"/>
          <w:kern w:val="0"/>
          <w:sz w:val="28"/>
          <w:szCs w:val="24"/>
        </w:rPr>
      </w:pPr>
      <w:r>
        <w:rPr>
          <w:rFonts w:hint="eastAsia" w:ascii="仿宋" w:hAnsi="仿宋" w:eastAsia="仿宋" w:cs="仿宋"/>
          <w:color w:val="auto"/>
          <w:kern w:val="0"/>
          <w:sz w:val="24"/>
          <w:szCs w:val="22"/>
          <w:lang w:val="zh-CN"/>
        </w:rPr>
        <w:t xml:space="preserve">                        </w:t>
      </w:r>
      <w:r>
        <w:rPr>
          <w:rFonts w:hint="eastAsia" w:ascii="仿宋" w:hAnsi="仿宋" w:eastAsia="仿宋" w:cs="仿宋"/>
          <w:color w:val="auto"/>
          <w:kern w:val="0"/>
          <w:sz w:val="24"/>
          <w:szCs w:val="22"/>
        </w:rPr>
        <w:t xml:space="preserve">                      </w:t>
      </w:r>
      <w:r>
        <w:rPr>
          <w:rFonts w:hint="eastAsia" w:ascii="仿宋" w:hAnsi="仿宋" w:eastAsia="仿宋" w:cs="仿宋"/>
          <w:color w:val="auto"/>
          <w:kern w:val="0"/>
          <w:sz w:val="24"/>
          <w:szCs w:val="22"/>
          <w:lang w:val="zh-CN"/>
        </w:rPr>
        <w:t>日期</w:t>
      </w:r>
      <w:r>
        <w:rPr>
          <w:rFonts w:hint="eastAsia" w:ascii="仿宋" w:hAnsi="仿宋" w:eastAsia="仿宋" w:cs="仿宋"/>
          <w:color w:val="auto"/>
          <w:kern w:val="0"/>
          <w:sz w:val="24"/>
          <w:szCs w:val="22"/>
        </w:rPr>
        <w:t xml:space="preserve">：  年  </w:t>
      </w:r>
      <w:r>
        <w:rPr>
          <w:rFonts w:hint="eastAsia" w:ascii="仿宋" w:hAnsi="仿宋" w:eastAsia="仿宋" w:cs="仿宋"/>
          <w:color w:val="auto"/>
          <w:kern w:val="0"/>
          <w:sz w:val="24"/>
          <w:szCs w:val="22"/>
          <w:lang w:val="zh-CN"/>
        </w:rPr>
        <w:t>月</w:t>
      </w:r>
      <w:r>
        <w:rPr>
          <w:rFonts w:hint="eastAsia" w:ascii="仿宋" w:hAnsi="仿宋" w:eastAsia="仿宋" w:cs="仿宋"/>
          <w:color w:val="auto"/>
          <w:kern w:val="0"/>
          <w:sz w:val="24"/>
          <w:szCs w:val="22"/>
        </w:rPr>
        <w:t xml:space="preserve">   </w:t>
      </w:r>
      <w:r>
        <w:rPr>
          <w:rFonts w:hint="eastAsia" w:ascii="仿宋" w:hAnsi="仿宋" w:eastAsia="仿宋" w:cs="仿宋"/>
          <w:color w:val="auto"/>
          <w:kern w:val="0"/>
          <w:sz w:val="24"/>
          <w:szCs w:val="22"/>
          <w:lang w:val="zh-CN"/>
        </w:rPr>
        <w:t>日</w:t>
      </w:r>
    </w:p>
    <w:p w14:paraId="7C75FC68">
      <w:pPr>
        <w:ind w:firstLine="7040" w:firstLineChars="2200"/>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79E9E6E">
      <w:pPr>
        <w:rPr>
          <w:rFonts w:ascii="仿宋" w:hAnsi="仿宋" w:eastAsia="仿宋" w:cs="仿宋"/>
          <w:color w:val="auto"/>
        </w:rPr>
      </w:pPr>
      <w:r>
        <w:rPr>
          <w:rFonts w:hint="eastAsia" w:ascii="仿宋" w:hAnsi="仿宋" w:eastAsia="仿宋" w:cs="仿宋"/>
          <w:color w:val="auto"/>
          <w:sz w:val="28"/>
          <w:szCs w:val="28"/>
        </w:rPr>
        <w:t>封面格式（</w:t>
      </w:r>
      <w:r>
        <w:rPr>
          <w:rFonts w:hint="eastAsia" w:ascii="仿宋" w:hAnsi="仿宋" w:eastAsia="仿宋" w:cs="仿宋"/>
          <w:color w:val="auto"/>
          <w:sz w:val="28"/>
          <w:szCs w:val="28"/>
          <w:lang w:val="en-US"/>
        </w:rPr>
        <w:t>参考</w:t>
      </w:r>
      <w:r>
        <w:rPr>
          <w:rFonts w:hint="eastAsia" w:ascii="仿宋" w:hAnsi="仿宋" w:eastAsia="仿宋" w:cs="仿宋"/>
          <w:color w:val="auto"/>
          <w:sz w:val="28"/>
          <w:szCs w:val="28"/>
        </w:rPr>
        <w:t>）</w:t>
      </w:r>
    </w:p>
    <w:p w14:paraId="03871E33">
      <w:pPr>
        <w:pStyle w:val="2"/>
        <w:rPr>
          <w:rFonts w:ascii="仿宋" w:hAnsi="仿宋" w:eastAsia="仿宋" w:cs="仿宋"/>
          <w:color w:val="auto"/>
          <w:sz w:val="20"/>
        </w:rPr>
      </w:pPr>
    </w:p>
    <w:p w14:paraId="420DE3E9">
      <w:pPr>
        <w:pStyle w:val="2"/>
        <w:rPr>
          <w:rFonts w:ascii="仿宋" w:hAnsi="仿宋" w:eastAsia="仿宋" w:cs="仿宋"/>
          <w:color w:val="auto"/>
          <w:sz w:val="20"/>
        </w:rPr>
      </w:pPr>
    </w:p>
    <w:p w14:paraId="1AB70AB1">
      <w:pPr>
        <w:pStyle w:val="2"/>
        <w:rPr>
          <w:rFonts w:ascii="仿宋" w:hAnsi="仿宋" w:eastAsia="仿宋" w:cs="仿宋"/>
          <w:color w:val="auto"/>
          <w:sz w:val="15"/>
        </w:rPr>
      </w:pPr>
    </w:p>
    <w:p w14:paraId="3A3E330B">
      <w:pPr>
        <w:jc w:val="center"/>
        <w:rPr>
          <w:rFonts w:hint="eastAsia" w:ascii="仿宋" w:hAnsi="仿宋" w:eastAsia="仿宋" w:cs="仿宋"/>
          <w:color w:val="auto"/>
          <w:sz w:val="52"/>
          <w:lang w:eastAsia="zh-CN"/>
        </w:rPr>
      </w:pPr>
      <w:r>
        <w:rPr>
          <w:rFonts w:hint="eastAsia" w:ascii="仿宋" w:hAnsi="仿宋" w:eastAsia="仿宋" w:cs="仿宋"/>
          <w:color w:val="auto"/>
          <w:sz w:val="48"/>
          <w:szCs w:val="21"/>
          <w:lang w:eastAsia="zh-CN"/>
        </w:rPr>
        <w:t>龙港市世纪中学功能教室设备仪器采购项目</w:t>
      </w:r>
    </w:p>
    <w:p w14:paraId="19D38177">
      <w:pPr>
        <w:pStyle w:val="2"/>
        <w:spacing w:before="3"/>
        <w:rPr>
          <w:rFonts w:ascii="仿宋" w:hAnsi="仿宋" w:eastAsia="仿宋" w:cs="仿宋"/>
          <w:color w:val="auto"/>
          <w:sz w:val="41"/>
        </w:rPr>
      </w:pPr>
    </w:p>
    <w:p w14:paraId="7A441151">
      <w:pPr>
        <w:ind w:left="1222" w:right="1134"/>
        <w:jc w:val="center"/>
        <w:rPr>
          <w:rFonts w:hint="eastAsia" w:ascii="仿宋" w:hAnsi="仿宋" w:eastAsia="仿宋" w:cs="仿宋"/>
          <w:color w:val="auto"/>
          <w:sz w:val="36"/>
          <w:lang w:val="en-US" w:eastAsia="zh-CN"/>
        </w:rPr>
      </w:pPr>
      <w:r>
        <w:rPr>
          <w:rFonts w:hint="eastAsia" w:ascii="仿宋" w:hAnsi="仿宋" w:eastAsia="仿宋" w:cs="仿宋"/>
          <w:color w:val="auto"/>
          <w:sz w:val="36"/>
        </w:rPr>
        <w:t>项目编号：</w:t>
      </w:r>
      <w:r>
        <w:rPr>
          <w:rFonts w:hint="eastAsia" w:ascii="仿宋" w:hAnsi="仿宋" w:eastAsia="仿宋" w:cs="仿宋"/>
          <w:color w:val="auto"/>
          <w:sz w:val="36"/>
          <w:lang w:val="en-US" w:eastAsia="zh-CN"/>
        </w:rPr>
        <w:t>LGCG2025129</w:t>
      </w:r>
    </w:p>
    <w:p w14:paraId="5565BD24">
      <w:pPr>
        <w:pStyle w:val="2"/>
        <w:rPr>
          <w:rFonts w:ascii="仿宋" w:hAnsi="仿宋" w:eastAsia="仿宋" w:cs="仿宋"/>
          <w:color w:val="auto"/>
          <w:sz w:val="36"/>
        </w:rPr>
      </w:pPr>
    </w:p>
    <w:p w14:paraId="2839393B">
      <w:pPr>
        <w:pStyle w:val="2"/>
        <w:spacing w:before="7"/>
        <w:rPr>
          <w:rFonts w:ascii="仿宋" w:hAnsi="仿宋" w:eastAsia="仿宋" w:cs="仿宋"/>
          <w:color w:val="auto"/>
          <w:sz w:val="26"/>
        </w:rPr>
      </w:pPr>
    </w:p>
    <w:p w14:paraId="2572E401">
      <w:pPr>
        <w:spacing w:before="1" w:line="352" w:lineRule="auto"/>
        <w:ind w:left="4764" w:right="4758"/>
        <w:jc w:val="both"/>
        <w:rPr>
          <w:rFonts w:ascii="仿宋" w:hAnsi="仿宋" w:eastAsia="仿宋" w:cs="仿宋"/>
          <w:b/>
          <w:color w:val="auto"/>
          <w:sz w:val="52"/>
        </w:rPr>
      </w:pPr>
      <w:r>
        <w:rPr>
          <w:rFonts w:hint="eastAsia" w:ascii="仿宋" w:hAnsi="仿宋" w:eastAsia="仿宋" w:cs="仿宋"/>
          <w:b/>
          <w:color w:val="auto"/>
          <w:sz w:val="52"/>
        </w:rPr>
        <w:t>技术商务文件</w:t>
      </w:r>
    </w:p>
    <w:p w14:paraId="0E3F14F9">
      <w:pPr>
        <w:pStyle w:val="2"/>
        <w:rPr>
          <w:rFonts w:ascii="仿宋" w:hAnsi="仿宋" w:eastAsia="仿宋" w:cs="仿宋"/>
          <w:b/>
          <w:color w:val="auto"/>
          <w:sz w:val="52"/>
        </w:rPr>
      </w:pPr>
    </w:p>
    <w:p w14:paraId="0B40F2D0">
      <w:pPr>
        <w:pStyle w:val="2"/>
        <w:spacing w:before="3"/>
        <w:rPr>
          <w:rFonts w:ascii="仿宋" w:hAnsi="仿宋" w:eastAsia="仿宋" w:cs="仿宋"/>
          <w:b/>
          <w:color w:val="auto"/>
          <w:sz w:val="48"/>
        </w:rPr>
      </w:pPr>
    </w:p>
    <w:p w14:paraId="12B3F6F9">
      <w:pPr>
        <w:spacing w:line="360" w:lineRule="auto"/>
        <w:ind w:firstLine="1400" w:firstLineChars="500"/>
        <w:rPr>
          <w:rFonts w:ascii="仿宋" w:hAnsi="仿宋" w:eastAsia="仿宋" w:cs="仿宋"/>
          <w:color w:val="auto"/>
          <w:sz w:val="28"/>
          <w:szCs w:val="20"/>
        </w:rPr>
      </w:pPr>
      <w:r>
        <w:rPr>
          <w:rFonts w:hint="eastAsia" w:ascii="仿宋" w:hAnsi="仿宋" w:eastAsia="仿宋" w:cs="仿宋"/>
          <w:color w:val="auto"/>
          <w:sz w:val="28"/>
          <w:szCs w:val="20"/>
        </w:rPr>
        <w:t>采购</w:t>
      </w:r>
      <w:r>
        <w:rPr>
          <w:rFonts w:hint="eastAsia" w:ascii="仿宋" w:hAnsi="仿宋" w:eastAsia="仿宋" w:cs="仿宋"/>
          <w:color w:val="auto"/>
          <w:sz w:val="28"/>
          <w:szCs w:val="20"/>
          <w:lang w:val="en-US" w:eastAsia="zh-CN"/>
        </w:rPr>
        <w:t>人名称</w:t>
      </w:r>
      <w:r>
        <w:rPr>
          <w:rFonts w:hint="eastAsia" w:ascii="仿宋" w:hAnsi="仿宋" w:eastAsia="仿宋" w:cs="仿宋"/>
          <w:color w:val="auto"/>
          <w:sz w:val="28"/>
          <w:szCs w:val="20"/>
        </w:rPr>
        <w:t>：</w:t>
      </w:r>
    </w:p>
    <w:p w14:paraId="6FE01C4E">
      <w:pPr>
        <w:tabs>
          <w:tab w:val="left" w:pos="2391"/>
        </w:tabs>
        <w:spacing w:line="360" w:lineRule="auto"/>
        <w:ind w:firstLine="1400" w:firstLineChars="500"/>
        <w:rPr>
          <w:rFonts w:ascii="仿宋" w:hAnsi="仿宋" w:eastAsia="仿宋" w:cs="仿宋"/>
          <w:color w:val="auto"/>
          <w:spacing w:val="-9"/>
          <w:sz w:val="28"/>
          <w:szCs w:val="20"/>
        </w:rPr>
      </w:pPr>
      <w:r>
        <w:rPr>
          <w:rFonts w:hint="eastAsia" w:ascii="仿宋" w:hAnsi="仿宋" w:eastAsia="仿宋" w:cs="仿宋"/>
          <w:color w:val="auto"/>
          <w:sz w:val="28"/>
          <w:szCs w:val="20"/>
        </w:rPr>
        <w:t>投标人名称(电子签名)</w:t>
      </w:r>
      <w:r>
        <w:rPr>
          <w:rFonts w:hint="eastAsia" w:ascii="仿宋" w:hAnsi="仿宋" w:eastAsia="仿宋" w:cs="仿宋"/>
          <w:color w:val="auto"/>
          <w:spacing w:val="-9"/>
          <w:sz w:val="28"/>
          <w:szCs w:val="20"/>
        </w:rPr>
        <w:t>：</w:t>
      </w:r>
    </w:p>
    <w:p w14:paraId="73B18886">
      <w:pPr>
        <w:tabs>
          <w:tab w:val="left" w:pos="2391"/>
        </w:tabs>
        <w:spacing w:line="360" w:lineRule="auto"/>
        <w:ind w:firstLine="1400" w:firstLineChars="500"/>
        <w:rPr>
          <w:rFonts w:ascii="仿宋" w:hAnsi="仿宋" w:eastAsia="仿宋" w:cs="仿宋"/>
          <w:color w:val="auto"/>
          <w:sz w:val="28"/>
          <w:szCs w:val="20"/>
        </w:rPr>
      </w:pPr>
      <w:r>
        <w:rPr>
          <w:rFonts w:hint="eastAsia" w:ascii="仿宋" w:hAnsi="仿宋" w:eastAsia="仿宋" w:cs="仿宋"/>
          <w:color w:val="auto"/>
          <w:sz w:val="28"/>
          <w:szCs w:val="20"/>
        </w:rPr>
        <w:t>地</w:t>
      </w:r>
      <w:r>
        <w:rPr>
          <w:rFonts w:hint="eastAsia" w:ascii="仿宋" w:hAnsi="仿宋" w:eastAsia="仿宋" w:cs="仿宋"/>
          <w:color w:val="auto"/>
          <w:sz w:val="28"/>
          <w:szCs w:val="20"/>
          <w:lang w:val="en-US"/>
        </w:rPr>
        <w:t xml:space="preserve">    </w:t>
      </w:r>
      <w:r>
        <w:rPr>
          <w:rFonts w:hint="eastAsia" w:ascii="仿宋" w:hAnsi="仿宋" w:eastAsia="仿宋" w:cs="仿宋"/>
          <w:color w:val="auto"/>
          <w:sz w:val="28"/>
          <w:szCs w:val="20"/>
        </w:rPr>
        <w:t>址：</w:t>
      </w:r>
    </w:p>
    <w:p w14:paraId="176017F4">
      <w:pPr>
        <w:tabs>
          <w:tab w:val="left" w:pos="2391"/>
        </w:tabs>
        <w:spacing w:line="360" w:lineRule="auto"/>
        <w:ind w:firstLine="1400" w:firstLineChars="500"/>
        <w:rPr>
          <w:color w:val="auto"/>
          <w:sz w:val="36"/>
        </w:rPr>
      </w:pPr>
      <w:r>
        <w:rPr>
          <w:rFonts w:hint="eastAsia" w:ascii="仿宋" w:hAnsi="仿宋" w:eastAsia="仿宋" w:cs="仿宋"/>
          <w:color w:val="auto"/>
          <w:sz w:val="28"/>
          <w:szCs w:val="20"/>
        </w:rPr>
        <w:t>时</w:t>
      </w:r>
      <w:r>
        <w:rPr>
          <w:rFonts w:hint="eastAsia" w:ascii="仿宋" w:hAnsi="仿宋" w:eastAsia="仿宋" w:cs="仿宋"/>
          <w:color w:val="auto"/>
          <w:sz w:val="28"/>
          <w:szCs w:val="20"/>
          <w:lang w:val="en-US"/>
        </w:rPr>
        <w:t xml:space="preserve">    </w:t>
      </w:r>
      <w:r>
        <w:rPr>
          <w:rFonts w:hint="eastAsia" w:ascii="仿宋" w:hAnsi="仿宋" w:eastAsia="仿宋" w:cs="仿宋"/>
          <w:color w:val="auto"/>
          <w:sz w:val="28"/>
          <w:szCs w:val="20"/>
        </w:rPr>
        <w:t>间：</w:t>
      </w:r>
    </w:p>
    <w:p w14:paraId="5BE08611">
      <w:pPr>
        <w:rPr>
          <w:color w:val="auto"/>
        </w:rPr>
      </w:pPr>
      <w:bookmarkStart w:id="370" w:name="▲技术商务文件"/>
      <w:bookmarkEnd w:id="370"/>
      <w:r>
        <w:rPr>
          <w:color w:val="auto"/>
        </w:rPr>
        <w:br w:type="page"/>
      </w:r>
    </w:p>
    <w:p w14:paraId="0EE60103">
      <w:pPr>
        <w:pStyle w:val="2"/>
        <w:rPr>
          <w:color w:val="auto"/>
        </w:rPr>
      </w:pPr>
    </w:p>
    <w:p w14:paraId="02DDE0AA">
      <w:pPr>
        <w:pStyle w:val="2"/>
        <w:rPr>
          <w:color w:val="auto"/>
        </w:rPr>
      </w:pPr>
    </w:p>
    <w:p w14:paraId="68CA3E3A">
      <w:pPr>
        <w:pStyle w:val="2"/>
        <w:spacing w:line="360" w:lineRule="auto"/>
        <w:ind w:firstLine="482" w:firstLineChars="200"/>
        <w:rPr>
          <w:rFonts w:ascii="仿宋" w:hAnsi="仿宋" w:eastAsia="仿宋" w:cs="仿宋"/>
          <w:color w:val="auto"/>
          <w:lang w:val="en-US"/>
        </w:rPr>
      </w:pPr>
      <w:r>
        <w:rPr>
          <w:rFonts w:hint="eastAsia" w:ascii="仿宋" w:hAnsi="仿宋" w:eastAsia="仿宋" w:cs="仿宋"/>
          <w:b/>
          <w:bCs/>
          <w:color w:val="auto"/>
        </w:rPr>
        <w:t>▲技术商务文件</w:t>
      </w:r>
      <w:r>
        <w:rPr>
          <w:rFonts w:hint="eastAsia" w:ascii="仿宋" w:hAnsi="仿宋" w:eastAsia="仿宋" w:cs="仿宋"/>
          <w:b/>
          <w:bCs/>
          <w:color w:val="auto"/>
          <w:lang w:val="en-US"/>
        </w:rPr>
        <w:t>组成内容：</w:t>
      </w:r>
    </w:p>
    <w:p w14:paraId="6E1B4431">
      <w:pPr>
        <w:pStyle w:val="2"/>
        <w:spacing w:line="360" w:lineRule="auto"/>
        <w:ind w:firstLine="480" w:firstLineChars="200"/>
        <w:rPr>
          <w:rFonts w:ascii="仿宋" w:hAnsi="仿宋" w:eastAsia="仿宋" w:cs="仿宋"/>
          <w:color w:val="auto"/>
          <w:lang w:val="en-US"/>
        </w:rPr>
      </w:pPr>
      <w:bookmarkStart w:id="371" w:name="（1）评分对应表（格式见附件，主要用于评委对应评分内容）"/>
      <w:bookmarkEnd w:id="371"/>
      <w:r>
        <w:rPr>
          <w:rFonts w:hint="eastAsia" w:ascii="仿宋" w:hAnsi="仿宋" w:eastAsia="仿宋" w:cs="仿宋"/>
          <w:color w:val="auto"/>
          <w:lang w:val="en-US"/>
        </w:rPr>
        <w:t>（1）评分对应表（格式见附件，主要用于评委对应评分内容）；</w:t>
      </w:r>
    </w:p>
    <w:p w14:paraId="4D4ABB2A">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（2）投标函；</w:t>
      </w:r>
    </w:p>
    <w:p w14:paraId="037DB758">
      <w:pPr>
        <w:pStyle w:val="2"/>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（3）授权委托书或法定代表人（单位负责人、自然人本人）身份证明；</w:t>
      </w:r>
    </w:p>
    <w:p w14:paraId="3FA8E1DE">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4</w:t>
      </w:r>
      <w:r>
        <w:rPr>
          <w:rFonts w:hint="eastAsia" w:ascii="仿宋" w:hAnsi="仿宋" w:eastAsia="仿宋" w:cs="仿宋"/>
          <w:color w:val="auto"/>
          <w:lang w:val="en-US"/>
        </w:rPr>
        <w:t>）技术、商务偏离说明表；</w:t>
      </w:r>
    </w:p>
    <w:p w14:paraId="0704996F">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5</w:t>
      </w:r>
      <w:r>
        <w:rPr>
          <w:rFonts w:hint="eastAsia" w:ascii="仿宋" w:hAnsi="仿宋" w:eastAsia="仿宋" w:cs="仿宋"/>
          <w:color w:val="auto"/>
          <w:lang w:val="en-US"/>
        </w:rPr>
        <w:t>）投标人情况介绍（含企业简介、技术力量、规模、在职人员、荣誉、</w:t>
      </w:r>
      <w:r>
        <w:rPr>
          <w:rFonts w:hint="eastAsia" w:ascii="仿宋" w:hAnsi="仿宋" w:eastAsia="仿宋" w:cs="仿宋"/>
          <w:color w:val="auto"/>
          <w:lang w:val="en-US" w:eastAsia="zh-CN"/>
        </w:rPr>
        <w:t>相关证书、</w:t>
      </w:r>
      <w:r>
        <w:rPr>
          <w:rFonts w:hint="eastAsia" w:ascii="仿宋" w:hAnsi="仿宋" w:eastAsia="仿宋" w:cs="仿宋"/>
          <w:color w:val="auto"/>
          <w:lang w:val="en-US"/>
        </w:rPr>
        <w:t>经营状况等）；</w:t>
      </w:r>
    </w:p>
    <w:p w14:paraId="6C0E00D1">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6</w:t>
      </w:r>
      <w:r>
        <w:rPr>
          <w:rFonts w:hint="eastAsia" w:ascii="仿宋" w:hAnsi="仿宋" w:eastAsia="仿宋" w:cs="仿宋"/>
          <w:color w:val="auto"/>
          <w:lang w:val="en-US"/>
        </w:rPr>
        <w:t>）投标人认为可以证明其能力或业绩的其他材料（提供项目实施情况一览表，并附合同等证明材料复印件或扫描件并加盖公章）；</w:t>
      </w:r>
    </w:p>
    <w:p w14:paraId="4FFA97F7">
      <w:pPr>
        <w:pStyle w:val="2"/>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（7）项目实施人员一览表；</w:t>
      </w:r>
    </w:p>
    <w:p w14:paraId="79405F79">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8</w:t>
      </w:r>
      <w:r>
        <w:rPr>
          <w:rFonts w:hint="eastAsia" w:ascii="仿宋" w:hAnsi="仿宋" w:eastAsia="仿宋" w:cs="仿宋"/>
          <w:color w:val="auto"/>
          <w:lang w:val="en-US"/>
        </w:rPr>
        <w:t>）投标技术、服务方案（对照评分要求编制）；</w:t>
      </w:r>
    </w:p>
    <w:p w14:paraId="695BA926">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9</w:t>
      </w:r>
      <w:r>
        <w:rPr>
          <w:rFonts w:hint="eastAsia" w:ascii="仿宋" w:hAnsi="仿宋" w:eastAsia="仿宋" w:cs="仿宋"/>
          <w:color w:val="auto"/>
          <w:lang w:val="en-US"/>
        </w:rPr>
        <w:t>）售后服务方案：包括本地化服务、服务响应等服务承诺如有前提设定的，应明示，否则将被认为是无条件的；服务如涉及费用，也应明示，否则将被认为是免费的；</w:t>
      </w:r>
    </w:p>
    <w:p w14:paraId="3B794A19">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10</w:t>
      </w:r>
      <w:r>
        <w:rPr>
          <w:rFonts w:hint="eastAsia" w:ascii="仿宋" w:hAnsi="仿宋" w:eastAsia="仿宋" w:cs="仿宋"/>
          <w:color w:val="auto"/>
          <w:lang w:val="en-US"/>
        </w:rPr>
        <w:t>）优惠条件及特殊承诺（含本公司优势）；</w:t>
      </w:r>
    </w:p>
    <w:p w14:paraId="2ABDC1B6">
      <w:pPr>
        <w:pStyle w:val="2"/>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（11）投标人对本项目的合理化建议和改进措施；</w:t>
      </w:r>
    </w:p>
    <w:p w14:paraId="3AEBE17A">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12</w:t>
      </w:r>
      <w:r>
        <w:rPr>
          <w:rFonts w:hint="eastAsia" w:ascii="仿宋" w:hAnsi="仿宋" w:eastAsia="仿宋" w:cs="仿宋"/>
          <w:color w:val="auto"/>
          <w:lang w:val="en-US"/>
        </w:rPr>
        <w:t>）关于对采购文件中有关条款的拒绝声明；</w:t>
      </w:r>
    </w:p>
    <w:p w14:paraId="47C2022E">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13</w:t>
      </w:r>
      <w:r>
        <w:rPr>
          <w:rFonts w:hint="eastAsia" w:ascii="仿宋" w:hAnsi="仿宋" w:eastAsia="仿宋" w:cs="仿宋"/>
          <w:color w:val="auto"/>
          <w:lang w:val="en-US"/>
        </w:rPr>
        <w:t>）投标产品属于政府采购节能、环保产品认证证书（如有，则提供）；</w:t>
      </w:r>
    </w:p>
    <w:p w14:paraId="364D267D">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14</w:t>
      </w:r>
      <w:r>
        <w:rPr>
          <w:rFonts w:hint="eastAsia" w:ascii="仿宋" w:hAnsi="仿宋" w:eastAsia="仿宋" w:cs="仿宋"/>
          <w:color w:val="auto"/>
          <w:lang w:val="en-US"/>
        </w:rPr>
        <w:t>）投标人需要说明的其他文件和资料（格式自拟）</w:t>
      </w:r>
      <w:r>
        <w:rPr>
          <w:rFonts w:hint="eastAsia" w:ascii="仿宋" w:hAnsi="仿宋" w:eastAsia="仿宋" w:cs="仿宋"/>
          <w:color w:val="auto"/>
          <w:lang w:val="en-US" w:eastAsia="zh-CN"/>
        </w:rPr>
        <w:t>。</w:t>
      </w:r>
    </w:p>
    <w:p w14:paraId="4588680A">
      <w:pPr>
        <w:pStyle w:val="2"/>
        <w:spacing w:line="360" w:lineRule="auto"/>
        <w:ind w:firstLine="480" w:firstLineChars="200"/>
        <w:rPr>
          <w:rFonts w:ascii="仿宋" w:hAnsi="仿宋" w:eastAsia="仿宋" w:cs="仿宋"/>
          <w:color w:val="auto"/>
          <w:lang w:val="en-US"/>
        </w:rPr>
      </w:pPr>
      <w:r>
        <w:rPr>
          <w:rFonts w:hint="eastAsia" w:ascii="仿宋" w:hAnsi="仿宋" w:eastAsia="仿宋" w:cs="仿宋"/>
          <w:color w:val="auto"/>
          <w:lang w:val="en-US"/>
        </w:rPr>
        <w:t>注：以上目录是编制响应内容的基本格式要求，供参考，投标人可根据评标标准及自身情况进一步补充、细化、优化。</w:t>
      </w:r>
    </w:p>
    <w:p w14:paraId="2095C442">
      <w:pPr>
        <w:pStyle w:val="2"/>
        <w:spacing w:line="360" w:lineRule="auto"/>
        <w:ind w:firstLine="480" w:firstLineChars="200"/>
        <w:rPr>
          <w:rFonts w:hint="eastAsia" w:ascii="仿宋" w:hAnsi="仿宋" w:eastAsia="仿宋" w:cs="仿宋"/>
          <w:color w:val="auto"/>
          <w:lang w:val="en-US" w:eastAsia="zh-CN"/>
        </w:rPr>
      </w:pPr>
    </w:p>
    <w:p w14:paraId="3C37426E">
      <w:pPr>
        <w:spacing w:line="360" w:lineRule="auto"/>
        <w:ind w:firstLine="201" w:firstLineChars="200"/>
        <w:rPr>
          <w:b/>
          <w:color w:val="auto"/>
          <w:sz w:val="10"/>
        </w:rPr>
      </w:pPr>
      <w:r>
        <w:rPr>
          <w:b/>
          <w:color w:val="auto"/>
          <w:sz w:val="10"/>
        </w:rPr>
        <w:br w:type="page"/>
      </w:r>
    </w:p>
    <w:p w14:paraId="7763B2E4">
      <w:pPr>
        <w:spacing w:before="67"/>
        <w:ind w:left="1217" w:right="1232"/>
        <w:jc w:val="center"/>
        <w:rPr>
          <w:rFonts w:ascii="仿宋" w:hAnsi="仿宋" w:eastAsia="仿宋" w:cs="仿宋"/>
          <w:color w:val="auto"/>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评分对应表</w:t>
      </w:r>
    </w:p>
    <w:p w14:paraId="6D2B44D7">
      <w:pPr>
        <w:pStyle w:val="2"/>
        <w:rPr>
          <w:rFonts w:ascii="仿宋" w:hAnsi="仿宋" w:eastAsia="仿宋" w:cs="仿宋"/>
          <w:b/>
          <w:color w:val="auto"/>
        </w:rPr>
      </w:pPr>
    </w:p>
    <w:p w14:paraId="04A255C6">
      <w:pPr>
        <w:pStyle w:val="2"/>
        <w:spacing w:before="7"/>
        <w:rPr>
          <w:rFonts w:ascii="仿宋" w:hAnsi="仿宋" w:eastAsia="仿宋" w:cs="仿宋"/>
          <w:b/>
          <w:color w:val="auto"/>
          <w:sz w:val="20"/>
        </w:rPr>
      </w:pPr>
    </w:p>
    <w:p w14:paraId="0725AD57">
      <w:pPr>
        <w:pStyle w:val="2"/>
        <w:tabs>
          <w:tab w:val="left" w:pos="6471"/>
        </w:tabs>
        <w:spacing w:after="20"/>
        <w:rPr>
          <w:rFonts w:hint="eastAsia" w:ascii="仿宋" w:hAnsi="仿宋" w:eastAsia="仿宋" w:cs="仿宋"/>
          <w:color w:val="auto"/>
          <w:lang w:val="en-US" w:eastAsia="zh-CN"/>
        </w:rPr>
      </w:pPr>
      <w:r>
        <w:rPr>
          <w:rFonts w:hint="eastAsia" w:ascii="仿宋" w:hAnsi="仿宋" w:eastAsia="仿宋" w:cs="仿宋"/>
          <w:color w:val="auto"/>
          <w:kern w:val="0"/>
          <w:sz w:val="24"/>
          <w:lang w:val="zh-CN"/>
        </w:rPr>
        <w:t>投标人名称</w:t>
      </w:r>
      <w:r>
        <w:rPr>
          <w:rFonts w:hint="eastAsia" w:ascii="仿宋" w:hAnsi="仿宋" w:eastAsia="仿宋" w:cs="仿宋"/>
          <w:color w:val="auto"/>
        </w:rPr>
        <w:t>（</w:t>
      </w:r>
      <w:r>
        <w:rPr>
          <w:rFonts w:hint="eastAsia" w:ascii="仿宋" w:hAnsi="仿宋" w:eastAsia="仿宋" w:cs="仿宋"/>
          <w:color w:val="auto"/>
          <w:kern w:val="0"/>
          <w:sz w:val="24"/>
          <w:lang w:val="zh-CN"/>
        </w:rPr>
        <w:t>电子签名</w:t>
      </w:r>
      <w:r>
        <w:rPr>
          <w:rFonts w:hint="eastAsia" w:ascii="仿宋" w:hAnsi="仿宋" w:eastAsia="仿宋" w:cs="仿宋"/>
          <w:color w:val="auto"/>
        </w:rPr>
        <w:t>）：</w:t>
      </w:r>
      <w:r>
        <w:rPr>
          <w:rFonts w:hint="eastAsia" w:ascii="仿宋" w:hAnsi="仿宋" w:eastAsia="仿宋" w:cs="仿宋"/>
          <w:color w:val="auto"/>
          <w:lang w:val="en-US"/>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lang w:val="en-US"/>
        </w:rPr>
        <w:t>项目编号：</w:t>
      </w:r>
      <w:r>
        <w:rPr>
          <w:rFonts w:hint="eastAsia" w:ascii="仿宋" w:hAnsi="仿宋" w:eastAsia="仿宋" w:cs="仿宋"/>
          <w:color w:val="auto"/>
          <w:lang w:val="en-US" w:eastAsia="zh-CN"/>
        </w:rPr>
        <w:t>LGCG2025129</w:t>
      </w:r>
    </w:p>
    <w:tbl>
      <w:tblPr>
        <w:tblStyle w:val="26"/>
        <w:tblW w:w="9706" w:type="dxa"/>
        <w:tblInd w:w="13"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6"/>
        <w:gridCol w:w="2355"/>
        <w:gridCol w:w="1590"/>
        <w:gridCol w:w="1845"/>
      </w:tblGrid>
      <w:tr w14:paraId="269CAF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916" w:type="dxa"/>
            <w:tcBorders>
              <w:tl2br w:val="nil"/>
              <w:tr2bl w:val="nil"/>
            </w:tcBorders>
            <w:shd w:val="clear" w:color="auto" w:fill="B6DDE8" w:themeFill="accent5" w:themeFillTint="66"/>
            <w:vAlign w:val="center"/>
          </w:tcPr>
          <w:p w14:paraId="1E515C15">
            <w:pPr>
              <w:pStyle w:val="37"/>
              <w:ind w:left="395" w:right="385"/>
              <w:jc w:val="center"/>
              <w:rPr>
                <w:rFonts w:ascii="仿宋" w:hAnsi="仿宋" w:eastAsia="仿宋" w:cs="仿宋"/>
                <w:b/>
                <w:bCs/>
                <w:color w:val="auto"/>
                <w:sz w:val="24"/>
              </w:rPr>
            </w:pPr>
            <w:r>
              <w:rPr>
                <w:rFonts w:hint="eastAsia" w:ascii="仿宋" w:hAnsi="仿宋" w:eastAsia="仿宋" w:cs="仿宋"/>
                <w:b/>
                <w:bCs/>
                <w:color w:val="auto"/>
                <w:sz w:val="24"/>
              </w:rPr>
              <w:t>评分项目</w:t>
            </w:r>
          </w:p>
        </w:tc>
        <w:tc>
          <w:tcPr>
            <w:tcW w:w="2355" w:type="dxa"/>
            <w:tcBorders>
              <w:tl2br w:val="nil"/>
              <w:tr2bl w:val="nil"/>
            </w:tcBorders>
            <w:shd w:val="clear" w:color="auto" w:fill="B6DDE8" w:themeFill="accent5" w:themeFillTint="66"/>
            <w:vAlign w:val="center"/>
          </w:tcPr>
          <w:p w14:paraId="428993F4">
            <w:pPr>
              <w:pStyle w:val="37"/>
              <w:jc w:val="center"/>
              <w:rPr>
                <w:rFonts w:ascii="仿宋" w:hAnsi="仿宋" w:eastAsia="仿宋" w:cs="仿宋"/>
                <w:b/>
                <w:bCs/>
                <w:color w:val="auto"/>
                <w:sz w:val="24"/>
              </w:rPr>
            </w:pPr>
            <w:r>
              <w:rPr>
                <w:rFonts w:hint="eastAsia" w:ascii="仿宋" w:hAnsi="仿宋" w:eastAsia="仿宋" w:cs="仿宋"/>
                <w:b/>
                <w:bCs/>
                <w:color w:val="auto"/>
                <w:sz w:val="24"/>
              </w:rPr>
              <w:t>投标文件对应资料</w:t>
            </w:r>
          </w:p>
        </w:tc>
        <w:tc>
          <w:tcPr>
            <w:tcW w:w="1590" w:type="dxa"/>
            <w:tcBorders>
              <w:tl2br w:val="nil"/>
              <w:tr2bl w:val="nil"/>
            </w:tcBorders>
            <w:shd w:val="clear" w:color="auto" w:fill="B6DDE8" w:themeFill="accent5" w:themeFillTint="66"/>
            <w:vAlign w:val="center"/>
          </w:tcPr>
          <w:p w14:paraId="6162662F">
            <w:pPr>
              <w:pStyle w:val="37"/>
              <w:jc w:val="center"/>
              <w:rPr>
                <w:rFonts w:ascii="仿宋" w:hAnsi="仿宋" w:eastAsia="仿宋" w:cs="仿宋"/>
                <w:b/>
                <w:bCs/>
                <w:color w:val="auto"/>
                <w:sz w:val="24"/>
              </w:rPr>
            </w:pPr>
            <w:r>
              <w:rPr>
                <w:rFonts w:hint="eastAsia" w:ascii="仿宋" w:hAnsi="仿宋" w:eastAsia="仿宋" w:cs="仿宋"/>
                <w:b/>
                <w:bCs/>
                <w:color w:val="auto"/>
                <w:sz w:val="24"/>
              </w:rPr>
              <w:t>投标文件页码</w:t>
            </w:r>
          </w:p>
        </w:tc>
        <w:tc>
          <w:tcPr>
            <w:tcW w:w="1845" w:type="dxa"/>
            <w:tcBorders>
              <w:tl2br w:val="nil"/>
              <w:tr2bl w:val="nil"/>
            </w:tcBorders>
            <w:shd w:val="clear" w:color="auto" w:fill="B6DDE8" w:themeFill="accent5" w:themeFillTint="66"/>
            <w:vAlign w:val="center"/>
          </w:tcPr>
          <w:p w14:paraId="25DBB90B">
            <w:pPr>
              <w:pStyle w:val="37"/>
              <w:jc w:val="center"/>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自评分</w:t>
            </w:r>
          </w:p>
          <w:p w14:paraId="6972DA9C">
            <w:pPr>
              <w:pStyle w:val="37"/>
              <w:jc w:val="center"/>
              <w:rPr>
                <w:rFonts w:hint="eastAsia" w:ascii="仿宋" w:hAnsi="仿宋" w:eastAsia="仿宋" w:cs="仿宋"/>
                <w:b/>
                <w:bCs/>
                <w:color w:val="auto"/>
                <w:sz w:val="24"/>
                <w:lang w:eastAsia="zh-CN"/>
              </w:rPr>
            </w:pPr>
            <w:r>
              <w:rPr>
                <w:rFonts w:hint="eastAsia" w:ascii="仿宋" w:hAnsi="仿宋" w:eastAsia="仿宋" w:cs="仿宋"/>
                <w:b/>
                <w:bCs/>
                <w:color w:val="auto"/>
                <w:sz w:val="22"/>
                <w:szCs w:val="21"/>
                <w:lang w:eastAsia="zh-CN"/>
              </w:rPr>
              <w:t>（仅客观分部分）</w:t>
            </w:r>
          </w:p>
        </w:tc>
      </w:tr>
      <w:tr w14:paraId="25121C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3916" w:type="dxa"/>
            <w:tcBorders>
              <w:tl2br w:val="nil"/>
              <w:tr2bl w:val="nil"/>
            </w:tcBorders>
          </w:tcPr>
          <w:p w14:paraId="7525F199">
            <w:pPr>
              <w:pStyle w:val="37"/>
              <w:keepNext w:val="0"/>
              <w:keepLines w:val="0"/>
              <w:pageBreakBefore w:val="0"/>
              <w:widowControl w:val="0"/>
              <w:kinsoku/>
              <w:wordWrap/>
              <w:overflowPunct/>
              <w:topLinePunct w:val="0"/>
              <w:autoSpaceDE w:val="0"/>
              <w:autoSpaceDN w:val="0"/>
              <w:bidi w:val="0"/>
              <w:adjustRightInd/>
              <w:snapToGrid/>
              <w:spacing w:before="116"/>
              <w:ind w:right="0"/>
              <w:jc w:val="center"/>
              <w:textAlignment w:val="auto"/>
              <w:rPr>
                <w:rFonts w:ascii="仿宋" w:hAnsi="仿宋" w:eastAsia="仿宋" w:cs="仿宋"/>
                <w:color w:val="auto"/>
                <w:sz w:val="24"/>
              </w:rPr>
            </w:pPr>
            <w:r>
              <w:rPr>
                <w:rFonts w:hint="eastAsia" w:ascii="仿宋" w:hAnsi="仿宋" w:eastAsia="仿宋" w:cs="仿宋"/>
                <w:color w:val="auto"/>
                <w:sz w:val="24"/>
              </w:rPr>
              <w:t>对应第</w:t>
            </w:r>
            <w:r>
              <w:rPr>
                <w:rFonts w:hint="eastAsia" w:ascii="仿宋" w:hAnsi="仿宋" w:eastAsia="仿宋" w:cs="仿宋"/>
                <w:color w:val="auto"/>
                <w:sz w:val="24"/>
                <w:lang w:val="en-US" w:eastAsia="zh-CN"/>
              </w:rPr>
              <w:t>四</w:t>
            </w:r>
            <w:r>
              <w:rPr>
                <w:rFonts w:hint="eastAsia" w:ascii="仿宋" w:hAnsi="仿宋" w:eastAsia="仿宋" w:cs="仿宋"/>
                <w:color w:val="auto"/>
                <w:sz w:val="24"/>
              </w:rPr>
              <w:t>章</w:t>
            </w:r>
            <w:r>
              <w:rPr>
                <w:rFonts w:hint="eastAsia" w:ascii="仿宋" w:hAnsi="仿宋" w:eastAsia="仿宋" w:cs="仿宋"/>
                <w:color w:val="auto"/>
                <w:sz w:val="24"/>
                <w:lang w:val="en-US" w:eastAsia="zh-CN"/>
              </w:rPr>
              <w:t xml:space="preserve">  评标办法及评标标准</w:t>
            </w:r>
          </w:p>
          <w:p w14:paraId="1F139C72">
            <w:pPr>
              <w:pStyle w:val="37"/>
              <w:spacing w:before="134"/>
              <w:ind w:left="395" w:right="385"/>
              <w:jc w:val="center"/>
              <w:rPr>
                <w:rFonts w:ascii="仿宋" w:hAnsi="仿宋" w:eastAsia="仿宋" w:cs="仿宋"/>
                <w:color w:val="auto"/>
                <w:sz w:val="24"/>
              </w:rPr>
            </w:pPr>
            <w:r>
              <w:rPr>
                <w:rFonts w:hint="eastAsia" w:ascii="仿宋" w:hAnsi="仿宋" w:eastAsia="仿宋" w:cs="仿宋"/>
                <w:color w:val="auto"/>
                <w:sz w:val="24"/>
              </w:rPr>
              <w:t>（报价除外）</w:t>
            </w:r>
          </w:p>
        </w:tc>
        <w:tc>
          <w:tcPr>
            <w:tcW w:w="2355" w:type="dxa"/>
            <w:tcBorders>
              <w:tl2br w:val="nil"/>
              <w:tr2bl w:val="nil"/>
            </w:tcBorders>
          </w:tcPr>
          <w:p w14:paraId="5714469B">
            <w:pPr>
              <w:pStyle w:val="37"/>
              <w:rPr>
                <w:rFonts w:ascii="仿宋" w:hAnsi="仿宋" w:eastAsia="仿宋" w:cs="仿宋"/>
                <w:color w:val="auto"/>
              </w:rPr>
            </w:pPr>
          </w:p>
        </w:tc>
        <w:tc>
          <w:tcPr>
            <w:tcW w:w="1590" w:type="dxa"/>
            <w:tcBorders>
              <w:tl2br w:val="nil"/>
              <w:tr2bl w:val="nil"/>
            </w:tcBorders>
          </w:tcPr>
          <w:p w14:paraId="5A9499FB">
            <w:pPr>
              <w:pStyle w:val="37"/>
              <w:rPr>
                <w:rFonts w:ascii="仿宋" w:hAnsi="仿宋" w:eastAsia="仿宋" w:cs="仿宋"/>
                <w:color w:val="auto"/>
              </w:rPr>
            </w:pPr>
          </w:p>
        </w:tc>
        <w:tc>
          <w:tcPr>
            <w:tcW w:w="1845" w:type="dxa"/>
            <w:tcBorders>
              <w:tl2br w:val="nil"/>
              <w:tr2bl w:val="nil"/>
            </w:tcBorders>
          </w:tcPr>
          <w:p w14:paraId="13E4221C">
            <w:pPr>
              <w:pStyle w:val="37"/>
              <w:rPr>
                <w:rFonts w:ascii="仿宋" w:hAnsi="仿宋" w:eastAsia="仿宋" w:cs="仿宋"/>
                <w:color w:val="auto"/>
              </w:rPr>
            </w:pPr>
          </w:p>
        </w:tc>
      </w:tr>
      <w:tr w14:paraId="4C7761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3916" w:type="dxa"/>
            <w:tcBorders>
              <w:tl2br w:val="nil"/>
              <w:tr2bl w:val="nil"/>
            </w:tcBorders>
          </w:tcPr>
          <w:p w14:paraId="18EC6BB5">
            <w:pPr>
              <w:pStyle w:val="37"/>
              <w:spacing w:before="207"/>
              <w:ind w:left="395" w:right="385"/>
              <w:jc w:val="center"/>
              <w:rPr>
                <w:rFonts w:ascii="仿宋" w:hAnsi="仿宋" w:eastAsia="仿宋" w:cs="仿宋"/>
                <w:color w:val="auto"/>
                <w:sz w:val="24"/>
              </w:rPr>
            </w:pPr>
            <w:r>
              <w:rPr>
                <w:rFonts w:hint="eastAsia" w:ascii="仿宋" w:hAnsi="仿宋" w:eastAsia="仿宋" w:cs="仿宋"/>
                <w:color w:val="auto"/>
                <w:sz w:val="24"/>
              </w:rPr>
              <w:t>……</w:t>
            </w:r>
          </w:p>
        </w:tc>
        <w:tc>
          <w:tcPr>
            <w:tcW w:w="2355" w:type="dxa"/>
            <w:tcBorders>
              <w:tl2br w:val="nil"/>
              <w:tr2bl w:val="nil"/>
            </w:tcBorders>
          </w:tcPr>
          <w:p w14:paraId="37A5E264">
            <w:pPr>
              <w:pStyle w:val="37"/>
              <w:rPr>
                <w:rFonts w:ascii="仿宋" w:hAnsi="仿宋" w:eastAsia="仿宋" w:cs="仿宋"/>
                <w:color w:val="auto"/>
              </w:rPr>
            </w:pPr>
          </w:p>
        </w:tc>
        <w:tc>
          <w:tcPr>
            <w:tcW w:w="1590" w:type="dxa"/>
            <w:tcBorders>
              <w:tl2br w:val="nil"/>
              <w:tr2bl w:val="nil"/>
            </w:tcBorders>
          </w:tcPr>
          <w:p w14:paraId="1734B5A9">
            <w:pPr>
              <w:pStyle w:val="37"/>
              <w:rPr>
                <w:rFonts w:ascii="仿宋" w:hAnsi="仿宋" w:eastAsia="仿宋" w:cs="仿宋"/>
                <w:color w:val="auto"/>
              </w:rPr>
            </w:pPr>
          </w:p>
        </w:tc>
        <w:tc>
          <w:tcPr>
            <w:tcW w:w="1845" w:type="dxa"/>
            <w:tcBorders>
              <w:tl2br w:val="nil"/>
              <w:tr2bl w:val="nil"/>
            </w:tcBorders>
          </w:tcPr>
          <w:p w14:paraId="323E1419">
            <w:pPr>
              <w:pStyle w:val="37"/>
              <w:rPr>
                <w:rFonts w:ascii="仿宋" w:hAnsi="仿宋" w:eastAsia="仿宋" w:cs="仿宋"/>
                <w:color w:val="auto"/>
              </w:rPr>
            </w:pPr>
          </w:p>
        </w:tc>
      </w:tr>
      <w:tr w14:paraId="4EECE5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916" w:type="dxa"/>
            <w:tcBorders>
              <w:tl2br w:val="nil"/>
              <w:tr2bl w:val="nil"/>
            </w:tcBorders>
          </w:tcPr>
          <w:p w14:paraId="34449356">
            <w:pPr>
              <w:pStyle w:val="37"/>
              <w:rPr>
                <w:rFonts w:ascii="仿宋" w:hAnsi="仿宋" w:eastAsia="仿宋" w:cs="仿宋"/>
                <w:color w:val="auto"/>
              </w:rPr>
            </w:pPr>
          </w:p>
        </w:tc>
        <w:tc>
          <w:tcPr>
            <w:tcW w:w="2355" w:type="dxa"/>
            <w:tcBorders>
              <w:tl2br w:val="nil"/>
              <w:tr2bl w:val="nil"/>
            </w:tcBorders>
          </w:tcPr>
          <w:p w14:paraId="785B0C28">
            <w:pPr>
              <w:pStyle w:val="37"/>
              <w:rPr>
                <w:rFonts w:ascii="仿宋" w:hAnsi="仿宋" w:eastAsia="仿宋" w:cs="仿宋"/>
                <w:color w:val="auto"/>
              </w:rPr>
            </w:pPr>
          </w:p>
        </w:tc>
        <w:tc>
          <w:tcPr>
            <w:tcW w:w="1590" w:type="dxa"/>
            <w:tcBorders>
              <w:tl2br w:val="nil"/>
              <w:tr2bl w:val="nil"/>
            </w:tcBorders>
          </w:tcPr>
          <w:p w14:paraId="091F7829">
            <w:pPr>
              <w:pStyle w:val="37"/>
              <w:rPr>
                <w:rFonts w:ascii="仿宋" w:hAnsi="仿宋" w:eastAsia="仿宋" w:cs="仿宋"/>
                <w:color w:val="auto"/>
              </w:rPr>
            </w:pPr>
          </w:p>
        </w:tc>
        <w:tc>
          <w:tcPr>
            <w:tcW w:w="1845" w:type="dxa"/>
            <w:tcBorders>
              <w:tl2br w:val="nil"/>
              <w:tr2bl w:val="nil"/>
            </w:tcBorders>
          </w:tcPr>
          <w:p w14:paraId="036F84CE">
            <w:pPr>
              <w:pStyle w:val="37"/>
              <w:rPr>
                <w:rFonts w:ascii="仿宋" w:hAnsi="仿宋" w:eastAsia="仿宋" w:cs="仿宋"/>
                <w:color w:val="auto"/>
              </w:rPr>
            </w:pPr>
          </w:p>
        </w:tc>
      </w:tr>
      <w:tr w14:paraId="52D01A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916" w:type="dxa"/>
            <w:tcBorders>
              <w:tl2br w:val="nil"/>
              <w:tr2bl w:val="nil"/>
            </w:tcBorders>
          </w:tcPr>
          <w:p w14:paraId="055E2619">
            <w:pPr>
              <w:pStyle w:val="37"/>
              <w:rPr>
                <w:rFonts w:ascii="仿宋" w:hAnsi="仿宋" w:eastAsia="仿宋" w:cs="仿宋"/>
                <w:color w:val="auto"/>
              </w:rPr>
            </w:pPr>
          </w:p>
        </w:tc>
        <w:tc>
          <w:tcPr>
            <w:tcW w:w="2355" w:type="dxa"/>
            <w:tcBorders>
              <w:tl2br w:val="nil"/>
              <w:tr2bl w:val="nil"/>
            </w:tcBorders>
          </w:tcPr>
          <w:p w14:paraId="59ACE594">
            <w:pPr>
              <w:pStyle w:val="37"/>
              <w:rPr>
                <w:rFonts w:ascii="仿宋" w:hAnsi="仿宋" w:eastAsia="仿宋" w:cs="仿宋"/>
                <w:color w:val="auto"/>
              </w:rPr>
            </w:pPr>
          </w:p>
        </w:tc>
        <w:tc>
          <w:tcPr>
            <w:tcW w:w="1590" w:type="dxa"/>
            <w:tcBorders>
              <w:tl2br w:val="nil"/>
              <w:tr2bl w:val="nil"/>
            </w:tcBorders>
          </w:tcPr>
          <w:p w14:paraId="6A8DAE57">
            <w:pPr>
              <w:pStyle w:val="37"/>
              <w:rPr>
                <w:rFonts w:ascii="仿宋" w:hAnsi="仿宋" w:eastAsia="仿宋" w:cs="仿宋"/>
                <w:color w:val="auto"/>
              </w:rPr>
            </w:pPr>
          </w:p>
        </w:tc>
        <w:tc>
          <w:tcPr>
            <w:tcW w:w="1845" w:type="dxa"/>
            <w:tcBorders>
              <w:tl2br w:val="nil"/>
              <w:tr2bl w:val="nil"/>
            </w:tcBorders>
          </w:tcPr>
          <w:p w14:paraId="1A9802A9">
            <w:pPr>
              <w:pStyle w:val="37"/>
              <w:rPr>
                <w:rFonts w:ascii="仿宋" w:hAnsi="仿宋" w:eastAsia="仿宋" w:cs="仿宋"/>
                <w:color w:val="auto"/>
              </w:rPr>
            </w:pPr>
          </w:p>
        </w:tc>
      </w:tr>
      <w:tr w14:paraId="1EC51F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916" w:type="dxa"/>
            <w:tcBorders>
              <w:tl2br w:val="nil"/>
              <w:tr2bl w:val="nil"/>
            </w:tcBorders>
          </w:tcPr>
          <w:p w14:paraId="439D6CB3">
            <w:pPr>
              <w:pStyle w:val="37"/>
              <w:rPr>
                <w:rFonts w:ascii="仿宋" w:hAnsi="仿宋" w:eastAsia="仿宋" w:cs="仿宋"/>
                <w:color w:val="auto"/>
              </w:rPr>
            </w:pPr>
          </w:p>
        </w:tc>
        <w:tc>
          <w:tcPr>
            <w:tcW w:w="2355" w:type="dxa"/>
            <w:tcBorders>
              <w:tl2br w:val="nil"/>
              <w:tr2bl w:val="nil"/>
            </w:tcBorders>
          </w:tcPr>
          <w:p w14:paraId="2D3988B1">
            <w:pPr>
              <w:pStyle w:val="37"/>
              <w:rPr>
                <w:rFonts w:ascii="仿宋" w:hAnsi="仿宋" w:eastAsia="仿宋" w:cs="仿宋"/>
                <w:color w:val="auto"/>
              </w:rPr>
            </w:pPr>
          </w:p>
        </w:tc>
        <w:tc>
          <w:tcPr>
            <w:tcW w:w="1590" w:type="dxa"/>
            <w:tcBorders>
              <w:tl2br w:val="nil"/>
              <w:tr2bl w:val="nil"/>
            </w:tcBorders>
          </w:tcPr>
          <w:p w14:paraId="1699006E">
            <w:pPr>
              <w:pStyle w:val="37"/>
              <w:rPr>
                <w:rFonts w:ascii="仿宋" w:hAnsi="仿宋" w:eastAsia="仿宋" w:cs="仿宋"/>
                <w:color w:val="auto"/>
              </w:rPr>
            </w:pPr>
          </w:p>
        </w:tc>
        <w:tc>
          <w:tcPr>
            <w:tcW w:w="1845" w:type="dxa"/>
            <w:tcBorders>
              <w:tl2br w:val="nil"/>
              <w:tr2bl w:val="nil"/>
            </w:tcBorders>
          </w:tcPr>
          <w:p w14:paraId="0532D091">
            <w:pPr>
              <w:pStyle w:val="37"/>
              <w:rPr>
                <w:rFonts w:ascii="仿宋" w:hAnsi="仿宋" w:eastAsia="仿宋" w:cs="仿宋"/>
                <w:color w:val="auto"/>
              </w:rPr>
            </w:pPr>
          </w:p>
        </w:tc>
      </w:tr>
      <w:tr w14:paraId="2C7551B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916" w:type="dxa"/>
            <w:tcBorders>
              <w:tl2br w:val="nil"/>
              <w:tr2bl w:val="nil"/>
            </w:tcBorders>
          </w:tcPr>
          <w:p w14:paraId="4D1DA858">
            <w:pPr>
              <w:pStyle w:val="37"/>
              <w:rPr>
                <w:rFonts w:ascii="仿宋" w:hAnsi="仿宋" w:eastAsia="仿宋" w:cs="仿宋"/>
                <w:color w:val="auto"/>
              </w:rPr>
            </w:pPr>
          </w:p>
        </w:tc>
        <w:tc>
          <w:tcPr>
            <w:tcW w:w="2355" w:type="dxa"/>
            <w:tcBorders>
              <w:tl2br w:val="nil"/>
              <w:tr2bl w:val="nil"/>
            </w:tcBorders>
          </w:tcPr>
          <w:p w14:paraId="5070C4AA">
            <w:pPr>
              <w:pStyle w:val="37"/>
              <w:rPr>
                <w:rFonts w:ascii="仿宋" w:hAnsi="仿宋" w:eastAsia="仿宋" w:cs="仿宋"/>
                <w:color w:val="auto"/>
              </w:rPr>
            </w:pPr>
          </w:p>
        </w:tc>
        <w:tc>
          <w:tcPr>
            <w:tcW w:w="1590" w:type="dxa"/>
            <w:tcBorders>
              <w:tl2br w:val="nil"/>
              <w:tr2bl w:val="nil"/>
            </w:tcBorders>
          </w:tcPr>
          <w:p w14:paraId="6CAE6056">
            <w:pPr>
              <w:pStyle w:val="37"/>
              <w:rPr>
                <w:rFonts w:ascii="仿宋" w:hAnsi="仿宋" w:eastAsia="仿宋" w:cs="仿宋"/>
                <w:color w:val="auto"/>
              </w:rPr>
            </w:pPr>
          </w:p>
        </w:tc>
        <w:tc>
          <w:tcPr>
            <w:tcW w:w="1845" w:type="dxa"/>
            <w:tcBorders>
              <w:tl2br w:val="nil"/>
              <w:tr2bl w:val="nil"/>
            </w:tcBorders>
          </w:tcPr>
          <w:p w14:paraId="27A9D867">
            <w:pPr>
              <w:pStyle w:val="37"/>
              <w:rPr>
                <w:rFonts w:ascii="仿宋" w:hAnsi="仿宋" w:eastAsia="仿宋" w:cs="仿宋"/>
                <w:color w:val="auto"/>
              </w:rPr>
            </w:pPr>
          </w:p>
        </w:tc>
      </w:tr>
      <w:tr w14:paraId="01B582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916" w:type="dxa"/>
            <w:tcBorders>
              <w:tl2br w:val="nil"/>
              <w:tr2bl w:val="nil"/>
            </w:tcBorders>
          </w:tcPr>
          <w:p w14:paraId="6E5DD4E9">
            <w:pPr>
              <w:pStyle w:val="37"/>
              <w:rPr>
                <w:rFonts w:ascii="仿宋" w:hAnsi="仿宋" w:eastAsia="仿宋" w:cs="仿宋"/>
                <w:color w:val="auto"/>
              </w:rPr>
            </w:pPr>
          </w:p>
        </w:tc>
        <w:tc>
          <w:tcPr>
            <w:tcW w:w="2355" w:type="dxa"/>
            <w:tcBorders>
              <w:tl2br w:val="nil"/>
              <w:tr2bl w:val="nil"/>
            </w:tcBorders>
          </w:tcPr>
          <w:p w14:paraId="5A06BFE7">
            <w:pPr>
              <w:pStyle w:val="37"/>
              <w:rPr>
                <w:rFonts w:ascii="仿宋" w:hAnsi="仿宋" w:eastAsia="仿宋" w:cs="仿宋"/>
                <w:color w:val="auto"/>
              </w:rPr>
            </w:pPr>
          </w:p>
        </w:tc>
        <w:tc>
          <w:tcPr>
            <w:tcW w:w="1590" w:type="dxa"/>
            <w:tcBorders>
              <w:tl2br w:val="nil"/>
              <w:tr2bl w:val="nil"/>
            </w:tcBorders>
          </w:tcPr>
          <w:p w14:paraId="71141BDA">
            <w:pPr>
              <w:pStyle w:val="37"/>
              <w:rPr>
                <w:rFonts w:ascii="仿宋" w:hAnsi="仿宋" w:eastAsia="仿宋" w:cs="仿宋"/>
                <w:color w:val="auto"/>
              </w:rPr>
            </w:pPr>
          </w:p>
        </w:tc>
        <w:tc>
          <w:tcPr>
            <w:tcW w:w="1845" w:type="dxa"/>
            <w:tcBorders>
              <w:tl2br w:val="nil"/>
              <w:tr2bl w:val="nil"/>
            </w:tcBorders>
          </w:tcPr>
          <w:p w14:paraId="4A86EF7A">
            <w:pPr>
              <w:pStyle w:val="37"/>
              <w:rPr>
                <w:rFonts w:ascii="仿宋" w:hAnsi="仿宋" w:eastAsia="仿宋" w:cs="仿宋"/>
                <w:color w:val="auto"/>
              </w:rPr>
            </w:pPr>
          </w:p>
        </w:tc>
      </w:tr>
      <w:tr w14:paraId="2A43C0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916" w:type="dxa"/>
            <w:tcBorders>
              <w:tl2br w:val="nil"/>
              <w:tr2bl w:val="nil"/>
            </w:tcBorders>
          </w:tcPr>
          <w:p w14:paraId="76BC1B3E">
            <w:pPr>
              <w:pStyle w:val="37"/>
              <w:rPr>
                <w:rFonts w:ascii="仿宋" w:hAnsi="仿宋" w:eastAsia="仿宋" w:cs="仿宋"/>
                <w:color w:val="auto"/>
              </w:rPr>
            </w:pPr>
          </w:p>
        </w:tc>
        <w:tc>
          <w:tcPr>
            <w:tcW w:w="2355" w:type="dxa"/>
            <w:tcBorders>
              <w:tl2br w:val="nil"/>
              <w:tr2bl w:val="nil"/>
            </w:tcBorders>
          </w:tcPr>
          <w:p w14:paraId="2304D597">
            <w:pPr>
              <w:pStyle w:val="37"/>
              <w:rPr>
                <w:rFonts w:ascii="仿宋" w:hAnsi="仿宋" w:eastAsia="仿宋" w:cs="仿宋"/>
                <w:color w:val="auto"/>
              </w:rPr>
            </w:pPr>
          </w:p>
        </w:tc>
        <w:tc>
          <w:tcPr>
            <w:tcW w:w="1590" w:type="dxa"/>
            <w:tcBorders>
              <w:tl2br w:val="nil"/>
              <w:tr2bl w:val="nil"/>
            </w:tcBorders>
          </w:tcPr>
          <w:p w14:paraId="6110F571">
            <w:pPr>
              <w:pStyle w:val="37"/>
              <w:rPr>
                <w:rFonts w:ascii="仿宋" w:hAnsi="仿宋" w:eastAsia="仿宋" w:cs="仿宋"/>
                <w:color w:val="auto"/>
              </w:rPr>
            </w:pPr>
          </w:p>
        </w:tc>
        <w:tc>
          <w:tcPr>
            <w:tcW w:w="1845" w:type="dxa"/>
            <w:tcBorders>
              <w:tl2br w:val="nil"/>
              <w:tr2bl w:val="nil"/>
            </w:tcBorders>
          </w:tcPr>
          <w:p w14:paraId="4BED42F0">
            <w:pPr>
              <w:pStyle w:val="37"/>
              <w:rPr>
                <w:rFonts w:ascii="仿宋" w:hAnsi="仿宋" w:eastAsia="仿宋" w:cs="仿宋"/>
                <w:color w:val="auto"/>
              </w:rPr>
            </w:pPr>
          </w:p>
        </w:tc>
      </w:tr>
    </w:tbl>
    <w:p w14:paraId="189073BA">
      <w:pPr>
        <w:pStyle w:val="2"/>
        <w:tabs>
          <w:tab w:val="left" w:pos="4071"/>
        </w:tabs>
        <w:spacing w:before="114"/>
        <w:rPr>
          <w:color w:val="auto"/>
        </w:rPr>
      </w:pPr>
    </w:p>
    <w:p w14:paraId="4F5C1A92">
      <w:pPr>
        <w:pStyle w:val="2"/>
        <w:rPr>
          <w:color w:val="auto"/>
          <w:sz w:val="20"/>
        </w:rPr>
      </w:pPr>
    </w:p>
    <w:p w14:paraId="085313C3">
      <w:pPr>
        <w:pStyle w:val="3"/>
        <w:ind w:firstLine="0"/>
        <w:rPr>
          <w:color w:val="auto"/>
          <w:sz w:val="20"/>
        </w:rPr>
      </w:pPr>
    </w:p>
    <w:p w14:paraId="7D7D1F65">
      <w:pPr>
        <w:pStyle w:val="4"/>
        <w:ind w:left="0"/>
        <w:rPr>
          <w:color w:val="auto"/>
        </w:rPr>
      </w:pPr>
    </w:p>
    <w:p w14:paraId="1C6AEABE">
      <w:pPr>
        <w:rPr>
          <w:color w:val="auto"/>
        </w:rPr>
      </w:pPr>
      <w:r>
        <w:rPr>
          <w:color w:val="auto"/>
        </w:rPr>
        <w:br w:type="page"/>
      </w:r>
    </w:p>
    <w:p w14:paraId="0AB0BA25">
      <w:pPr>
        <w:spacing w:before="67"/>
        <w:ind w:left="1215" w:right="1232"/>
        <w:jc w:val="center"/>
        <w:rPr>
          <w:color w:val="auto"/>
          <w:lang w:val="en-US"/>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en-US"/>
        </w:rPr>
        <w:t>投标函</w:t>
      </w:r>
    </w:p>
    <w:p w14:paraId="28B63E17">
      <w:pPr>
        <w:spacing w:line="360" w:lineRule="auto"/>
        <w:rPr>
          <w:rFonts w:ascii="仿宋" w:hAnsi="仿宋" w:eastAsia="仿宋" w:cs="仿宋"/>
          <w:color w:val="auto"/>
          <w:sz w:val="24"/>
          <w:szCs w:val="24"/>
        </w:rPr>
      </w:pPr>
    </w:p>
    <w:p w14:paraId="7DADDD85">
      <w:pPr>
        <w:keepNext w:val="0"/>
        <w:keepLines w:val="0"/>
        <w:pageBreakBefore w:val="0"/>
        <w:widowControl w:val="0"/>
        <w:kinsoku/>
        <w:wordWrap/>
        <w:overflowPunct/>
        <w:topLinePunct w:val="0"/>
        <w:autoSpaceDE w:val="0"/>
        <w:autoSpaceDN w:val="0"/>
        <w:bidi w:val="0"/>
        <w:snapToGrid/>
        <w:spacing w:line="400" w:lineRule="exact"/>
        <w:textAlignment w:val="auto"/>
        <w:rPr>
          <w:rFonts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龙港市世纪中学</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浙江东瓯工程造价咨询有限公司</w:t>
      </w:r>
      <w:r>
        <w:rPr>
          <w:rFonts w:hint="eastAsia" w:ascii="仿宋" w:hAnsi="仿宋" w:eastAsia="仿宋" w:cs="仿宋"/>
          <w:color w:val="auto"/>
          <w:sz w:val="24"/>
          <w:szCs w:val="24"/>
          <w:u w:val="single"/>
        </w:rPr>
        <w:t>：</w:t>
      </w:r>
    </w:p>
    <w:p w14:paraId="2B5B737E">
      <w:pPr>
        <w:keepNext w:val="0"/>
        <w:keepLines w:val="0"/>
        <w:pageBreakBefore w:val="0"/>
        <w:widowControl w:val="0"/>
        <w:kinsoku/>
        <w:wordWrap w:val="0"/>
        <w:overflowPunct/>
        <w:topLinePunct w:val="0"/>
        <w:autoSpaceDE w:val="0"/>
        <w:autoSpaceDN w:val="0"/>
        <w:bidi w:val="0"/>
        <w:adjustRightInd w:val="0"/>
        <w:snapToGrid/>
        <w:spacing w:line="40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（供应商全称）授权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（授权代表名称）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（职务、职称）为授权代表，参加贵方组织的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龙港市世纪中学功能教室设备仪器采购项目【</w:t>
      </w:r>
      <w:r>
        <w:rPr>
          <w:rFonts w:hint="eastAsia" w:ascii="仿宋" w:hAnsi="仿宋" w:eastAsia="仿宋" w:cs="仿宋"/>
          <w:color w:val="auto"/>
          <w:sz w:val="24"/>
          <w:szCs w:val="24"/>
          <w:u w:val="single"/>
          <w:lang w:val="en-US" w:eastAsia="zh-CN"/>
        </w:rPr>
        <w:t>招标编号：LGCG2025129】</w:t>
      </w:r>
      <w:r>
        <w:rPr>
          <w:rFonts w:hint="eastAsia" w:ascii="仿宋" w:hAnsi="仿宋" w:eastAsia="仿宋" w:cs="仿宋"/>
          <w:color w:val="auto"/>
          <w:sz w:val="24"/>
          <w:szCs w:val="24"/>
        </w:rPr>
        <w:t>招标的有关活动，为此：并对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项目（招标项目名称）进行投标。</w:t>
      </w:r>
    </w:p>
    <w:p w14:paraId="546D4633">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提供供应商须知规定的全部投标文件。</w:t>
      </w:r>
    </w:p>
    <w:p w14:paraId="12A4970B">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保证遵守招标文件中的有关规定和收费标准。</w:t>
      </w:r>
    </w:p>
    <w:p w14:paraId="67995ABA">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3.如我方中标，我方承诺：</w:t>
      </w:r>
    </w:p>
    <w:p w14:paraId="481322B7">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 在收到中标通知书后，在中标通知书规定的期限内与你方签订合同； </w:t>
      </w:r>
    </w:p>
    <w:p w14:paraId="2BB57845">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 在签订合同时不向你方提出附加条件；</w:t>
      </w:r>
    </w:p>
    <w:p w14:paraId="7A21E582">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3.3 在合同约定的期限内完成合同规定的全部义务。</w:t>
      </w:r>
    </w:p>
    <w:p w14:paraId="23642CDE">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4.我方</w:t>
      </w:r>
      <w:r>
        <w:rPr>
          <w:rFonts w:hint="eastAsia" w:ascii="仿宋" w:hAnsi="仿宋" w:eastAsia="仿宋" w:cs="仿宋"/>
          <w:color w:val="auto"/>
          <w:sz w:val="24"/>
          <w:szCs w:val="24"/>
        </w:rPr>
        <w:t>已详细审查全部招标文件，包括招标文件补充文件（如果有的话）。我方完全理解并同意放弃对这方面有不明及误解的权力。如果招标文件有相互矛盾之处，我方同意按采购人的理解处理。</w:t>
      </w:r>
    </w:p>
    <w:p w14:paraId="0C865E98">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利益冲突：我公司与本项目的采购人、招标代理机构没有任何的利害关系。</w:t>
      </w:r>
    </w:p>
    <w:p w14:paraId="6839ECC0">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我方承诺我公司近三年来没有行贿受贿记录；我公司近三年来没有重大违法活动；我公司没有被政府采购管理部门限制参加投标。</w:t>
      </w:r>
    </w:p>
    <w:p w14:paraId="6EABD72C">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7.我方承诺除商务技术偏离表列出的偏离外，我方响应招标文件的全部要求。</w:t>
      </w:r>
    </w:p>
    <w:p w14:paraId="0E766587">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愿意向贵方提供任何与该项投标有关的数据、情况和技术资料，完全理解贵方不一定接受最低价的投标或收到的任何投标。</w:t>
      </w:r>
    </w:p>
    <w:p w14:paraId="0FE9F6FD">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本投标自开标之日起</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天内有效。</w:t>
      </w:r>
    </w:p>
    <w:p w14:paraId="0EEEF65C">
      <w:pPr>
        <w:keepNext w:val="0"/>
        <w:keepLines w:val="0"/>
        <w:pageBreakBefore w:val="0"/>
        <w:widowControl w:val="0"/>
        <w:kinsoku/>
        <w:wordWrap/>
        <w:overflowPunct/>
        <w:topLinePunct w:val="0"/>
        <w:autoSpaceDE w:val="0"/>
        <w:autoSpaceDN w:val="0"/>
        <w:bidi w:val="0"/>
        <w:adjustRightInd w:val="0"/>
        <w:snapToGrid/>
        <w:spacing w:line="400" w:lineRule="exact"/>
        <w:ind w:left="1"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与本投标有关的一切往来通讯请寄：</w:t>
      </w:r>
    </w:p>
    <w:p w14:paraId="2A78CC7D">
      <w:pPr>
        <w:keepNext w:val="0"/>
        <w:keepLines w:val="0"/>
        <w:pageBreakBefore w:val="0"/>
        <w:widowControl w:val="0"/>
        <w:kinsoku/>
        <w:wordWrap/>
        <w:overflowPunct/>
        <w:topLinePunct w:val="0"/>
        <w:autoSpaceDE w:val="0"/>
        <w:autoSpaceDN w:val="0"/>
        <w:bidi w:val="0"/>
        <w:adjustRightInd w:val="0"/>
        <w:snapToGrid/>
        <w:spacing w:line="400" w:lineRule="exact"/>
        <w:ind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rPr>
        <w:t xml:space="preserve">                     </w:t>
      </w:r>
      <w:r>
        <w:rPr>
          <w:rFonts w:hint="eastAsia" w:ascii="仿宋" w:hAnsi="仿宋" w:eastAsia="仿宋" w:cs="仿宋"/>
          <w:color w:val="auto"/>
          <w:sz w:val="24"/>
          <w:szCs w:val="24"/>
          <w:u w:val="single"/>
        </w:rPr>
        <w:t xml:space="preserve">  </w:t>
      </w:r>
    </w:p>
    <w:p w14:paraId="700205BB">
      <w:pPr>
        <w:keepNext w:val="0"/>
        <w:keepLines w:val="0"/>
        <w:pageBreakBefore w:val="0"/>
        <w:widowControl w:val="0"/>
        <w:kinsoku/>
        <w:wordWrap/>
        <w:overflowPunct/>
        <w:topLinePunct w:val="0"/>
        <w:autoSpaceDE w:val="0"/>
        <w:autoSpaceDN w:val="0"/>
        <w:bidi w:val="0"/>
        <w:adjustRightInd w:val="0"/>
        <w:snapToGrid/>
        <w:spacing w:line="400" w:lineRule="exact"/>
        <w:ind w:firstLine="638" w:firstLineChars="266"/>
        <w:textAlignment w:val="auto"/>
        <w:rPr>
          <w:rFonts w:ascii="仿宋" w:hAnsi="仿宋" w:eastAsia="仿宋" w:cs="仿宋"/>
          <w:color w:val="auto"/>
          <w:sz w:val="24"/>
          <w:szCs w:val="24"/>
        </w:rPr>
      </w:pP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1439D635">
      <w:pPr>
        <w:keepNext w:val="0"/>
        <w:keepLines w:val="0"/>
        <w:pageBreakBefore w:val="0"/>
        <w:widowControl w:val="0"/>
        <w:kinsoku/>
        <w:wordWrap/>
        <w:overflowPunct/>
        <w:topLinePunct w:val="0"/>
        <w:autoSpaceDE w:val="0"/>
        <w:autoSpaceDN w:val="0"/>
        <w:bidi w:val="0"/>
        <w:adjustRightInd w:val="0"/>
        <w:snapToGrid/>
        <w:spacing w:line="400" w:lineRule="exact"/>
        <w:ind w:firstLine="684" w:firstLineChars="285"/>
        <w:textAlignment w:val="auto"/>
        <w:rPr>
          <w:rFonts w:hint="eastAsia" w:ascii="仿宋" w:hAnsi="仿宋" w:eastAsia="仿宋" w:cs="仿宋"/>
          <w:color w:val="auto"/>
          <w:sz w:val="24"/>
          <w:szCs w:val="24"/>
        </w:rPr>
      </w:pPr>
    </w:p>
    <w:p w14:paraId="2AA7ABDF">
      <w:pPr>
        <w:keepNext w:val="0"/>
        <w:keepLines w:val="0"/>
        <w:pageBreakBefore w:val="0"/>
        <w:widowControl w:val="0"/>
        <w:kinsoku/>
        <w:wordWrap/>
        <w:overflowPunct/>
        <w:topLinePunct w:val="0"/>
        <w:autoSpaceDE w:val="0"/>
        <w:autoSpaceDN w:val="0"/>
        <w:bidi w:val="0"/>
        <w:adjustRightInd w:val="0"/>
        <w:snapToGrid/>
        <w:spacing w:line="400" w:lineRule="exact"/>
        <w:ind w:firstLine="684" w:firstLineChars="285"/>
        <w:textAlignment w:val="auto"/>
        <w:rPr>
          <w:rFonts w:ascii="仿宋" w:hAnsi="仿宋" w:eastAsia="仿宋" w:cs="仿宋"/>
          <w:color w:val="auto"/>
          <w:sz w:val="24"/>
          <w:szCs w:val="24"/>
        </w:rPr>
      </w:pP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szCs w:val="24"/>
        </w:rPr>
        <w:t>：</w:t>
      </w:r>
    </w:p>
    <w:p w14:paraId="2E4ADC31">
      <w:pPr>
        <w:keepNext w:val="0"/>
        <w:keepLines w:val="0"/>
        <w:pageBreakBefore w:val="0"/>
        <w:widowControl w:val="0"/>
        <w:kinsoku/>
        <w:wordWrap/>
        <w:overflowPunct/>
        <w:topLinePunct w:val="0"/>
        <w:autoSpaceDE w:val="0"/>
        <w:autoSpaceDN w:val="0"/>
        <w:bidi w:val="0"/>
        <w:adjustRightInd w:val="0"/>
        <w:snapToGrid/>
        <w:spacing w:line="400" w:lineRule="exact"/>
        <w:ind w:firstLine="684" w:firstLineChars="285"/>
        <w:textAlignment w:val="auto"/>
        <w:rPr>
          <w:rFonts w:ascii="仿宋" w:hAnsi="仿宋" w:eastAsia="仿宋" w:cs="仿宋"/>
          <w:color w:val="auto"/>
          <w:sz w:val="24"/>
          <w:szCs w:val="24"/>
          <w:lang w:val="en-US"/>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rPr>
        <w:t xml:space="preserve">    年  月  日</w:t>
      </w:r>
    </w:p>
    <w:p w14:paraId="02104A92">
      <w:pPr>
        <w:keepNext w:val="0"/>
        <w:keepLines w:val="0"/>
        <w:pageBreakBefore w:val="0"/>
        <w:widowControl w:val="0"/>
        <w:kinsoku/>
        <w:wordWrap/>
        <w:overflowPunct/>
        <w:topLinePunct w:val="0"/>
        <w:autoSpaceDE w:val="0"/>
        <w:autoSpaceDN w:val="0"/>
        <w:bidi w:val="0"/>
        <w:adjustRightInd w:val="0"/>
        <w:snapToGrid/>
        <w:spacing w:line="400" w:lineRule="exact"/>
        <w:ind w:firstLine="684" w:firstLineChars="285"/>
        <w:textAlignment w:val="auto"/>
        <w:rPr>
          <w:rFonts w:ascii="仿宋" w:hAnsi="仿宋" w:eastAsia="仿宋" w:cs="仿宋"/>
          <w:color w:val="auto"/>
          <w:sz w:val="24"/>
          <w:szCs w:val="24"/>
        </w:rPr>
      </w:pPr>
    </w:p>
    <w:p w14:paraId="39D9BADA">
      <w:pPr>
        <w:keepNext w:val="0"/>
        <w:keepLines w:val="0"/>
        <w:pageBreakBefore w:val="0"/>
        <w:widowControl w:val="0"/>
        <w:kinsoku/>
        <w:wordWrap/>
        <w:overflowPunct/>
        <w:topLinePunct w:val="0"/>
        <w:autoSpaceDE w:val="0"/>
        <w:autoSpaceDN w:val="0"/>
        <w:bidi w:val="0"/>
        <w:snapToGrid/>
        <w:spacing w:line="400" w:lineRule="exact"/>
        <w:ind w:firstLine="562" w:firstLineChars="200"/>
        <w:textAlignment w:val="auto"/>
        <w:rPr>
          <w:color w:val="auto"/>
          <w:sz w:val="24"/>
          <w:u w:val="single"/>
        </w:rPr>
      </w:pPr>
      <w:r>
        <w:rPr>
          <w:rFonts w:hint="eastAsia" w:ascii="仿宋" w:hAnsi="仿宋" w:eastAsia="仿宋" w:cs="仿宋"/>
          <w:b/>
          <w:bCs/>
          <w:color w:val="auto"/>
          <w:sz w:val="28"/>
          <w:szCs w:val="24"/>
          <w:u w:val="single"/>
        </w:rPr>
        <w:t>▲不提供本函做无效投标处理。</w:t>
      </w:r>
    </w:p>
    <w:p w14:paraId="00CA6FCA">
      <w:pPr>
        <w:rPr>
          <w:color w:val="auto"/>
          <w:sz w:val="24"/>
          <w:u w:val="single"/>
        </w:rPr>
      </w:pPr>
      <w:r>
        <w:rPr>
          <w:rFonts w:hint="eastAsia"/>
          <w:color w:val="auto"/>
          <w:sz w:val="24"/>
          <w:u w:val="single"/>
        </w:rPr>
        <w:br w:type="page"/>
      </w:r>
    </w:p>
    <w:p w14:paraId="16B36FAA">
      <w:pPr>
        <w:rPr>
          <w:color w:val="auto"/>
        </w:rPr>
      </w:pPr>
    </w:p>
    <w:p w14:paraId="1311DE41">
      <w:pPr>
        <w:ind w:right="0"/>
        <w:jc w:val="center"/>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授权委托书或法定代表人（单位负责人、自然人本人）身份证明</w:t>
      </w:r>
    </w:p>
    <w:p w14:paraId="23694A85">
      <w:pPr>
        <w:spacing w:before="67"/>
        <w:ind w:left="1215" w:right="1232"/>
        <w:jc w:val="center"/>
        <w:rPr>
          <w:rFonts w:hint="eastAsia" w:ascii="仿宋" w:hAnsi="仿宋" w:eastAsia="仿宋" w:cs="仿宋"/>
          <w:color w:val="auto"/>
          <w:sz w:val="32"/>
          <w:szCs w:val="32"/>
          <w:lang w:val="en-US"/>
        </w:rPr>
      </w:pPr>
    </w:p>
    <w:p w14:paraId="01D2B7BC">
      <w:pPr>
        <w:spacing w:before="67"/>
        <w:ind w:left="1215" w:right="1232"/>
        <w:jc w:val="center"/>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授权委托书</w:t>
      </w:r>
    </w:p>
    <w:p w14:paraId="3A670829">
      <w:pPr>
        <w:pStyle w:val="6"/>
        <w:rPr>
          <w:color w:val="auto"/>
        </w:rPr>
      </w:pPr>
    </w:p>
    <w:p w14:paraId="2D4FE91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u w:val="single"/>
          <w:lang w:val="zh-CN"/>
        </w:rPr>
        <w:t>龙港市世纪中学、浙江东瓯工程造价咨询有限公司：</w:t>
      </w:r>
    </w:p>
    <w:p w14:paraId="7827D54A">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kern w:val="0"/>
          <w:sz w:val="24"/>
          <w:u w:val="single"/>
          <w:lang w:val="zh-CN"/>
        </w:rPr>
        <w:t>龙港市世纪中学功能教室设备仪器采购项目</w:t>
      </w:r>
      <w:r>
        <w:rPr>
          <w:rFonts w:hint="eastAsia" w:ascii="仿宋" w:hAnsi="仿宋" w:eastAsia="仿宋" w:cs="仿宋"/>
          <w:color w:val="auto"/>
          <w:kern w:val="0"/>
          <w:sz w:val="24"/>
          <w:lang w:val="zh-CN"/>
        </w:rPr>
        <w:t>【招标编号：LGCG2025129】政府采购投标的一切事项，其法律后果由我方承担。</w:t>
      </w:r>
    </w:p>
    <w:p w14:paraId="64BB1D5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lang w:val="en-US" w:eastAsia="zh-CN"/>
        </w:rPr>
        <w:t>2025</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lang w:val="en-US" w:eastAsia="zh-CN"/>
        </w:rPr>
        <w:t>2025</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1F15D2D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547576E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43D582D1">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4DC1AF95">
      <w:pPr>
        <w:rPr>
          <w:rFonts w:hint="eastAsia"/>
          <w:color w:val="auto"/>
          <w:lang w:val="en-US" w:eastAsia="zh-CN"/>
        </w:rPr>
      </w:pPr>
    </w:p>
    <w:p w14:paraId="02A1ED9C">
      <w:pPr>
        <w:rPr>
          <w:rFonts w:hint="eastAsia"/>
          <w:color w:val="auto"/>
          <w:lang w:val="en-US" w:eastAsia="zh-CN"/>
        </w:rPr>
      </w:pPr>
    </w:p>
    <w:p w14:paraId="534C2442">
      <w:pPr>
        <w:spacing w:line="360" w:lineRule="auto"/>
        <w:ind w:right="0"/>
        <w:jc w:val="center"/>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法定代表人、单位负责人或自然人本人的身份证明（适用于法定代表人、单位负责人或者自然人本人代表投标人参加投标）</w:t>
      </w:r>
    </w:p>
    <w:p w14:paraId="299FEFC8">
      <w:pPr>
        <w:pStyle w:val="79"/>
        <w:spacing w:line="360" w:lineRule="auto"/>
        <w:rPr>
          <w:rFonts w:hint="eastAsia" w:hAnsi="宋体" w:cs="宋体"/>
          <w:bCs/>
          <w:color w:val="auto"/>
          <w:sz w:val="24"/>
        </w:rPr>
      </w:pPr>
    </w:p>
    <w:p w14:paraId="4D00E2D3">
      <w:pPr>
        <w:pStyle w:val="79"/>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14:paraId="62D1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9558" w:type="dxa"/>
          </w:tcPr>
          <w:p w14:paraId="00792E00">
            <w:pPr>
              <w:pStyle w:val="79"/>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 xml:space="preserve">正面：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 xml:space="preserve"> 反面：</w:t>
            </w:r>
          </w:p>
          <w:p w14:paraId="560E856B">
            <w:pPr>
              <w:pStyle w:val="79"/>
              <w:adjustRightInd w:val="0"/>
              <w:spacing w:line="360" w:lineRule="auto"/>
              <w:rPr>
                <w:rFonts w:hint="eastAsia" w:ascii="仿宋" w:hAnsi="仿宋" w:eastAsia="仿宋" w:cs="仿宋"/>
                <w:bCs/>
                <w:color w:val="auto"/>
                <w:sz w:val="24"/>
              </w:rPr>
            </w:pPr>
          </w:p>
        </w:tc>
      </w:tr>
    </w:tbl>
    <w:p w14:paraId="2AD3117F">
      <w:pPr>
        <w:snapToGrid w:val="0"/>
        <w:spacing w:line="360" w:lineRule="auto"/>
        <w:ind w:firstLine="576"/>
        <w:jc w:val="center"/>
        <w:rPr>
          <w:rFonts w:hint="eastAsia" w:ascii="仿宋" w:hAnsi="仿宋" w:eastAsia="仿宋" w:cs="仿宋"/>
          <w:color w:val="auto"/>
          <w:kern w:val="0"/>
          <w:sz w:val="24"/>
          <w:lang w:val="zh-CN"/>
        </w:rPr>
      </w:pPr>
    </w:p>
    <w:p w14:paraId="7AA28643">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1B2535F5">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4E6C175">
      <w:pPr>
        <w:rPr>
          <w:rFonts w:hint="eastAsia"/>
          <w:color w:val="auto"/>
          <w:lang w:val="en-US" w:eastAsia="zh-CN"/>
        </w:rPr>
      </w:pPr>
    </w:p>
    <w:p w14:paraId="22B70263">
      <w:pPr>
        <w:rPr>
          <w:color w:val="auto"/>
        </w:rPr>
      </w:pPr>
      <w:r>
        <w:rPr>
          <w:color w:val="auto"/>
        </w:rPr>
        <w:br w:type="page"/>
      </w:r>
    </w:p>
    <w:p w14:paraId="53EECEC3">
      <w:pPr>
        <w:pStyle w:val="2"/>
        <w:rPr>
          <w:color w:val="auto"/>
        </w:rPr>
      </w:pPr>
    </w:p>
    <w:p w14:paraId="1A6031F7">
      <w:pPr>
        <w:spacing w:before="67"/>
        <w:ind w:left="1215" w:right="1232"/>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技术、商务偏离说明表</w:t>
      </w:r>
    </w:p>
    <w:p w14:paraId="418B2BFF">
      <w:pPr>
        <w:pStyle w:val="2"/>
        <w:rPr>
          <w:b/>
          <w:color w:val="auto"/>
          <w:sz w:val="20"/>
        </w:rPr>
      </w:pPr>
    </w:p>
    <w:p w14:paraId="495BB36D">
      <w:pPr>
        <w:spacing w:line="360" w:lineRule="auto"/>
        <w:rPr>
          <w:rFonts w:hint="eastAsia" w:ascii="仿宋" w:hAnsi="仿宋" w:eastAsia="仿宋" w:cs="仿宋"/>
          <w:color w:val="auto"/>
          <w:lang w:val="en-US" w:eastAsia="zh-CN"/>
        </w:rPr>
      </w:pPr>
      <w:r>
        <w:rPr>
          <w:rFonts w:hint="eastAsia" w:ascii="仿宋" w:hAnsi="仿宋" w:eastAsia="仿宋" w:cs="仿宋"/>
          <w:color w:val="auto"/>
          <w:sz w:val="24"/>
          <w:szCs w:val="24"/>
          <w:lang w:val="en-US"/>
        </w:rPr>
        <w:t>项目名称：</w:t>
      </w:r>
      <w:r>
        <w:rPr>
          <w:rFonts w:hint="eastAsia" w:ascii="仿宋" w:hAnsi="仿宋" w:eastAsia="仿宋" w:cs="仿宋"/>
          <w:color w:val="auto"/>
          <w:spacing w:val="-11"/>
          <w:sz w:val="24"/>
          <w:szCs w:val="24"/>
          <w:lang w:val="en-US" w:eastAsia="zh-CN"/>
        </w:rPr>
        <w:t xml:space="preserve">龙港市世纪中学功能教室设备仪器采购项目       </w:t>
      </w:r>
      <w:r>
        <w:rPr>
          <w:rFonts w:hint="eastAsia" w:ascii="仿宋" w:hAnsi="仿宋" w:eastAsia="仿宋" w:cs="仿宋"/>
          <w:color w:val="auto"/>
          <w:sz w:val="24"/>
          <w:szCs w:val="24"/>
          <w:lang w:val="en-US"/>
        </w:rPr>
        <w:t>项目编号：</w:t>
      </w:r>
      <w:r>
        <w:rPr>
          <w:rFonts w:hint="eastAsia" w:ascii="仿宋" w:hAnsi="仿宋" w:eastAsia="仿宋" w:cs="仿宋"/>
          <w:color w:val="auto"/>
          <w:sz w:val="24"/>
          <w:szCs w:val="24"/>
          <w:lang w:val="en-US" w:eastAsia="zh-CN"/>
        </w:rPr>
        <w:t>LGCG2025129</w:t>
      </w:r>
    </w:p>
    <w:tbl>
      <w:tblPr>
        <w:tblStyle w:val="26"/>
        <w:tblW w:w="9930" w:type="dxa"/>
        <w:tblInd w:w="-12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741"/>
        <w:gridCol w:w="741"/>
        <w:gridCol w:w="741"/>
        <w:gridCol w:w="741"/>
        <w:gridCol w:w="2115"/>
        <w:gridCol w:w="2265"/>
        <w:gridCol w:w="1845"/>
      </w:tblGrid>
      <w:tr w14:paraId="289C6F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41" w:type="dxa"/>
            <w:tcBorders>
              <w:tl2br w:val="nil"/>
              <w:tr2bl w:val="nil"/>
            </w:tcBorders>
            <w:shd w:val="clear" w:color="auto" w:fill="B6DDE8" w:themeFill="accent5" w:themeFillTint="66"/>
            <w:vAlign w:val="center"/>
          </w:tcPr>
          <w:p w14:paraId="51CF7758">
            <w:pPr>
              <w:pStyle w:val="37"/>
              <w:jc w:val="center"/>
              <w:rPr>
                <w:rFonts w:ascii="仿宋" w:hAnsi="仿宋" w:eastAsia="仿宋" w:cs="仿宋"/>
                <w:b/>
                <w:bCs/>
                <w:color w:val="auto"/>
                <w:sz w:val="24"/>
                <w:szCs w:val="24"/>
                <w:lang w:val="en-US"/>
              </w:rPr>
            </w:pPr>
            <w:r>
              <w:rPr>
                <w:rFonts w:hint="eastAsia" w:ascii="仿宋" w:hAnsi="仿宋" w:eastAsia="仿宋" w:cs="仿宋"/>
                <w:b/>
                <w:bCs/>
                <w:color w:val="auto"/>
                <w:sz w:val="24"/>
                <w:szCs w:val="24"/>
                <w:lang w:val="en-US"/>
              </w:rPr>
              <w:t>序号</w:t>
            </w:r>
          </w:p>
        </w:tc>
        <w:tc>
          <w:tcPr>
            <w:tcW w:w="741" w:type="dxa"/>
            <w:tcBorders>
              <w:tl2br w:val="nil"/>
              <w:tr2bl w:val="nil"/>
            </w:tcBorders>
            <w:shd w:val="clear" w:color="auto" w:fill="B6DDE8" w:themeFill="accent5" w:themeFillTint="66"/>
            <w:vAlign w:val="center"/>
          </w:tcPr>
          <w:p w14:paraId="351F8B5D">
            <w:pPr>
              <w:pStyle w:val="37"/>
              <w:jc w:val="center"/>
              <w:rPr>
                <w:rFonts w:ascii="仿宋" w:hAnsi="仿宋" w:eastAsia="仿宋" w:cs="仿宋"/>
                <w:b/>
                <w:bCs/>
                <w:color w:val="auto"/>
                <w:sz w:val="24"/>
                <w:szCs w:val="24"/>
                <w:lang w:val="en-US"/>
              </w:rPr>
            </w:pPr>
            <w:r>
              <w:rPr>
                <w:rFonts w:hint="eastAsia" w:ascii="仿宋" w:hAnsi="仿宋" w:eastAsia="仿宋" w:cs="仿宋"/>
                <w:b/>
                <w:bCs/>
                <w:color w:val="auto"/>
                <w:sz w:val="24"/>
                <w:szCs w:val="24"/>
                <w:lang w:val="en-US"/>
              </w:rPr>
              <w:t>货物</w:t>
            </w:r>
          </w:p>
          <w:p w14:paraId="589E1B23">
            <w:pPr>
              <w:pStyle w:val="37"/>
              <w:jc w:val="center"/>
              <w:rPr>
                <w:rFonts w:ascii="仿宋" w:hAnsi="仿宋" w:eastAsia="仿宋" w:cs="仿宋"/>
                <w:b/>
                <w:bCs/>
                <w:color w:val="auto"/>
                <w:sz w:val="24"/>
                <w:szCs w:val="24"/>
                <w:lang w:val="en-US"/>
              </w:rPr>
            </w:pPr>
            <w:r>
              <w:rPr>
                <w:rFonts w:hint="eastAsia" w:ascii="仿宋" w:hAnsi="仿宋" w:eastAsia="仿宋" w:cs="仿宋"/>
                <w:b/>
                <w:bCs/>
                <w:color w:val="auto"/>
                <w:sz w:val="24"/>
                <w:szCs w:val="24"/>
                <w:lang w:val="en-US"/>
              </w:rPr>
              <w:t>名称</w:t>
            </w:r>
          </w:p>
        </w:tc>
        <w:tc>
          <w:tcPr>
            <w:tcW w:w="741" w:type="dxa"/>
            <w:tcBorders>
              <w:tl2br w:val="nil"/>
              <w:tr2bl w:val="nil"/>
            </w:tcBorders>
            <w:shd w:val="clear" w:color="auto" w:fill="B6DDE8" w:themeFill="accent5" w:themeFillTint="66"/>
            <w:vAlign w:val="center"/>
          </w:tcPr>
          <w:p w14:paraId="742789AE">
            <w:pPr>
              <w:pStyle w:val="37"/>
              <w:jc w:val="center"/>
              <w:rPr>
                <w:rFonts w:ascii="仿宋" w:hAnsi="仿宋" w:eastAsia="仿宋" w:cs="仿宋"/>
                <w:b/>
                <w:bCs/>
                <w:color w:val="auto"/>
                <w:sz w:val="24"/>
                <w:szCs w:val="24"/>
                <w:lang w:val="en-US"/>
              </w:rPr>
            </w:pPr>
            <w:r>
              <w:rPr>
                <w:rFonts w:hint="eastAsia" w:ascii="仿宋" w:hAnsi="仿宋" w:eastAsia="仿宋" w:cs="仿宋"/>
                <w:b/>
                <w:bCs/>
                <w:color w:val="auto"/>
                <w:sz w:val="24"/>
                <w:szCs w:val="24"/>
                <w:lang w:val="en-US"/>
              </w:rPr>
              <w:t>品牌</w:t>
            </w:r>
          </w:p>
        </w:tc>
        <w:tc>
          <w:tcPr>
            <w:tcW w:w="741" w:type="dxa"/>
            <w:tcBorders>
              <w:tl2br w:val="nil"/>
              <w:tr2bl w:val="nil"/>
            </w:tcBorders>
            <w:shd w:val="clear" w:color="auto" w:fill="B6DDE8" w:themeFill="accent5" w:themeFillTint="66"/>
            <w:vAlign w:val="center"/>
          </w:tcPr>
          <w:p w14:paraId="6FC6DA64">
            <w:pPr>
              <w:pStyle w:val="37"/>
              <w:jc w:val="center"/>
              <w:rPr>
                <w:rFonts w:ascii="仿宋" w:hAnsi="仿宋" w:eastAsia="仿宋" w:cs="仿宋"/>
                <w:b/>
                <w:bCs/>
                <w:color w:val="auto"/>
                <w:sz w:val="24"/>
                <w:szCs w:val="24"/>
                <w:lang w:val="en-US"/>
              </w:rPr>
            </w:pPr>
            <w:r>
              <w:rPr>
                <w:rFonts w:hint="eastAsia" w:ascii="仿宋" w:hAnsi="仿宋" w:eastAsia="仿宋" w:cs="仿宋"/>
                <w:b/>
                <w:bCs/>
                <w:color w:val="auto"/>
                <w:sz w:val="24"/>
                <w:szCs w:val="24"/>
                <w:lang w:val="en-US"/>
              </w:rPr>
              <w:t>型号</w:t>
            </w:r>
          </w:p>
        </w:tc>
        <w:tc>
          <w:tcPr>
            <w:tcW w:w="741" w:type="dxa"/>
            <w:tcBorders>
              <w:tl2br w:val="nil"/>
              <w:tr2bl w:val="nil"/>
            </w:tcBorders>
            <w:shd w:val="clear" w:color="auto" w:fill="B6DDE8" w:themeFill="accent5" w:themeFillTint="66"/>
            <w:vAlign w:val="center"/>
          </w:tcPr>
          <w:p w14:paraId="4915B7D8">
            <w:pPr>
              <w:pStyle w:val="37"/>
              <w:jc w:val="center"/>
              <w:rPr>
                <w:rFonts w:ascii="仿宋" w:hAnsi="仿宋" w:eastAsia="仿宋" w:cs="仿宋"/>
                <w:b/>
                <w:bCs/>
                <w:color w:val="auto"/>
                <w:sz w:val="24"/>
                <w:szCs w:val="24"/>
                <w:lang w:val="en-US"/>
              </w:rPr>
            </w:pPr>
            <w:r>
              <w:rPr>
                <w:rFonts w:hint="eastAsia" w:ascii="仿宋" w:hAnsi="仿宋" w:eastAsia="仿宋" w:cs="仿宋"/>
                <w:b/>
                <w:bCs/>
                <w:color w:val="auto"/>
                <w:sz w:val="24"/>
                <w:szCs w:val="24"/>
                <w:lang w:val="en-US"/>
              </w:rPr>
              <w:t>数量</w:t>
            </w:r>
          </w:p>
        </w:tc>
        <w:tc>
          <w:tcPr>
            <w:tcW w:w="2115" w:type="dxa"/>
            <w:tcBorders>
              <w:tl2br w:val="nil"/>
              <w:tr2bl w:val="nil"/>
            </w:tcBorders>
            <w:shd w:val="clear" w:color="auto" w:fill="B6DDE8" w:themeFill="accent5" w:themeFillTint="66"/>
            <w:vAlign w:val="center"/>
          </w:tcPr>
          <w:p w14:paraId="17EB2182">
            <w:pPr>
              <w:pStyle w:val="37"/>
              <w:jc w:val="center"/>
              <w:rPr>
                <w:rFonts w:ascii="仿宋" w:hAnsi="仿宋" w:eastAsia="仿宋" w:cs="仿宋"/>
                <w:b/>
                <w:bCs/>
                <w:color w:val="auto"/>
                <w:sz w:val="24"/>
                <w:szCs w:val="24"/>
              </w:rPr>
            </w:pPr>
            <w:r>
              <w:rPr>
                <w:rFonts w:hint="eastAsia" w:ascii="仿宋" w:hAnsi="仿宋" w:eastAsia="仿宋" w:cs="仿宋"/>
                <w:b/>
                <w:bCs/>
                <w:color w:val="auto"/>
                <w:sz w:val="24"/>
                <w:szCs w:val="24"/>
              </w:rPr>
              <w:t>采购文件要求</w:t>
            </w:r>
          </w:p>
        </w:tc>
        <w:tc>
          <w:tcPr>
            <w:tcW w:w="2265" w:type="dxa"/>
            <w:tcBorders>
              <w:tl2br w:val="nil"/>
              <w:tr2bl w:val="nil"/>
            </w:tcBorders>
            <w:shd w:val="clear" w:color="auto" w:fill="B6DDE8" w:themeFill="accent5" w:themeFillTint="66"/>
            <w:vAlign w:val="center"/>
          </w:tcPr>
          <w:p w14:paraId="49001593">
            <w:pPr>
              <w:pStyle w:val="37"/>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投标文件响应情况</w:t>
            </w:r>
          </w:p>
        </w:tc>
        <w:tc>
          <w:tcPr>
            <w:tcW w:w="1845" w:type="dxa"/>
            <w:tcBorders>
              <w:tl2br w:val="nil"/>
              <w:tr2bl w:val="nil"/>
            </w:tcBorders>
            <w:shd w:val="clear" w:color="auto" w:fill="B6DDE8" w:themeFill="accent5" w:themeFillTint="66"/>
            <w:vAlign w:val="center"/>
          </w:tcPr>
          <w:p w14:paraId="4849FED5">
            <w:pPr>
              <w:pStyle w:val="37"/>
              <w:jc w:val="center"/>
              <w:rPr>
                <w:rFonts w:ascii="仿宋" w:hAnsi="仿宋" w:eastAsia="仿宋" w:cs="仿宋"/>
                <w:b/>
                <w:bCs/>
                <w:color w:val="auto"/>
                <w:sz w:val="24"/>
                <w:szCs w:val="24"/>
              </w:rPr>
            </w:pPr>
            <w:r>
              <w:rPr>
                <w:rFonts w:hint="eastAsia" w:ascii="仿宋" w:hAnsi="仿宋" w:eastAsia="仿宋" w:cs="仿宋"/>
                <w:b/>
                <w:bCs/>
                <w:color w:val="auto"/>
                <w:sz w:val="24"/>
                <w:szCs w:val="24"/>
              </w:rPr>
              <w:t>偏离情况</w:t>
            </w:r>
          </w:p>
        </w:tc>
      </w:tr>
      <w:tr w14:paraId="567C05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41" w:type="dxa"/>
            <w:tcBorders>
              <w:tl2br w:val="nil"/>
              <w:tr2bl w:val="nil"/>
            </w:tcBorders>
            <w:vAlign w:val="center"/>
          </w:tcPr>
          <w:p w14:paraId="5F9BDF54">
            <w:pPr>
              <w:pStyle w:val="37"/>
              <w:jc w:val="center"/>
              <w:rPr>
                <w:rFonts w:ascii="仿宋" w:hAnsi="仿宋" w:eastAsia="仿宋" w:cs="仿宋"/>
                <w:color w:val="auto"/>
                <w:sz w:val="24"/>
                <w:szCs w:val="24"/>
              </w:rPr>
            </w:pPr>
          </w:p>
        </w:tc>
        <w:tc>
          <w:tcPr>
            <w:tcW w:w="741" w:type="dxa"/>
            <w:tcBorders>
              <w:tl2br w:val="nil"/>
              <w:tr2bl w:val="nil"/>
            </w:tcBorders>
            <w:vAlign w:val="center"/>
          </w:tcPr>
          <w:p w14:paraId="6BF8CE83">
            <w:pPr>
              <w:pStyle w:val="37"/>
              <w:jc w:val="center"/>
              <w:rPr>
                <w:rFonts w:ascii="仿宋" w:hAnsi="仿宋" w:eastAsia="仿宋" w:cs="仿宋"/>
                <w:color w:val="auto"/>
                <w:sz w:val="24"/>
                <w:szCs w:val="24"/>
              </w:rPr>
            </w:pPr>
          </w:p>
        </w:tc>
        <w:tc>
          <w:tcPr>
            <w:tcW w:w="741" w:type="dxa"/>
            <w:tcBorders>
              <w:tl2br w:val="nil"/>
              <w:tr2bl w:val="nil"/>
            </w:tcBorders>
            <w:vAlign w:val="center"/>
          </w:tcPr>
          <w:p w14:paraId="6E73A887">
            <w:pPr>
              <w:pStyle w:val="37"/>
              <w:jc w:val="center"/>
              <w:rPr>
                <w:rFonts w:ascii="仿宋" w:hAnsi="仿宋" w:eastAsia="仿宋" w:cs="仿宋"/>
                <w:color w:val="auto"/>
                <w:sz w:val="24"/>
                <w:szCs w:val="24"/>
              </w:rPr>
            </w:pPr>
          </w:p>
        </w:tc>
        <w:tc>
          <w:tcPr>
            <w:tcW w:w="741" w:type="dxa"/>
            <w:tcBorders>
              <w:tl2br w:val="nil"/>
              <w:tr2bl w:val="nil"/>
            </w:tcBorders>
            <w:vAlign w:val="center"/>
          </w:tcPr>
          <w:p w14:paraId="5A33AF0E">
            <w:pPr>
              <w:pStyle w:val="37"/>
              <w:jc w:val="center"/>
              <w:rPr>
                <w:rFonts w:ascii="仿宋" w:hAnsi="仿宋" w:eastAsia="仿宋" w:cs="仿宋"/>
                <w:color w:val="auto"/>
                <w:sz w:val="24"/>
                <w:szCs w:val="24"/>
              </w:rPr>
            </w:pPr>
          </w:p>
        </w:tc>
        <w:tc>
          <w:tcPr>
            <w:tcW w:w="741" w:type="dxa"/>
            <w:tcBorders>
              <w:tl2br w:val="nil"/>
              <w:tr2bl w:val="nil"/>
            </w:tcBorders>
            <w:vAlign w:val="center"/>
          </w:tcPr>
          <w:p w14:paraId="63FA8578">
            <w:pPr>
              <w:pStyle w:val="37"/>
              <w:jc w:val="center"/>
              <w:rPr>
                <w:rFonts w:ascii="仿宋" w:hAnsi="仿宋" w:eastAsia="仿宋" w:cs="仿宋"/>
                <w:color w:val="auto"/>
                <w:sz w:val="24"/>
                <w:szCs w:val="24"/>
              </w:rPr>
            </w:pPr>
          </w:p>
        </w:tc>
        <w:tc>
          <w:tcPr>
            <w:tcW w:w="2115" w:type="dxa"/>
            <w:tcBorders>
              <w:tl2br w:val="nil"/>
              <w:tr2bl w:val="nil"/>
            </w:tcBorders>
            <w:vAlign w:val="center"/>
          </w:tcPr>
          <w:p w14:paraId="7F4F4666">
            <w:pPr>
              <w:pStyle w:val="37"/>
              <w:jc w:val="center"/>
              <w:rPr>
                <w:rFonts w:ascii="仿宋" w:hAnsi="仿宋" w:eastAsia="仿宋" w:cs="仿宋"/>
                <w:color w:val="auto"/>
                <w:sz w:val="24"/>
                <w:szCs w:val="24"/>
              </w:rPr>
            </w:pPr>
          </w:p>
        </w:tc>
        <w:tc>
          <w:tcPr>
            <w:tcW w:w="2265" w:type="dxa"/>
            <w:tcBorders>
              <w:tl2br w:val="nil"/>
              <w:tr2bl w:val="nil"/>
            </w:tcBorders>
            <w:vAlign w:val="center"/>
          </w:tcPr>
          <w:p w14:paraId="3F2702C9">
            <w:pPr>
              <w:pStyle w:val="37"/>
              <w:jc w:val="center"/>
              <w:rPr>
                <w:rFonts w:ascii="仿宋" w:hAnsi="仿宋" w:eastAsia="仿宋" w:cs="仿宋"/>
                <w:color w:val="auto"/>
                <w:sz w:val="24"/>
                <w:szCs w:val="24"/>
              </w:rPr>
            </w:pPr>
          </w:p>
        </w:tc>
        <w:tc>
          <w:tcPr>
            <w:tcW w:w="1845" w:type="dxa"/>
            <w:tcBorders>
              <w:tl2br w:val="nil"/>
              <w:tr2bl w:val="nil"/>
            </w:tcBorders>
            <w:vAlign w:val="center"/>
          </w:tcPr>
          <w:p w14:paraId="1B86C67F">
            <w:pPr>
              <w:pStyle w:val="37"/>
              <w:jc w:val="center"/>
              <w:rPr>
                <w:rFonts w:ascii="仿宋" w:hAnsi="仿宋" w:eastAsia="仿宋" w:cs="仿宋"/>
                <w:color w:val="auto"/>
                <w:sz w:val="24"/>
                <w:szCs w:val="24"/>
              </w:rPr>
            </w:pPr>
          </w:p>
        </w:tc>
      </w:tr>
      <w:tr w14:paraId="124B94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41" w:type="dxa"/>
            <w:tcBorders>
              <w:tl2br w:val="nil"/>
              <w:tr2bl w:val="nil"/>
            </w:tcBorders>
            <w:vAlign w:val="center"/>
          </w:tcPr>
          <w:p w14:paraId="512F2B92">
            <w:pPr>
              <w:pStyle w:val="37"/>
              <w:jc w:val="center"/>
              <w:rPr>
                <w:rFonts w:ascii="仿宋" w:hAnsi="仿宋" w:eastAsia="仿宋" w:cs="仿宋"/>
                <w:color w:val="auto"/>
                <w:sz w:val="24"/>
                <w:szCs w:val="24"/>
              </w:rPr>
            </w:pPr>
          </w:p>
        </w:tc>
        <w:tc>
          <w:tcPr>
            <w:tcW w:w="741" w:type="dxa"/>
            <w:tcBorders>
              <w:tl2br w:val="nil"/>
              <w:tr2bl w:val="nil"/>
            </w:tcBorders>
            <w:vAlign w:val="center"/>
          </w:tcPr>
          <w:p w14:paraId="720C813A">
            <w:pPr>
              <w:pStyle w:val="37"/>
              <w:jc w:val="center"/>
              <w:rPr>
                <w:rFonts w:ascii="仿宋" w:hAnsi="仿宋" w:eastAsia="仿宋" w:cs="仿宋"/>
                <w:color w:val="auto"/>
                <w:sz w:val="24"/>
                <w:szCs w:val="24"/>
              </w:rPr>
            </w:pPr>
          </w:p>
        </w:tc>
        <w:tc>
          <w:tcPr>
            <w:tcW w:w="741" w:type="dxa"/>
            <w:tcBorders>
              <w:tl2br w:val="nil"/>
              <w:tr2bl w:val="nil"/>
            </w:tcBorders>
            <w:vAlign w:val="center"/>
          </w:tcPr>
          <w:p w14:paraId="65C092F6">
            <w:pPr>
              <w:pStyle w:val="37"/>
              <w:jc w:val="center"/>
              <w:rPr>
                <w:rFonts w:ascii="仿宋" w:hAnsi="仿宋" w:eastAsia="仿宋" w:cs="仿宋"/>
                <w:color w:val="auto"/>
                <w:sz w:val="24"/>
                <w:szCs w:val="24"/>
              </w:rPr>
            </w:pPr>
          </w:p>
        </w:tc>
        <w:tc>
          <w:tcPr>
            <w:tcW w:w="741" w:type="dxa"/>
            <w:tcBorders>
              <w:tl2br w:val="nil"/>
              <w:tr2bl w:val="nil"/>
            </w:tcBorders>
            <w:vAlign w:val="center"/>
          </w:tcPr>
          <w:p w14:paraId="3182D2F8">
            <w:pPr>
              <w:pStyle w:val="37"/>
              <w:jc w:val="center"/>
              <w:rPr>
                <w:rFonts w:ascii="仿宋" w:hAnsi="仿宋" w:eastAsia="仿宋" w:cs="仿宋"/>
                <w:color w:val="auto"/>
                <w:sz w:val="24"/>
                <w:szCs w:val="24"/>
              </w:rPr>
            </w:pPr>
          </w:p>
        </w:tc>
        <w:tc>
          <w:tcPr>
            <w:tcW w:w="741" w:type="dxa"/>
            <w:tcBorders>
              <w:tl2br w:val="nil"/>
              <w:tr2bl w:val="nil"/>
            </w:tcBorders>
            <w:vAlign w:val="center"/>
          </w:tcPr>
          <w:p w14:paraId="321C18BD">
            <w:pPr>
              <w:pStyle w:val="37"/>
              <w:jc w:val="center"/>
              <w:rPr>
                <w:rFonts w:ascii="仿宋" w:hAnsi="仿宋" w:eastAsia="仿宋" w:cs="仿宋"/>
                <w:color w:val="auto"/>
                <w:sz w:val="24"/>
                <w:szCs w:val="24"/>
              </w:rPr>
            </w:pPr>
          </w:p>
        </w:tc>
        <w:tc>
          <w:tcPr>
            <w:tcW w:w="2115" w:type="dxa"/>
            <w:tcBorders>
              <w:tl2br w:val="nil"/>
              <w:tr2bl w:val="nil"/>
            </w:tcBorders>
            <w:vAlign w:val="center"/>
          </w:tcPr>
          <w:p w14:paraId="4E227989">
            <w:pPr>
              <w:pStyle w:val="37"/>
              <w:jc w:val="center"/>
              <w:rPr>
                <w:rFonts w:ascii="仿宋" w:hAnsi="仿宋" w:eastAsia="仿宋" w:cs="仿宋"/>
                <w:color w:val="auto"/>
                <w:sz w:val="24"/>
                <w:szCs w:val="24"/>
              </w:rPr>
            </w:pPr>
          </w:p>
        </w:tc>
        <w:tc>
          <w:tcPr>
            <w:tcW w:w="2265" w:type="dxa"/>
            <w:tcBorders>
              <w:tl2br w:val="nil"/>
              <w:tr2bl w:val="nil"/>
            </w:tcBorders>
            <w:vAlign w:val="center"/>
          </w:tcPr>
          <w:p w14:paraId="76AED979">
            <w:pPr>
              <w:pStyle w:val="37"/>
              <w:jc w:val="center"/>
              <w:rPr>
                <w:rFonts w:ascii="仿宋" w:hAnsi="仿宋" w:eastAsia="仿宋" w:cs="仿宋"/>
                <w:color w:val="auto"/>
                <w:sz w:val="24"/>
                <w:szCs w:val="24"/>
              </w:rPr>
            </w:pPr>
          </w:p>
        </w:tc>
        <w:tc>
          <w:tcPr>
            <w:tcW w:w="1845" w:type="dxa"/>
            <w:tcBorders>
              <w:tl2br w:val="nil"/>
              <w:tr2bl w:val="nil"/>
            </w:tcBorders>
            <w:vAlign w:val="center"/>
          </w:tcPr>
          <w:p w14:paraId="06FCB161">
            <w:pPr>
              <w:pStyle w:val="37"/>
              <w:jc w:val="center"/>
              <w:rPr>
                <w:rFonts w:ascii="仿宋" w:hAnsi="仿宋" w:eastAsia="仿宋" w:cs="仿宋"/>
                <w:color w:val="auto"/>
                <w:sz w:val="24"/>
                <w:szCs w:val="24"/>
              </w:rPr>
            </w:pPr>
          </w:p>
        </w:tc>
      </w:tr>
      <w:tr w14:paraId="473A26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41" w:type="dxa"/>
            <w:tcBorders>
              <w:tl2br w:val="nil"/>
              <w:tr2bl w:val="nil"/>
            </w:tcBorders>
            <w:vAlign w:val="center"/>
          </w:tcPr>
          <w:p w14:paraId="1FCBE93C">
            <w:pPr>
              <w:pStyle w:val="37"/>
              <w:jc w:val="center"/>
              <w:rPr>
                <w:rFonts w:ascii="仿宋" w:hAnsi="仿宋" w:eastAsia="仿宋" w:cs="仿宋"/>
                <w:color w:val="auto"/>
                <w:sz w:val="24"/>
                <w:szCs w:val="24"/>
              </w:rPr>
            </w:pPr>
          </w:p>
        </w:tc>
        <w:tc>
          <w:tcPr>
            <w:tcW w:w="741" w:type="dxa"/>
            <w:tcBorders>
              <w:tl2br w:val="nil"/>
              <w:tr2bl w:val="nil"/>
            </w:tcBorders>
            <w:vAlign w:val="center"/>
          </w:tcPr>
          <w:p w14:paraId="5275CB51">
            <w:pPr>
              <w:pStyle w:val="37"/>
              <w:jc w:val="center"/>
              <w:rPr>
                <w:rFonts w:ascii="仿宋" w:hAnsi="仿宋" w:eastAsia="仿宋" w:cs="仿宋"/>
                <w:color w:val="auto"/>
                <w:sz w:val="24"/>
                <w:szCs w:val="24"/>
              </w:rPr>
            </w:pPr>
          </w:p>
        </w:tc>
        <w:tc>
          <w:tcPr>
            <w:tcW w:w="741" w:type="dxa"/>
            <w:tcBorders>
              <w:tl2br w:val="nil"/>
              <w:tr2bl w:val="nil"/>
            </w:tcBorders>
            <w:vAlign w:val="center"/>
          </w:tcPr>
          <w:p w14:paraId="7878E148">
            <w:pPr>
              <w:pStyle w:val="37"/>
              <w:jc w:val="center"/>
              <w:rPr>
                <w:rFonts w:ascii="仿宋" w:hAnsi="仿宋" w:eastAsia="仿宋" w:cs="仿宋"/>
                <w:color w:val="auto"/>
                <w:sz w:val="24"/>
                <w:szCs w:val="24"/>
              </w:rPr>
            </w:pPr>
          </w:p>
        </w:tc>
        <w:tc>
          <w:tcPr>
            <w:tcW w:w="741" w:type="dxa"/>
            <w:tcBorders>
              <w:tl2br w:val="nil"/>
              <w:tr2bl w:val="nil"/>
            </w:tcBorders>
            <w:vAlign w:val="center"/>
          </w:tcPr>
          <w:p w14:paraId="3B6D33FA">
            <w:pPr>
              <w:pStyle w:val="37"/>
              <w:jc w:val="center"/>
              <w:rPr>
                <w:rFonts w:ascii="仿宋" w:hAnsi="仿宋" w:eastAsia="仿宋" w:cs="仿宋"/>
                <w:color w:val="auto"/>
                <w:sz w:val="24"/>
                <w:szCs w:val="24"/>
              </w:rPr>
            </w:pPr>
          </w:p>
        </w:tc>
        <w:tc>
          <w:tcPr>
            <w:tcW w:w="741" w:type="dxa"/>
            <w:tcBorders>
              <w:tl2br w:val="nil"/>
              <w:tr2bl w:val="nil"/>
            </w:tcBorders>
            <w:vAlign w:val="center"/>
          </w:tcPr>
          <w:p w14:paraId="3904CC85">
            <w:pPr>
              <w:pStyle w:val="37"/>
              <w:jc w:val="center"/>
              <w:rPr>
                <w:rFonts w:ascii="仿宋" w:hAnsi="仿宋" w:eastAsia="仿宋" w:cs="仿宋"/>
                <w:color w:val="auto"/>
                <w:sz w:val="24"/>
                <w:szCs w:val="24"/>
              </w:rPr>
            </w:pPr>
          </w:p>
        </w:tc>
        <w:tc>
          <w:tcPr>
            <w:tcW w:w="2115" w:type="dxa"/>
            <w:tcBorders>
              <w:tl2br w:val="nil"/>
              <w:tr2bl w:val="nil"/>
            </w:tcBorders>
            <w:vAlign w:val="center"/>
          </w:tcPr>
          <w:p w14:paraId="795C7FE2">
            <w:pPr>
              <w:pStyle w:val="37"/>
              <w:jc w:val="center"/>
              <w:rPr>
                <w:rFonts w:ascii="仿宋" w:hAnsi="仿宋" w:eastAsia="仿宋" w:cs="仿宋"/>
                <w:color w:val="auto"/>
                <w:sz w:val="24"/>
                <w:szCs w:val="24"/>
              </w:rPr>
            </w:pPr>
          </w:p>
        </w:tc>
        <w:tc>
          <w:tcPr>
            <w:tcW w:w="2265" w:type="dxa"/>
            <w:tcBorders>
              <w:tl2br w:val="nil"/>
              <w:tr2bl w:val="nil"/>
            </w:tcBorders>
            <w:vAlign w:val="center"/>
          </w:tcPr>
          <w:p w14:paraId="14B0F30B">
            <w:pPr>
              <w:pStyle w:val="37"/>
              <w:jc w:val="center"/>
              <w:rPr>
                <w:rFonts w:ascii="仿宋" w:hAnsi="仿宋" w:eastAsia="仿宋" w:cs="仿宋"/>
                <w:color w:val="auto"/>
                <w:sz w:val="24"/>
                <w:szCs w:val="24"/>
              </w:rPr>
            </w:pPr>
          </w:p>
        </w:tc>
        <w:tc>
          <w:tcPr>
            <w:tcW w:w="1845" w:type="dxa"/>
            <w:tcBorders>
              <w:tl2br w:val="nil"/>
              <w:tr2bl w:val="nil"/>
            </w:tcBorders>
            <w:vAlign w:val="center"/>
          </w:tcPr>
          <w:p w14:paraId="5A48B181">
            <w:pPr>
              <w:pStyle w:val="37"/>
              <w:jc w:val="center"/>
              <w:rPr>
                <w:rFonts w:ascii="仿宋" w:hAnsi="仿宋" w:eastAsia="仿宋" w:cs="仿宋"/>
                <w:color w:val="auto"/>
                <w:sz w:val="24"/>
                <w:szCs w:val="24"/>
              </w:rPr>
            </w:pPr>
          </w:p>
        </w:tc>
      </w:tr>
      <w:tr w14:paraId="21E5AE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41" w:type="dxa"/>
            <w:tcBorders>
              <w:tl2br w:val="nil"/>
              <w:tr2bl w:val="nil"/>
            </w:tcBorders>
            <w:vAlign w:val="center"/>
          </w:tcPr>
          <w:p w14:paraId="67CB2119">
            <w:pPr>
              <w:pStyle w:val="37"/>
              <w:jc w:val="center"/>
              <w:rPr>
                <w:rFonts w:ascii="仿宋" w:hAnsi="仿宋" w:eastAsia="仿宋" w:cs="仿宋"/>
                <w:color w:val="auto"/>
                <w:sz w:val="24"/>
                <w:szCs w:val="24"/>
              </w:rPr>
            </w:pPr>
          </w:p>
        </w:tc>
        <w:tc>
          <w:tcPr>
            <w:tcW w:w="741" w:type="dxa"/>
            <w:tcBorders>
              <w:tl2br w:val="nil"/>
              <w:tr2bl w:val="nil"/>
            </w:tcBorders>
            <w:vAlign w:val="center"/>
          </w:tcPr>
          <w:p w14:paraId="59BF08AC">
            <w:pPr>
              <w:pStyle w:val="37"/>
              <w:jc w:val="center"/>
              <w:rPr>
                <w:rFonts w:ascii="仿宋" w:hAnsi="仿宋" w:eastAsia="仿宋" w:cs="仿宋"/>
                <w:color w:val="auto"/>
                <w:sz w:val="24"/>
                <w:szCs w:val="24"/>
              </w:rPr>
            </w:pPr>
          </w:p>
        </w:tc>
        <w:tc>
          <w:tcPr>
            <w:tcW w:w="741" w:type="dxa"/>
            <w:tcBorders>
              <w:tl2br w:val="nil"/>
              <w:tr2bl w:val="nil"/>
            </w:tcBorders>
            <w:vAlign w:val="center"/>
          </w:tcPr>
          <w:p w14:paraId="7EC74E33">
            <w:pPr>
              <w:pStyle w:val="37"/>
              <w:jc w:val="center"/>
              <w:rPr>
                <w:rFonts w:ascii="仿宋" w:hAnsi="仿宋" w:eastAsia="仿宋" w:cs="仿宋"/>
                <w:color w:val="auto"/>
                <w:sz w:val="24"/>
                <w:szCs w:val="24"/>
              </w:rPr>
            </w:pPr>
          </w:p>
        </w:tc>
        <w:tc>
          <w:tcPr>
            <w:tcW w:w="741" w:type="dxa"/>
            <w:tcBorders>
              <w:tl2br w:val="nil"/>
              <w:tr2bl w:val="nil"/>
            </w:tcBorders>
            <w:vAlign w:val="center"/>
          </w:tcPr>
          <w:p w14:paraId="35AAAAE1">
            <w:pPr>
              <w:pStyle w:val="37"/>
              <w:jc w:val="center"/>
              <w:rPr>
                <w:rFonts w:ascii="仿宋" w:hAnsi="仿宋" w:eastAsia="仿宋" w:cs="仿宋"/>
                <w:color w:val="auto"/>
                <w:sz w:val="24"/>
                <w:szCs w:val="24"/>
              </w:rPr>
            </w:pPr>
          </w:p>
        </w:tc>
        <w:tc>
          <w:tcPr>
            <w:tcW w:w="741" w:type="dxa"/>
            <w:tcBorders>
              <w:tl2br w:val="nil"/>
              <w:tr2bl w:val="nil"/>
            </w:tcBorders>
            <w:vAlign w:val="center"/>
          </w:tcPr>
          <w:p w14:paraId="4DB57314">
            <w:pPr>
              <w:pStyle w:val="37"/>
              <w:jc w:val="center"/>
              <w:rPr>
                <w:rFonts w:ascii="仿宋" w:hAnsi="仿宋" w:eastAsia="仿宋" w:cs="仿宋"/>
                <w:color w:val="auto"/>
                <w:sz w:val="24"/>
                <w:szCs w:val="24"/>
              </w:rPr>
            </w:pPr>
          </w:p>
        </w:tc>
        <w:tc>
          <w:tcPr>
            <w:tcW w:w="2115" w:type="dxa"/>
            <w:tcBorders>
              <w:tl2br w:val="nil"/>
              <w:tr2bl w:val="nil"/>
            </w:tcBorders>
            <w:vAlign w:val="center"/>
          </w:tcPr>
          <w:p w14:paraId="58137027">
            <w:pPr>
              <w:pStyle w:val="37"/>
              <w:jc w:val="center"/>
              <w:rPr>
                <w:rFonts w:ascii="仿宋" w:hAnsi="仿宋" w:eastAsia="仿宋" w:cs="仿宋"/>
                <w:color w:val="auto"/>
                <w:sz w:val="24"/>
                <w:szCs w:val="24"/>
              </w:rPr>
            </w:pPr>
          </w:p>
        </w:tc>
        <w:tc>
          <w:tcPr>
            <w:tcW w:w="2265" w:type="dxa"/>
            <w:tcBorders>
              <w:tl2br w:val="nil"/>
              <w:tr2bl w:val="nil"/>
            </w:tcBorders>
            <w:vAlign w:val="center"/>
          </w:tcPr>
          <w:p w14:paraId="2140B6D3">
            <w:pPr>
              <w:pStyle w:val="37"/>
              <w:jc w:val="center"/>
              <w:rPr>
                <w:rFonts w:ascii="仿宋" w:hAnsi="仿宋" w:eastAsia="仿宋" w:cs="仿宋"/>
                <w:color w:val="auto"/>
                <w:sz w:val="24"/>
                <w:szCs w:val="24"/>
              </w:rPr>
            </w:pPr>
          </w:p>
        </w:tc>
        <w:tc>
          <w:tcPr>
            <w:tcW w:w="1845" w:type="dxa"/>
            <w:tcBorders>
              <w:tl2br w:val="nil"/>
              <w:tr2bl w:val="nil"/>
            </w:tcBorders>
            <w:vAlign w:val="center"/>
          </w:tcPr>
          <w:p w14:paraId="4AF772C6">
            <w:pPr>
              <w:pStyle w:val="37"/>
              <w:jc w:val="center"/>
              <w:rPr>
                <w:rFonts w:ascii="仿宋" w:hAnsi="仿宋" w:eastAsia="仿宋" w:cs="仿宋"/>
                <w:color w:val="auto"/>
                <w:sz w:val="24"/>
                <w:szCs w:val="24"/>
              </w:rPr>
            </w:pPr>
          </w:p>
        </w:tc>
      </w:tr>
      <w:tr w14:paraId="52A03B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41" w:type="dxa"/>
            <w:tcBorders>
              <w:tl2br w:val="nil"/>
              <w:tr2bl w:val="nil"/>
            </w:tcBorders>
            <w:vAlign w:val="center"/>
          </w:tcPr>
          <w:p w14:paraId="55948343">
            <w:pPr>
              <w:pStyle w:val="37"/>
              <w:jc w:val="center"/>
              <w:rPr>
                <w:rFonts w:ascii="仿宋" w:hAnsi="仿宋" w:eastAsia="仿宋" w:cs="仿宋"/>
                <w:color w:val="auto"/>
                <w:sz w:val="24"/>
                <w:szCs w:val="24"/>
              </w:rPr>
            </w:pPr>
          </w:p>
        </w:tc>
        <w:tc>
          <w:tcPr>
            <w:tcW w:w="741" w:type="dxa"/>
            <w:tcBorders>
              <w:tl2br w:val="nil"/>
              <w:tr2bl w:val="nil"/>
            </w:tcBorders>
            <w:vAlign w:val="center"/>
          </w:tcPr>
          <w:p w14:paraId="02CC7974">
            <w:pPr>
              <w:pStyle w:val="37"/>
              <w:jc w:val="center"/>
              <w:rPr>
                <w:rFonts w:ascii="仿宋" w:hAnsi="仿宋" w:eastAsia="仿宋" w:cs="仿宋"/>
                <w:color w:val="auto"/>
                <w:sz w:val="24"/>
                <w:szCs w:val="24"/>
              </w:rPr>
            </w:pPr>
          </w:p>
        </w:tc>
        <w:tc>
          <w:tcPr>
            <w:tcW w:w="741" w:type="dxa"/>
            <w:tcBorders>
              <w:tl2br w:val="nil"/>
              <w:tr2bl w:val="nil"/>
            </w:tcBorders>
            <w:vAlign w:val="center"/>
          </w:tcPr>
          <w:p w14:paraId="40F13623">
            <w:pPr>
              <w:pStyle w:val="37"/>
              <w:jc w:val="center"/>
              <w:rPr>
                <w:rFonts w:ascii="仿宋" w:hAnsi="仿宋" w:eastAsia="仿宋" w:cs="仿宋"/>
                <w:color w:val="auto"/>
                <w:sz w:val="24"/>
                <w:szCs w:val="24"/>
              </w:rPr>
            </w:pPr>
          </w:p>
        </w:tc>
        <w:tc>
          <w:tcPr>
            <w:tcW w:w="741" w:type="dxa"/>
            <w:tcBorders>
              <w:tl2br w:val="nil"/>
              <w:tr2bl w:val="nil"/>
            </w:tcBorders>
            <w:vAlign w:val="center"/>
          </w:tcPr>
          <w:p w14:paraId="237A875F">
            <w:pPr>
              <w:pStyle w:val="37"/>
              <w:jc w:val="center"/>
              <w:rPr>
                <w:rFonts w:ascii="仿宋" w:hAnsi="仿宋" w:eastAsia="仿宋" w:cs="仿宋"/>
                <w:color w:val="auto"/>
                <w:sz w:val="24"/>
                <w:szCs w:val="24"/>
              </w:rPr>
            </w:pPr>
          </w:p>
        </w:tc>
        <w:tc>
          <w:tcPr>
            <w:tcW w:w="741" w:type="dxa"/>
            <w:tcBorders>
              <w:tl2br w:val="nil"/>
              <w:tr2bl w:val="nil"/>
            </w:tcBorders>
            <w:vAlign w:val="center"/>
          </w:tcPr>
          <w:p w14:paraId="20F10FAF">
            <w:pPr>
              <w:pStyle w:val="37"/>
              <w:jc w:val="center"/>
              <w:rPr>
                <w:rFonts w:ascii="仿宋" w:hAnsi="仿宋" w:eastAsia="仿宋" w:cs="仿宋"/>
                <w:color w:val="auto"/>
                <w:sz w:val="24"/>
                <w:szCs w:val="24"/>
              </w:rPr>
            </w:pPr>
          </w:p>
        </w:tc>
        <w:tc>
          <w:tcPr>
            <w:tcW w:w="2115" w:type="dxa"/>
            <w:tcBorders>
              <w:tl2br w:val="nil"/>
              <w:tr2bl w:val="nil"/>
            </w:tcBorders>
            <w:vAlign w:val="center"/>
          </w:tcPr>
          <w:p w14:paraId="48A6A6B0">
            <w:pPr>
              <w:pStyle w:val="37"/>
              <w:jc w:val="center"/>
              <w:rPr>
                <w:rFonts w:ascii="仿宋" w:hAnsi="仿宋" w:eastAsia="仿宋" w:cs="仿宋"/>
                <w:color w:val="auto"/>
                <w:sz w:val="24"/>
                <w:szCs w:val="24"/>
              </w:rPr>
            </w:pPr>
          </w:p>
        </w:tc>
        <w:tc>
          <w:tcPr>
            <w:tcW w:w="2265" w:type="dxa"/>
            <w:tcBorders>
              <w:tl2br w:val="nil"/>
              <w:tr2bl w:val="nil"/>
            </w:tcBorders>
            <w:vAlign w:val="center"/>
          </w:tcPr>
          <w:p w14:paraId="61406144">
            <w:pPr>
              <w:pStyle w:val="37"/>
              <w:jc w:val="center"/>
              <w:rPr>
                <w:rFonts w:ascii="仿宋" w:hAnsi="仿宋" w:eastAsia="仿宋" w:cs="仿宋"/>
                <w:color w:val="auto"/>
                <w:sz w:val="24"/>
                <w:szCs w:val="24"/>
              </w:rPr>
            </w:pPr>
          </w:p>
        </w:tc>
        <w:tc>
          <w:tcPr>
            <w:tcW w:w="1845" w:type="dxa"/>
            <w:tcBorders>
              <w:tl2br w:val="nil"/>
              <w:tr2bl w:val="nil"/>
            </w:tcBorders>
            <w:vAlign w:val="center"/>
          </w:tcPr>
          <w:p w14:paraId="2D61040B">
            <w:pPr>
              <w:pStyle w:val="37"/>
              <w:jc w:val="center"/>
              <w:rPr>
                <w:rFonts w:ascii="仿宋" w:hAnsi="仿宋" w:eastAsia="仿宋" w:cs="仿宋"/>
                <w:color w:val="auto"/>
                <w:sz w:val="24"/>
                <w:szCs w:val="24"/>
              </w:rPr>
            </w:pPr>
          </w:p>
        </w:tc>
      </w:tr>
      <w:tr w14:paraId="3D4FB2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41" w:type="dxa"/>
            <w:tcBorders>
              <w:tl2br w:val="nil"/>
              <w:tr2bl w:val="nil"/>
            </w:tcBorders>
            <w:vAlign w:val="center"/>
          </w:tcPr>
          <w:p w14:paraId="1F4BE9B6">
            <w:pPr>
              <w:pStyle w:val="37"/>
              <w:jc w:val="center"/>
              <w:rPr>
                <w:rFonts w:ascii="仿宋" w:hAnsi="仿宋" w:eastAsia="仿宋" w:cs="仿宋"/>
                <w:color w:val="auto"/>
                <w:sz w:val="24"/>
                <w:szCs w:val="24"/>
              </w:rPr>
            </w:pPr>
          </w:p>
        </w:tc>
        <w:tc>
          <w:tcPr>
            <w:tcW w:w="741" w:type="dxa"/>
            <w:tcBorders>
              <w:tl2br w:val="nil"/>
              <w:tr2bl w:val="nil"/>
            </w:tcBorders>
            <w:vAlign w:val="center"/>
          </w:tcPr>
          <w:p w14:paraId="20F8819A">
            <w:pPr>
              <w:pStyle w:val="37"/>
              <w:jc w:val="center"/>
              <w:rPr>
                <w:rFonts w:ascii="仿宋" w:hAnsi="仿宋" w:eastAsia="仿宋" w:cs="仿宋"/>
                <w:color w:val="auto"/>
                <w:sz w:val="24"/>
                <w:szCs w:val="24"/>
              </w:rPr>
            </w:pPr>
          </w:p>
        </w:tc>
        <w:tc>
          <w:tcPr>
            <w:tcW w:w="741" w:type="dxa"/>
            <w:tcBorders>
              <w:tl2br w:val="nil"/>
              <w:tr2bl w:val="nil"/>
            </w:tcBorders>
            <w:vAlign w:val="center"/>
          </w:tcPr>
          <w:p w14:paraId="1D9E6F32">
            <w:pPr>
              <w:pStyle w:val="37"/>
              <w:jc w:val="center"/>
              <w:rPr>
                <w:rFonts w:ascii="仿宋" w:hAnsi="仿宋" w:eastAsia="仿宋" w:cs="仿宋"/>
                <w:color w:val="auto"/>
                <w:sz w:val="24"/>
                <w:szCs w:val="24"/>
              </w:rPr>
            </w:pPr>
          </w:p>
        </w:tc>
        <w:tc>
          <w:tcPr>
            <w:tcW w:w="741" w:type="dxa"/>
            <w:tcBorders>
              <w:tl2br w:val="nil"/>
              <w:tr2bl w:val="nil"/>
            </w:tcBorders>
            <w:vAlign w:val="center"/>
          </w:tcPr>
          <w:p w14:paraId="5F3D7764">
            <w:pPr>
              <w:pStyle w:val="37"/>
              <w:jc w:val="center"/>
              <w:rPr>
                <w:rFonts w:ascii="仿宋" w:hAnsi="仿宋" w:eastAsia="仿宋" w:cs="仿宋"/>
                <w:color w:val="auto"/>
                <w:sz w:val="24"/>
                <w:szCs w:val="24"/>
              </w:rPr>
            </w:pPr>
          </w:p>
        </w:tc>
        <w:tc>
          <w:tcPr>
            <w:tcW w:w="741" w:type="dxa"/>
            <w:tcBorders>
              <w:tl2br w:val="nil"/>
              <w:tr2bl w:val="nil"/>
            </w:tcBorders>
            <w:vAlign w:val="center"/>
          </w:tcPr>
          <w:p w14:paraId="06CAFF27">
            <w:pPr>
              <w:pStyle w:val="37"/>
              <w:jc w:val="center"/>
              <w:rPr>
                <w:rFonts w:ascii="仿宋" w:hAnsi="仿宋" w:eastAsia="仿宋" w:cs="仿宋"/>
                <w:color w:val="auto"/>
                <w:sz w:val="24"/>
                <w:szCs w:val="24"/>
              </w:rPr>
            </w:pPr>
          </w:p>
        </w:tc>
        <w:tc>
          <w:tcPr>
            <w:tcW w:w="2115" w:type="dxa"/>
            <w:tcBorders>
              <w:tl2br w:val="nil"/>
              <w:tr2bl w:val="nil"/>
            </w:tcBorders>
            <w:vAlign w:val="center"/>
          </w:tcPr>
          <w:p w14:paraId="5FEEE41B">
            <w:pPr>
              <w:pStyle w:val="37"/>
              <w:jc w:val="center"/>
              <w:rPr>
                <w:rFonts w:ascii="仿宋" w:hAnsi="仿宋" w:eastAsia="仿宋" w:cs="仿宋"/>
                <w:color w:val="auto"/>
                <w:sz w:val="24"/>
                <w:szCs w:val="24"/>
              </w:rPr>
            </w:pPr>
          </w:p>
        </w:tc>
        <w:tc>
          <w:tcPr>
            <w:tcW w:w="2265" w:type="dxa"/>
            <w:tcBorders>
              <w:tl2br w:val="nil"/>
              <w:tr2bl w:val="nil"/>
            </w:tcBorders>
            <w:vAlign w:val="center"/>
          </w:tcPr>
          <w:p w14:paraId="788045AE">
            <w:pPr>
              <w:pStyle w:val="37"/>
              <w:jc w:val="center"/>
              <w:rPr>
                <w:rFonts w:ascii="仿宋" w:hAnsi="仿宋" w:eastAsia="仿宋" w:cs="仿宋"/>
                <w:color w:val="auto"/>
                <w:sz w:val="24"/>
                <w:szCs w:val="24"/>
              </w:rPr>
            </w:pPr>
          </w:p>
        </w:tc>
        <w:tc>
          <w:tcPr>
            <w:tcW w:w="1845" w:type="dxa"/>
            <w:tcBorders>
              <w:tl2br w:val="nil"/>
              <w:tr2bl w:val="nil"/>
            </w:tcBorders>
            <w:vAlign w:val="center"/>
          </w:tcPr>
          <w:p w14:paraId="1C0B6E43">
            <w:pPr>
              <w:pStyle w:val="37"/>
              <w:jc w:val="center"/>
              <w:rPr>
                <w:rFonts w:ascii="仿宋" w:hAnsi="仿宋" w:eastAsia="仿宋" w:cs="仿宋"/>
                <w:color w:val="auto"/>
                <w:sz w:val="24"/>
                <w:szCs w:val="24"/>
              </w:rPr>
            </w:pPr>
          </w:p>
        </w:tc>
      </w:tr>
      <w:tr w14:paraId="6F7D4C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41" w:type="dxa"/>
            <w:tcBorders>
              <w:tl2br w:val="nil"/>
              <w:tr2bl w:val="nil"/>
            </w:tcBorders>
            <w:vAlign w:val="center"/>
          </w:tcPr>
          <w:p w14:paraId="3DD0E963">
            <w:pPr>
              <w:pStyle w:val="37"/>
              <w:jc w:val="center"/>
              <w:rPr>
                <w:rFonts w:ascii="仿宋" w:hAnsi="仿宋" w:eastAsia="仿宋" w:cs="仿宋"/>
                <w:color w:val="auto"/>
                <w:sz w:val="24"/>
                <w:szCs w:val="24"/>
              </w:rPr>
            </w:pPr>
          </w:p>
        </w:tc>
        <w:tc>
          <w:tcPr>
            <w:tcW w:w="741" w:type="dxa"/>
            <w:tcBorders>
              <w:tl2br w:val="nil"/>
              <w:tr2bl w:val="nil"/>
            </w:tcBorders>
            <w:vAlign w:val="center"/>
          </w:tcPr>
          <w:p w14:paraId="76B65DB2">
            <w:pPr>
              <w:pStyle w:val="37"/>
              <w:jc w:val="center"/>
              <w:rPr>
                <w:rFonts w:ascii="仿宋" w:hAnsi="仿宋" w:eastAsia="仿宋" w:cs="仿宋"/>
                <w:color w:val="auto"/>
                <w:sz w:val="24"/>
                <w:szCs w:val="24"/>
              </w:rPr>
            </w:pPr>
          </w:p>
        </w:tc>
        <w:tc>
          <w:tcPr>
            <w:tcW w:w="741" w:type="dxa"/>
            <w:tcBorders>
              <w:tl2br w:val="nil"/>
              <w:tr2bl w:val="nil"/>
            </w:tcBorders>
            <w:vAlign w:val="center"/>
          </w:tcPr>
          <w:p w14:paraId="40BD2F9C">
            <w:pPr>
              <w:pStyle w:val="37"/>
              <w:jc w:val="center"/>
              <w:rPr>
                <w:rFonts w:ascii="仿宋" w:hAnsi="仿宋" w:eastAsia="仿宋" w:cs="仿宋"/>
                <w:color w:val="auto"/>
                <w:sz w:val="24"/>
                <w:szCs w:val="24"/>
              </w:rPr>
            </w:pPr>
          </w:p>
        </w:tc>
        <w:tc>
          <w:tcPr>
            <w:tcW w:w="741" w:type="dxa"/>
            <w:tcBorders>
              <w:tl2br w:val="nil"/>
              <w:tr2bl w:val="nil"/>
            </w:tcBorders>
            <w:vAlign w:val="center"/>
          </w:tcPr>
          <w:p w14:paraId="037C1184">
            <w:pPr>
              <w:pStyle w:val="37"/>
              <w:jc w:val="center"/>
              <w:rPr>
                <w:rFonts w:ascii="仿宋" w:hAnsi="仿宋" w:eastAsia="仿宋" w:cs="仿宋"/>
                <w:color w:val="auto"/>
                <w:sz w:val="24"/>
                <w:szCs w:val="24"/>
              </w:rPr>
            </w:pPr>
          </w:p>
        </w:tc>
        <w:tc>
          <w:tcPr>
            <w:tcW w:w="741" w:type="dxa"/>
            <w:tcBorders>
              <w:tl2br w:val="nil"/>
              <w:tr2bl w:val="nil"/>
            </w:tcBorders>
            <w:vAlign w:val="center"/>
          </w:tcPr>
          <w:p w14:paraId="05841D3A">
            <w:pPr>
              <w:pStyle w:val="37"/>
              <w:jc w:val="center"/>
              <w:rPr>
                <w:rFonts w:ascii="仿宋" w:hAnsi="仿宋" w:eastAsia="仿宋" w:cs="仿宋"/>
                <w:color w:val="auto"/>
                <w:sz w:val="24"/>
                <w:szCs w:val="24"/>
              </w:rPr>
            </w:pPr>
          </w:p>
        </w:tc>
        <w:tc>
          <w:tcPr>
            <w:tcW w:w="2115" w:type="dxa"/>
            <w:tcBorders>
              <w:tl2br w:val="nil"/>
              <w:tr2bl w:val="nil"/>
            </w:tcBorders>
            <w:vAlign w:val="center"/>
          </w:tcPr>
          <w:p w14:paraId="6FE497BE">
            <w:pPr>
              <w:pStyle w:val="37"/>
              <w:jc w:val="center"/>
              <w:rPr>
                <w:rFonts w:ascii="仿宋" w:hAnsi="仿宋" w:eastAsia="仿宋" w:cs="仿宋"/>
                <w:color w:val="auto"/>
                <w:sz w:val="24"/>
                <w:szCs w:val="24"/>
              </w:rPr>
            </w:pPr>
          </w:p>
        </w:tc>
        <w:tc>
          <w:tcPr>
            <w:tcW w:w="2265" w:type="dxa"/>
            <w:tcBorders>
              <w:tl2br w:val="nil"/>
              <w:tr2bl w:val="nil"/>
            </w:tcBorders>
            <w:vAlign w:val="center"/>
          </w:tcPr>
          <w:p w14:paraId="0BC1DA85">
            <w:pPr>
              <w:pStyle w:val="37"/>
              <w:jc w:val="center"/>
              <w:rPr>
                <w:rFonts w:ascii="仿宋" w:hAnsi="仿宋" w:eastAsia="仿宋" w:cs="仿宋"/>
                <w:color w:val="auto"/>
                <w:sz w:val="24"/>
                <w:szCs w:val="24"/>
              </w:rPr>
            </w:pPr>
          </w:p>
        </w:tc>
        <w:tc>
          <w:tcPr>
            <w:tcW w:w="1845" w:type="dxa"/>
            <w:tcBorders>
              <w:tl2br w:val="nil"/>
              <w:tr2bl w:val="nil"/>
            </w:tcBorders>
            <w:vAlign w:val="center"/>
          </w:tcPr>
          <w:p w14:paraId="09249AAA">
            <w:pPr>
              <w:pStyle w:val="37"/>
              <w:jc w:val="center"/>
              <w:rPr>
                <w:rFonts w:ascii="仿宋" w:hAnsi="仿宋" w:eastAsia="仿宋" w:cs="仿宋"/>
                <w:color w:val="auto"/>
                <w:sz w:val="24"/>
                <w:szCs w:val="24"/>
              </w:rPr>
            </w:pPr>
          </w:p>
        </w:tc>
      </w:tr>
      <w:tr w14:paraId="721CB7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41" w:type="dxa"/>
            <w:tcBorders>
              <w:tl2br w:val="nil"/>
              <w:tr2bl w:val="nil"/>
            </w:tcBorders>
            <w:vAlign w:val="center"/>
          </w:tcPr>
          <w:p w14:paraId="5F724396">
            <w:pPr>
              <w:pStyle w:val="37"/>
              <w:jc w:val="center"/>
              <w:rPr>
                <w:rFonts w:ascii="仿宋" w:hAnsi="仿宋" w:eastAsia="仿宋" w:cs="仿宋"/>
                <w:color w:val="auto"/>
                <w:sz w:val="24"/>
                <w:szCs w:val="24"/>
              </w:rPr>
            </w:pPr>
          </w:p>
        </w:tc>
        <w:tc>
          <w:tcPr>
            <w:tcW w:w="741" w:type="dxa"/>
            <w:tcBorders>
              <w:tl2br w:val="nil"/>
              <w:tr2bl w:val="nil"/>
            </w:tcBorders>
            <w:vAlign w:val="center"/>
          </w:tcPr>
          <w:p w14:paraId="512AF94B">
            <w:pPr>
              <w:pStyle w:val="37"/>
              <w:jc w:val="center"/>
              <w:rPr>
                <w:rFonts w:ascii="仿宋" w:hAnsi="仿宋" w:eastAsia="仿宋" w:cs="仿宋"/>
                <w:color w:val="auto"/>
                <w:sz w:val="24"/>
                <w:szCs w:val="24"/>
              </w:rPr>
            </w:pPr>
          </w:p>
        </w:tc>
        <w:tc>
          <w:tcPr>
            <w:tcW w:w="741" w:type="dxa"/>
            <w:tcBorders>
              <w:tl2br w:val="nil"/>
              <w:tr2bl w:val="nil"/>
            </w:tcBorders>
            <w:vAlign w:val="center"/>
          </w:tcPr>
          <w:p w14:paraId="7A266A97">
            <w:pPr>
              <w:pStyle w:val="37"/>
              <w:jc w:val="center"/>
              <w:rPr>
                <w:rFonts w:ascii="仿宋" w:hAnsi="仿宋" w:eastAsia="仿宋" w:cs="仿宋"/>
                <w:color w:val="auto"/>
                <w:sz w:val="24"/>
                <w:szCs w:val="24"/>
              </w:rPr>
            </w:pPr>
          </w:p>
        </w:tc>
        <w:tc>
          <w:tcPr>
            <w:tcW w:w="741" w:type="dxa"/>
            <w:tcBorders>
              <w:tl2br w:val="nil"/>
              <w:tr2bl w:val="nil"/>
            </w:tcBorders>
            <w:vAlign w:val="center"/>
          </w:tcPr>
          <w:p w14:paraId="1E68DB4E">
            <w:pPr>
              <w:pStyle w:val="37"/>
              <w:jc w:val="center"/>
              <w:rPr>
                <w:rFonts w:ascii="仿宋" w:hAnsi="仿宋" w:eastAsia="仿宋" w:cs="仿宋"/>
                <w:color w:val="auto"/>
                <w:sz w:val="24"/>
                <w:szCs w:val="24"/>
              </w:rPr>
            </w:pPr>
          </w:p>
        </w:tc>
        <w:tc>
          <w:tcPr>
            <w:tcW w:w="741" w:type="dxa"/>
            <w:tcBorders>
              <w:tl2br w:val="nil"/>
              <w:tr2bl w:val="nil"/>
            </w:tcBorders>
            <w:vAlign w:val="center"/>
          </w:tcPr>
          <w:p w14:paraId="1983425D">
            <w:pPr>
              <w:pStyle w:val="37"/>
              <w:jc w:val="center"/>
              <w:rPr>
                <w:rFonts w:ascii="仿宋" w:hAnsi="仿宋" w:eastAsia="仿宋" w:cs="仿宋"/>
                <w:color w:val="auto"/>
                <w:sz w:val="24"/>
                <w:szCs w:val="24"/>
              </w:rPr>
            </w:pPr>
          </w:p>
        </w:tc>
        <w:tc>
          <w:tcPr>
            <w:tcW w:w="2115" w:type="dxa"/>
            <w:tcBorders>
              <w:tl2br w:val="nil"/>
              <w:tr2bl w:val="nil"/>
            </w:tcBorders>
            <w:vAlign w:val="center"/>
          </w:tcPr>
          <w:p w14:paraId="5A8DC14C">
            <w:pPr>
              <w:pStyle w:val="37"/>
              <w:jc w:val="center"/>
              <w:rPr>
                <w:rFonts w:ascii="仿宋" w:hAnsi="仿宋" w:eastAsia="仿宋" w:cs="仿宋"/>
                <w:color w:val="auto"/>
                <w:sz w:val="24"/>
                <w:szCs w:val="24"/>
              </w:rPr>
            </w:pPr>
          </w:p>
        </w:tc>
        <w:tc>
          <w:tcPr>
            <w:tcW w:w="2265" w:type="dxa"/>
            <w:tcBorders>
              <w:tl2br w:val="nil"/>
              <w:tr2bl w:val="nil"/>
            </w:tcBorders>
            <w:vAlign w:val="center"/>
          </w:tcPr>
          <w:p w14:paraId="23EE02AF">
            <w:pPr>
              <w:pStyle w:val="37"/>
              <w:jc w:val="center"/>
              <w:rPr>
                <w:rFonts w:ascii="仿宋" w:hAnsi="仿宋" w:eastAsia="仿宋" w:cs="仿宋"/>
                <w:color w:val="auto"/>
                <w:sz w:val="24"/>
                <w:szCs w:val="24"/>
              </w:rPr>
            </w:pPr>
          </w:p>
        </w:tc>
        <w:tc>
          <w:tcPr>
            <w:tcW w:w="1845" w:type="dxa"/>
            <w:tcBorders>
              <w:tl2br w:val="nil"/>
              <w:tr2bl w:val="nil"/>
            </w:tcBorders>
            <w:vAlign w:val="center"/>
          </w:tcPr>
          <w:p w14:paraId="53D8A5BB">
            <w:pPr>
              <w:pStyle w:val="37"/>
              <w:jc w:val="center"/>
              <w:rPr>
                <w:rFonts w:ascii="仿宋" w:hAnsi="仿宋" w:eastAsia="仿宋" w:cs="仿宋"/>
                <w:color w:val="auto"/>
                <w:sz w:val="24"/>
                <w:szCs w:val="24"/>
              </w:rPr>
            </w:pPr>
          </w:p>
        </w:tc>
      </w:tr>
      <w:tr w14:paraId="492144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41" w:type="dxa"/>
            <w:tcBorders>
              <w:tl2br w:val="nil"/>
              <w:tr2bl w:val="nil"/>
            </w:tcBorders>
            <w:vAlign w:val="center"/>
          </w:tcPr>
          <w:p w14:paraId="60A54718">
            <w:pPr>
              <w:pStyle w:val="37"/>
              <w:jc w:val="center"/>
              <w:rPr>
                <w:rFonts w:ascii="仿宋" w:hAnsi="仿宋" w:eastAsia="仿宋" w:cs="仿宋"/>
                <w:color w:val="auto"/>
                <w:sz w:val="24"/>
                <w:szCs w:val="24"/>
              </w:rPr>
            </w:pPr>
          </w:p>
        </w:tc>
        <w:tc>
          <w:tcPr>
            <w:tcW w:w="741" w:type="dxa"/>
            <w:tcBorders>
              <w:tl2br w:val="nil"/>
              <w:tr2bl w:val="nil"/>
            </w:tcBorders>
            <w:vAlign w:val="center"/>
          </w:tcPr>
          <w:p w14:paraId="7ED12C8E">
            <w:pPr>
              <w:pStyle w:val="37"/>
              <w:jc w:val="center"/>
              <w:rPr>
                <w:rFonts w:ascii="仿宋" w:hAnsi="仿宋" w:eastAsia="仿宋" w:cs="仿宋"/>
                <w:color w:val="auto"/>
                <w:sz w:val="24"/>
                <w:szCs w:val="24"/>
              </w:rPr>
            </w:pPr>
          </w:p>
        </w:tc>
        <w:tc>
          <w:tcPr>
            <w:tcW w:w="741" w:type="dxa"/>
            <w:tcBorders>
              <w:tl2br w:val="nil"/>
              <w:tr2bl w:val="nil"/>
            </w:tcBorders>
            <w:vAlign w:val="center"/>
          </w:tcPr>
          <w:p w14:paraId="407C9495">
            <w:pPr>
              <w:pStyle w:val="37"/>
              <w:jc w:val="center"/>
              <w:rPr>
                <w:rFonts w:ascii="仿宋" w:hAnsi="仿宋" w:eastAsia="仿宋" w:cs="仿宋"/>
                <w:color w:val="auto"/>
                <w:sz w:val="24"/>
                <w:szCs w:val="24"/>
              </w:rPr>
            </w:pPr>
          </w:p>
        </w:tc>
        <w:tc>
          <w:tcPr>
            <w:tcW w:w="741" w:type="dxa"/>
            <w:tcBorders>
              <w:tl2br w:val="nil"/>
              <w:tr2bl w:val="nil"/>
            </w:tcBorders>
            <w:vAlign w:val="center"/>
          </w:tcPr>
          <w:p w14:paraId="6A13D5EF">
            <w:pPr>
              <w:pStyle w:val="37"/>
              <w:jc w:val="center"/>
              <w:rPr>
                <w:rFonts w:ascii="仿宋" w:hAnsi="仿宋" w:eastAsia="仿宋" w:cs="仿宋"/>
                <w:color w:val="auto"/>
                <w:sz w:val="24"/>
                <w:szCs w:val="24"/>
              </w:rPr>
            </w:pPr>
          </w:p>
        </w:tc>
        <w:tc>
          <w:tcPr>
            <w:tcW w:w="741" w:type="dxa"/>
            <w:tcBorders>
              <w:tl2br w:val="nil"/>
              <w:tr2bl w:val="nil"/>
            </w:tcBorders>
            <w:vAlign w:val="center"/>
          </w:tcPr>
          <w:p w14:paraId="31A40D7E">
            <w:pPr>
              <w:pStyle w:val="37"/>
              <w:jc w:val="center"/>
              <w:rPr>
                <w:rFonts w:ascii="仿宋" w:hAnsi="仿宋" w:eastAsia="仿宋" w:cs="仿宋"/>
                <w:color w:val="auto"/>
                <w:sz w:val="24"/>
                <w:szCs w:val="24"/>
              </w:rPr>
            </w:pPr>
          </w:p>
        </w:tc>
        <w:tc>
          <w:tcPr>
            <w:tcW w:w="2115" w:type="dxa"/>
            <w:tcBorders>
              <w:tl2br w:val="nil"/>
              <w:tr2bl w:val="nil"/>
            </w:tcBorders>
            <w:vAlign w:val="center"/>
          </w:tcPr>
          <w:p w14:paraId="3F1CC9D1">
            <w:pPr>
              <w:pStyle w:val="37"/>
              <w:jc w:val="center"/>
              <w:rPr>
                <w:rFonts w:ascii="仿宋" w:hAnsi="仿宋" w:eastAsia="仿宋" w:cs="仿宋"/>
                <w:color w:val="auto"/>
                <w:sz w:val="24"/>
                <w:szCs w:val="24"/>
              </w:rPr>
            </w:pPr>
          </w:p>
        </w:tc>
        <w:tc>
          <w:tcPr>
            <w:tcW w:w="2265" w:type="dxa"/>
            <w:tcBorders>
              <w:tl2br w:val="nil"/>
              <w:tr2bl w:val="nil"/>
            </w:tcBorders>
            <w:vAlign w:val="center"/>
          </w:tcPr>
          <w:p w14:paraId="3A596698">
            <w:pPr>
              <w:pStyle w:val="37"/>
              <w:jc w:val="center"/>
              <w:rPr>
                <w:rFonts w:ascii="仿宋" w:hAnsi="仿宋" w:eastAsia="仿宋" w:cs="仿宋"/>
                <w:color w:val="auto"/>
                <w:sz w:val="24"/>
                <w:szCs w:val="24"/>
              </w:rPr>
            </w:pPr>
          </w:p>
        </w:tc>
        <w:tc>
          <w:tcPr>
            <w:tcW w:w="1845" w:type="dxa"/>
            <w:tcBorders>
              <w:tl2br w:val="nil"/>
              <w:tr2bl w:val="nil"/>
            </w:tcBorders>
            <w:vAlign w:val="center"/>
          </w:tcPr>
          <w:p w14:paraId="64FA0847">
            <w:pPr>
              <w:pStyle w:val="37"/>
              <w:jc w:val="center"/>
              <w:rPr>
                <w:rFonts w:ascii="仿宋" w:hAnsi="仿宋" w:eastAsia="仿宋" w:cs="仿宋"/>
                <w:color w:val="auto"/>
                <w:sz w:val="24"/>
                <w:szCs w:val="24"/>
              </w:rPr>
            </w:pPr>
          </w:p>
        </w:tc>
      </w:tr>
    </w:tbl>
    <w:p w14:paraId="36CCFF1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rPr>
        <w:t>1、投标人保证：除商务技术偏离表列出的偏离外，</w:t>
      </w:r>
      <w:r>
        <w:rPr>
          <w:rFonts w:hint="eastAsia" w:ascii="仿宋" w:hAnsi="仿宋" w:eastAsia="仿宋" w:cs="仿宋"/>
          <w:color w:val="auto"/>
          <w:sz w:val="24"/>
          <w:szCs w:val="24"/>
          <w:lang w:val="en-US" w:eastAsia="zh-CN"/>
        </w:rPr>
        <w:t>未列明的视为</w:t>
      </w:r>
      <w:r>
        <w:rPr>
          <w:rFonts w:hint="eastAsia" w:ascii="仿宋" w:hAnsi="仿宋" w:eastAsia="仿宋" w:cs="仿宋"/>
          <w:color w:val="auto"/>
          <w:sz w:val="24"/>
          <w:szCs w:val="24"/>
          <w:lang w:val="en-US"/>
        </w:rPr>
        <w:t>投标人</w:t>
      </w:r>
      <w:r>
        <w:rPr>
          <w:rFonts w:hint="eastAsia" w:ascii="仿宋" w:hAnsi="仿宋" w:eastAsia="仿宋" w:cs="仿宋"/>
          <w:color w:val="auto"/>
          <w:sz w:val="24"/>
          <w:szCs w:val="24"/>
          <w:lang w:val="en-US" w:eastAsia="zh-CN"/>
        </w:rPr>
        <w:t>完全</w:t>
      </w:r>
      <w:r>
        <w:rPr>
          <w:rFonts w:hint="eastAsia" w:ascii="仿宋" w:hAnsi="仿宋" w:eastAsia="仿宋" w:cs="仿宋"/>
          <w:color w:val="auto"/>
          <w:sz w:val="24"/>
          <w:szCs w:val="24"/>
          <w:lang w:val="en-US"/>
        </w:rPr>
        <w:t>响应招标文件的要求</w:t>
      </w:r>
      <w:r>
        <w:rPr>
          <w:rFonts w:hint="eastAsia" w:ascii="仿宋" w:hAnsi="仿宋" w:eastAsia="仿宋" w:cs="仿宋"/>
          <w:color w:val="auto"/>
          <w:sz w:val="24"/>
          <w:szCs w:val="24"/>
        </w:rPr>
        <w:t>。</w:t>
      </w:r>
    </w:p>
    <w:p w14:paraId="5B9ED80E">
      <w:pPr>
        <w:spacing w:line="360" w:lineRule="auto"/>
        <w:ind w:left="440" w:leftChars="200"/>
        <w:rPr>
          <w:rFonts w:ascii="仿宋" w:hAnsi="仿宋" w:eastAsia="仿宋" w:cs="仿宋"/>
          <w:color w:val="auto"/>
          <w:sz w:val="24"/>
          <w:szCs w:val="24"/>
          <w:lang w:val="en-US"/>
        </w:rPr>
      </w:pPr>
      <w:r>
        <w:rPr>
          <w:rFonts w:hint="eastAsia" w:ascii="仿宋" w:hAnsi="仿宋" w:eastAsia="仿宋" w:cs="仿宋"/>
          <w:b/>
          <w:bCs/>
          <w:color w:val="auto"/>
          <w:sz w:val="24"/>
          <w:szCs w:val="24"/>
          <w:lang w:val="en-US"/>
        </w:rPr>
        <w:t>2、▲未提供本表的投标视为未实质性响应招标要求，投标无效。</w:t>
      </w:r>
    </w:p>
    <w:p w14:paraId="554C5E8F">
      <w:pPr>
        <w:spacing w:line="360" w:lineRule="auto"/>
        <w:ind w:left="440" w:leftChars="200"/>
        <w:rPr>
          <w:rFonts w:ascii="仿宋" w:hAnsi="仿宋" w:eastAsia="仿宋" w:cs="仿宋"/>
          <w:color w:val="auto"/>
          <w:sz w:val="24"/>
          <w:szCs w:val="24"/>
          <w:lang w:val="en-US"/>
        </w:rPr>
      </w:pPr>
      <w:r>
        <w:rPr>
          <w:rFonts w:hint="eastAsia" w:ascii="仿宋" w:hAnsi="仿宋" w:eastAsia="仿宋" w:cs="仿宋"/>
          <w:color w:val="auto"/>
          <w:sz w:val="24"/>
          <w:szCs w:val="24"/>
          <w:lang w:val="en-US"/>
        </w:rPr>
        <w:t>3、表格可自行延展。</w:t>
      </w:r>
    </w:p>
    <w:p w14:paraId="528A2C51">
      <w:pPr>
        <w:pStyle w:val="2"/>
        <w:rPr>
          <w:rFonts w:ascii="仿宋" w:hAnsi="仿宋" w:eastAsia="仿宋" w:cs="仿宋"/>
          <w:color w:val="auto"/>
        </w:rPr>
      </w:pPr>
    </w:p>
    <w:p w14:paraId="4200ABDE">
      <w:pPr>
        <w:pStyle w:val="2"/>
        <w:rPr>
          <w:rFonts w:ascii="仿宋" w:hAnsi="仿宋" w:eastAsia="仿宋" w:cs="仿宋"/>
          <w:color w:val="auto"/>
        </w:rPr>
      </w:pPr>
    </w:p>
    <w:p w14:paraId="1117FA29">
      <w:pPr>
        <w:pStyle w:val="2"/>
        <w:spacing w:before="171"/>
        <w:ind w:firstLine="4560" w:firstLineChars="1900"/>
        <w:rPr>
          <w:rFonts w:ascii="仿宋" w:hAnsi="仿宋" w:eastAsia="仿宋" w:cs="仿宋"/>
          <w:color w:val="auto"/>
        </w:rPr>
      </w:pPr>
      <w:r>
        <w:rPr>
          <w:rFonts w:hint="eastAsia" w:ascii="仿宋" w:hAnsi="仿宋" w:eastAsia="仿宋" w:cs="仿宋"/>
          <w:color w:val="auto"/>
        </w:rPr>
        <w:t>投标人名称(电子签名)：</w:t>
      </w:r>
    </w:p>
    <w:p w14:paraId="4539CAB3">
      <w:pPr>
        <w:pStyle w:val="2"/>
        <w:spacing w:before="171"/>
        <w:ind w:firstLine="4560" w:firstLineChars="1900"/>
        <w:rPr>
          <w:color w:val="auto"/>
          <w:sz w:val="19"/>
        </w:rPr>
      </w:pPr>
      <w:r>
        <w:rPr>
          <w:rFonts w:hint="eastAsia" w:ascii="仿宋" w:hAnsi="仿宋" w:eastAsia="仿宋" w:cs="仿宋"/>
          <w:color w:val="auto"/>
        </w:rPr>
        <w:t>日期：</w:t>
      </w:r>
      <w:r>
        <w:rPr>
          <w:rFonts w:hint="eastAsia" w:ascii="仿宋" w:hAnsi="仿宋" w:eastAsia="仿宋" w:cs="仿宋"/>
          <w:color w:val="auto"/>
          <w:lang w:val="en-US"/>
        </w:rPr>
        <w:t xml:space="preserve">    </w:t>
      </w:r>
      <w:r>
        <w:rPr>
          <w:rFonts w:hint="eastAsia" w:ascii="仿宋" w:hAnsi="仿宋" w:eastAsia="仿宋" w:cs="仿宋"/>
          <w:color w:val="auto"/>
        </w:rPr>
        <w:t>年</w:t>
      </w:r>
      <w:r>
        <w:rPr>
          <w:rFonts w:hint="eastAsia" w:ascii="仿宋" w:hAnsi="仿宋" w:eastAsia="仿宋" w:cs="仿宋"/>
          <w:color w:val="auto"/>
          <w:lang w:val="en-US"/>
        </w:rPr>
        <w:t xml:space="preserve">  </w:t>
      </w:r>
      <w:r>
        <w:rPr>
          <w:rFonts w:hint="eastAsia" w:ascii="仿宋" w:hAnsi="仿宋" w:eastAsia="仿宋" w:cs="仿宋"/>
          <w:color w:val="auto"/>
        </w:rPr>
        <w:t>月</w:t>
      </w:r>
      <w:r>
        <w:rPr>
          <w:rFonts w:hint="eastAsia" w:ascii="仿宋" w:hAnsi="仿宋" w:eastAsia="仿宋" w:cs="仿宋"/>
          <w:color w:val="auto"/>
          <w:lang w:val="en-US"/>
        </w:rPr>
        <w:t xml:space="preserve">  </w:t>
      </w:r>
      <w:r>
        <w:rPr>
          <w:rFonts w:hint="eastAsia" w:ascii="仿宋" w:hAnsi="仿宋" w:eastAsia="仿宋" w:cs="仿宋"/>
          <w:color w:val="auto"/>
        </w:rPr>
        <w:t>日</w:t>
      </w:r>
    </w:p>
    <w:p w14:paraId="56C4CBAF">
      <w:pPr>
        <w:rPr>
          <w:color w:val="auto"/>
        </w:rPr>
      </w:pPr>
      <w:r>
        <w:rPr>
          <w:color w:val="auto"/>
        </w:rPr>
        <w:br w:type="page"/>
      </w:r>
    </w:p>
    <w:p w14:paraId="404A4A0B">
      <w:pPr>
        <w:spacing w:before="67"/>
        <w:ind w:left="1215" w:right="1232"/>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投标人情况介绍（</w:t>
      </w:r>
      <w:r>
        <w:rPr>
          <w:rFonts w:hint="eastAsia" w:ascii="仿宋" w:hAnsi="仿宋" w:eastAsia="仿宋" w:cs="仿宋"/>
          <w:color w:val="auto"/>
          <w:sz w:val="32"/>
          <w:szCs w:val="32"/>
          <w:lang w:val="en-US"/>
        </w:rPr>
        <w:t>后附企业介绍</w:t>
      </w:r>
      <w:r>
        <w:rPr>
          <w:rFonts w:hint="eastAsia" w:ascii="仿宋" w:hAnsi="仿宋" w:eastAsia="仿宋" w:cs="仿宋"/>
          <w:color w:val="auto"/>
          <w:sz w:val="32"/>
          <w:szCs w:val="32"/>
        </w:rPr>
        <w:t>）</w:t>
      </w:r>
    </w:p>
    <w:p w14:paraId="59B69F2B">
      <w:pPr>
        <w:pStyle w:val="2"/>
        <w:spacing w:before="10"/>
        <w:rPr>
          <w:color w:val="auto"/>
          <w:sz w:val="9"/>
        </w:rPr>
      </w:pPr>
    </w:p>
    <w:tbl>
      <w:tblPr>
        <w:tblStyle w:val="2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3120"/>
        <w:gridCol w:w="2055"/>
        <w:gridCol w:w="3079"/>
      </w:tblGrid>
      <w:tr w14:paraId="538D0D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7C57E99F">
            <w:pPr>
              <w:pStyle w:val="2"/>
              <w:jc w:val="center"/>
              <w:rPr>
                <w:rFonts w:ascii="仿宋" w:hAnsi="仿宋" w:eastAsia="仿宋" w:cs="仿宋"/>
                <w:bCs/>
                <w:color w:val="auto"/>
                <w:lang w:val="en-US"/>
              </w:rPr>
            </w:pPr>
            <w:r>
              <w:rPr>
                <w:rFonts w:hint="eastAsia" w:ascii="仿宋" w:hAnsi="仿宋" w:eastAsia="仿宋" w:cs="仿宋"/>
                <w:bCs/>
                <w:color w:val="auto"/>
                <w:lang w:val="en-US"/>
              </w:rPr>
              <w:t>单位名称</w:t>
            </w:r>
          </w:p>
        </w:tc>
        <w:tc>
          <w:tcPr>
            <w:tcW w:w="3120" w:type="dxa"/>
            <w:tcBorders>
              <w:tl2br w:val="nil"/>
              <w:tr2bl w:val="nil"/>
            </w:tcBorders>
            <w:vAlign w:val="center"/>
          </w:tcPr>
          <w:p w14:paraId="40F7BE7F">
            <w:pPr>
              <w:pStyle w:val="2"/>
              <w:jc w:val="center"/>
              <w:rPr>
                <w:rFonts w:ascii="仿宋" w:hAnsi="仿宋" w:eastAsia="仿宋" w:cs="仿宋"/>
                <w:bCs/>
                <w:color w:val="auto"/>
              </w:rPr>
            </w:pPr>
          </w:p>
        </w:tc>
        <w:tc>
          <w:tcPr>
            <w:tcW w:w="2055" w:type="dxa"/>
            <w:tcBorders>
              <w:tl2br w:val="nil"/>
              <w:tr2bl w:val="nil"/>
            </w:tcBorders>
            <w:vAlign w:val="center"/>
          </w:tcPr>
          <w:p w14:paraId="6E61213C">
            <w:pPr>
              <w:pStyle w:val="2"/>
              <w:jc w:val="center"/>
              <w:rPr>
                <w:rFonts w:ascii="仿宋" w:hAnsi="仿宋" w:eastAsia="仿宋" w:cs="仿宋"/>
                <w:bCs/>
                <w:color w:val="auto"/>
                <w:lang w:val="en-US"/>
              </w:rPr>
            </w:pPr>
            <w:r>
              <w:rPr>
                <w:rFonts w:hint="eastAsia" w:ascii="仿宋" w:hAnsi="仿宋" w:eastAsia="仿宋" w:cs="仿宋"/>
                <w:bCs/>
                <w:color w:val="auto"/>
                <w:lang w:val="en-US"/>
              </w:rPr>
              <w:t>成立时间</w:t>
            </w:r>
          </w:p>
        </w:tc>
        <w:tc>
          <w:tcPr>
            <w:tcW w:w="3079" w:type="dxa"/>
            <w:tcBorders>
              <w:tl2br w:val="nil"/>
              <w:tr2bl w:val="nil"/>
            </w:tcBorders>
            <w:vAlign w:val="center"/>
          </w:tcPr>
          <w:p w14:paraId="2F343594">
            <w:pPr>
              <w:pStyle w:val="2"/>
              <w:jc w:val="center"/>
              <w:rPr>
                <w:rFonts w:ascii="仿宋" w:hAnsi="仿宋" w:eastAsia="仿宋" w:cs="仿宋"/>
                <w:bCs/>
                <w:color w:val="auto"/>
              </w:rPr>
            </w:pPr>
          </w:p>
        </w:tc>
      </w:tr>
      <w:tr w14:paraId="6253BA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274E4945">
            <w:pPr>
              <w:pStyle w:val="2"/>
              <w:jc w:val="center"/>
              <w:rPr>
                <w:rFonts w:ascii="仿宋" w:hAnsi="仿宋" w:eastAsia="仿宋" w:cs="仿宋"/>
                <w:bCs/>
                <w:color w:val="auto"/>
              </w:rPr>
            </w:pPr>
            <w:r>
              <w:rPr>
                <w:rFonts w:hint="eastAsia" w:ascii="仿宋" w:hAnsi="仿宋" w:eastAsia="仿宋" w:cs="仿宋"/>
                <w:bCs/>
                <w:color w:val="auto"/>
              </w:rPr>
              <w:t>注册地址</w:t>
            </w:r>
          </w:p>
        </w:tc>
        <w:tc>
          <w:tcPr>
            <w:tcW w:w="3120" w:type="dxa"/>
            <w:tcBorders>
              <w:tl2br w:val="nil"/>
              <w:tr2bl w:val="nil"/>
            </w:tcBorders>
            <w:vAlign w:val="center"/>
          </w:tcPr>
          <w:p w14:paraId="5E40FEC5">
            <w:pPr>
              <w:pStyle w:val="2"/>
              <w:jc w:val="center"/>
              <w:rPr>
                <w:rFonts w:ascii="仿宋" w:hAnsi="仿宋" w:eastAsia="仿宋" w:cs="仿宋"/>
                <w:bCs/>
                <w:color w:val="auto"/>
              </w:rPr>
            </w:pPr>
          </w:p>
        </w:tc>
        <w:tc>
          <w:tcPr>
            <w:tcW w:w="2055" w:type="dxa"/>
            <w:tcBorders>
              <w:tl2br w:val="nil"/>
              <w:tr2bl w:val="nil"/>
            </w:tcBorders>
            <w:vAlign w:val="center"/>
          </w:tcPr>
          <w:p w14:paraId="209A8673">
            <w:pPr>
              <w:pStyle w:val="2"/>
              <w:jc w:val="center"/>
              <w:rPr>
                <w:rFonts w:ascii="仿宋" w:hAnsi="仿宋" w:eastAsia="仿宋" w:cs="仿宋"/>
                <w:bCs/>
                <w:color w:val="auto"/>
              </w:rPr>
            </w:pPr>
            <w:r>
              <w:rPr>
                <w:rFonts w:hint="eastAsia" w:ascii="仿宋" w:hAnsi="仿宋" w:eastAsia="仿宋" w:cs="仿宋"/>
                <w:bCs/>
                <w:color w:val="auto"/>
              </w:rPr>
              <w:t>统一社会</w:t>
            </w:r>
          </w:p>
          <w:p w14:paraId="0C9154D8">
            <w:pPr>
              <w:pStyle w:val="2"/>
              <w:jc w:val="center"/>
              <w:rPr>
                <w:rFonts w:ascii="仿宋" w:hAnsi="仿宋" w:eastAsia="仿宋" w:cs="仿宋"/>
                <w:bCs/>
                <w:color w:val="auto"/>
              </w:rPr>
            </w:pPr>
            <w:r>
              <w:rPr>
                <w:rFonts w:hint="eastAsia" w:ascii="仿宋" w:hAnsi="仿宋" w:eastAsia="仿宋" w:cs="仿宋"/>
                <w:bCs/>
                <w:color w:val="auto"/>
              </w:rPr>
              <w:t>信用代码</w:t>
            </w:r>
          </w:p>
        </w:tc>
        <w:tc>
          <w:tcPr>
            <w:tcW w:w="3079" w:type="dxa"/>
            <w:tcBorders>
              <w:tl2br w:val="nil"/>
              <w:tr2bl w:val="nil"/>
            </w:tcBorders>
            <w:vAlign w:val="center"/>
          </w:tcPr>
          <w:p w14:paraId="454E52F9">
            <w:pPr>
              <w:pStyle w:val="2"/>
              <w:jc w:val="center"/>
              <w:rPr>
                <w:rFonts w:ascii="仿宋" w:hAnsi="仿宋" w:eastAsia="仿宋" w:cs="仿宋"/>
                <w:bCs/>
                <w:color w:val="auto"/>
              </w:rPr>
            </w:pPr>
          </w:p>
        </w:tc>
      </w:tr>
      <w:tr w14:paraId="318890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28D42DE7">
            <w:pPr>
              <w:pStyle w:val="2"/>
              <w:jc w:val="center"/>
              <w:rPr>
                <w:rFonts w:ascii="仿宋" w:hAnsi="仿宋" w:eastAsia="仿宋" w:cs="仿宋"/>
                <w:bCs/>
                <w:color w:val="auto"/>
              </w:rPr>
            </w:pPr>
            <w:r>
              <w:rPr>
                <w:rFonts w:hint="eastAsia" w:ascii="仿宋" w:hAnsi="仿宋" w:eastAsia="仿宋" w:cs="仿宋"/>
                <w:bCs/>
                <w:color w:val="auto"/>
              </w:rPr>
              <w:t>生产经营</w:t>
            </w:r>
          </w:p>
          <w:p w14:paraId="03BE4068">
            <w:pPr>
              <w:pStyle w:val="2"/>
              <w:jc w:val="center"/>
              <w:rPr>
                <w:rFonts w:ascii="仿宋" w:hAnsi="仿宋" w:eastAsia="仿宋" w:cs="仿宋"/>
                <w:bCs/>
                <w:color w:val="auto"/>
              </w:rPr>
            </w:pPr>
            <w:r>
              <w:rPr>
                <w:rFonts w:hint="eastAsia" w:ascii="仿宋" w:hAnsi="仿宋" w:eastAsia="仿宋" w:cs="仿宋"/>
                <w:bCs/>
                <w:color w:val="auto"/>
              </w:rPr>
              <w:t>场所</w:t>
            </w:r>
          </w:p>
        </w:tc>
        <w:tc>
          <w:tcPr>
            <w:tcW w:w="3120" w:type="dxa"/>
            <w:tcBorders>
              <w:tl2br w:val="nil"/>
              <w:tr2bl w:val="nil"/>
            </w:tcBorders>
            <w:vAlign w:val="center"/>
          </w:tcPr>
          <w:p w14:paraId="10CADFAB">
            <w:pPr>
              <w:pStyle w:val="2"/>
              <w:jc w:val="center"/>
              <w:rPr>
                <w:rFonts w:ascii="仿宋" w:hAnsi="仿宋" w:eastAsia="仿宋" w:cs="仿宋"/>
                <w:bCs/>
                <w:color w:val="auto"/>
              </w:rPr>
            </w:pPr>
          </w:p>
        </w:tc>
        <w:tc>
          <w:tcPr>
            <w:tcW w:w="2055" w:type="dxa"/>
            <w:tcBorders>
              <w:tl2br w:val="nil"/>
              <w:tr2bl w:val="nil"/>
            </w:tcBorders>
            <w:vAlign w:val="center"/>
          </w:tcPr>
          <w:p w14:paraId="79B1320D">
            <w:pPr>
              <w:pStyle w:val="2"/>
              <w:jc w:val="center"/>
              <w:rPr>
                <w:rFonts w:ascii="仿宋" w:hAnsi="仿宋" w:eastAsia="仿宋" w:cs="仿宋"/>
                <w:bCs/>
                <w:color w:val="auto"/>
              </w:rPr>
            </w:pPr>
            <w:r>
              <w:rPr>
                <w:rFonts w:hint="eastAsia" w:ascii="仿宋" w:hAnsi="仿宋" w:eastAsia="仿宋" w:cs="仿宋"/>
                <w:bCs/>
                <w:color w:val="auto"/>
              </w:rPr>
              <w:t>法定代表人</w:t>
            </w:r>
          </w:p>
          <w:p w14:paraId="063A745E">
            <w:pPr>
              <w:pStyle w:val="2"/>
              <w:jc w:val="center"/>
              <w:rPr>
                <w:rFonts w:ascii="仿宋" w:hAnsi="仿宋" w:eastAsia="仿宋" w:cs="仿宋"/>
                <w:bCs/>
                <w:color w:val="auto"/>
              </w:rPr>
            </w:pPr>
            <w:r>
              <w:rPr>
                <w:rFonts w:hint="eastAsia" w:ascii="仿宋" w:hAnsi="仿宋" w:eastAsia="仿宋" w:cs="仿宋"/>
                <w:bCs/>
                <w:color w:val="auto"/>
              </w:rPr>
              <w:t>姓名</w:t>
            </w:r>
          </w:p>
        </w:tc>
        <w:tc>
          <w:tcPr>
            <w:tcW w:w="3079" w:type="dxa"/>
            <w:tcBorders>
              <w:tl2br w:val="nil"/>
              <w:tr2bl w:val="nil"/>
            </w:tcBorders>
            <w:vAlign w:val="center"/>
          </w:tcPr>
          <w:p w14:paraId="6F713F8B">
            <w:pPr>
              <w:pStyle w:val="2"/>
              <w:jc w:val="center"/>
              <w:rPr>
                <w:rFonts w:ascii="仿宋" w:hAnsi="仿宋" w:eastAsia="仿宋" w:cs="仿宋"/>
                <w:bCs/>
                <w:color w:val="auto"/>
              </w:rPr>
            </w:pPr>
          </w:p>
        </w:tc>
      </w:tr>
      <w:tr w14:paraId="3BF58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1F00DE3F">
            <w:pPr>
              <w:pStyle w:val="2"/>
              <w:jc w:val="center"/>
              <w:rPr>
                <w:rFonts w:ascii="仿宋" w:hAnsi="仿宋" w:eastAsia="仿宋" w:cs="仿宋"/>
                <w:bCs/>
                <w:color w:val="auto"/>
              </w:rPr>
            </w:pPr>
            <w:r>
              <w:rPr>
                <w:rFonts w:hint="eastAsia" w:ascii="仿宋" w:hAnsi="仿宋" w:eastAsia="仿宋" w:cs="仿宋"/>
                <w:bCs/>
                <w:color w:val="auto"/>
              </w:rPr>
              <w:t>有效资质证书</w:t>
            </w:r>
          </w:p>
          <w:p w14:paraId="6B4E4491">
            <w:pPr>
              <w:pStyle w:val="2"/>
              <w:jc w:val="center"/>
              <w:rPr>
                <w:rFonts w:ascii="仿宋" w:hAnsi="仿宋" w:eastAsia="仿宋" w:cs="仿宋"/>
                <w:bCs/>
                <w:color w:val="auto"/>
              </w:rPr>
            </w:pPr>
            <w:r>
              <w:rPr>
                <w:rFonts w:hint="eastAsia" w:ascii="仿宋" w:hAnsi="仿宋" w:eastAsia="仿宋" w:cs="仿宋"/>
                <w:bCs/>
                <w:color w:val="auto"/>
              </w:rPr>
              <w:t>（名称、编号）</w:t>
            </w:r>
          </w:p>
        </w:tc>
        <w:tc>
          <w:tcPr>
            <w:tcW w:w="3120" w:type="dxa"/>
            <w:tcBorders>
              <w:tl2br w:val="nil"/>
              <w:tr2bl w:val="nil"/>
            </w:tcBorders>
            <w:vAlign w:val="center"/>
          </w:tcPr>
          <w:p w14:paraId="73A60001">
            <w:pPr>
              <w:pStyle w:val="2"/>
              <w:jc w:val="center"/>
              <w:rPr>
                <w:rFonts w:ascii="仿宋" w:hAnsi="仿宋" w:eastAsia="仿宋" w:cs="仿宋"/>
                <w:bCs/>
                <w:color w:val="auto"/>
              </w:rPr>
            </w:pPr>
          </w:p>
        </w:tc>
        <w:tc>
          <w:tcPr>
            <w:tcW w:w="2055" w:type="dxa"/>
            <w:tcBorders>
              <w:tl2br w:val="nil"/>
              <w:tr2bl w:val="nil"/>
            </w:tcBorders>
            <w:vAlign w:val="center"/>
          </w:tcPr>
          <w:p w14:paraId="0DC84D4B">
            <w:pPr>
              <w:pStyle w:val="2"/>
              <w:jc w:val="center"/>
              <w:rPr>
                <w:rFonts w:ascii="仿宋" w:hAnsi="仿宋" w:eastAsia="仿宋" w:cs="仿宋"/>
                <w:bCs/>
                <w:color w:val="auto"/>
              </w:rPr>
            </w:pPr>
            <w:r>
              <w:rPr>
                <w:rFonts w:hint="eastAsia" w:ascii="仿宋" w:hAnsi="仿宋" w:eastAsia="仿宋" w:cs="仿宋"/>
                <w:bCs/>
                <w:color w:val="auto"/>
              </w:rPr>
              <w:t>主要负责人</w:t>
            </w:r>
          </w:p>
          <w:p w14:paraId="1D2FF038">
            <w:pPr>
              <w:pStyle w:val="2"/>
              <w:jc w:val="center"/>
              <w:rPr>
                <w:rFonts w:ascii="仿宋" w:hAnsi="仿宋" w:eastAsia="仿宋" w:cs="仿宋"/>
                <w:bCs/>
                <w:color w:val="auto"/>
              </w:rPr>
            </w:pPr>
            <w:r>
              <w:rPr>
                <w:rFonts w:hint="eastAsia" w:ascii="仿宋" w:hAnsi="仿宋" w:eastAsia="仿宋" w:cs="仿宋"/>
                <w:bCs/>
                <w:color w:val="auto"/>
              </w:rPr>
              <w:t>姓名</w:t>
            </w:r>
          </w:p>
        </w:tc>
        <w:tc>
          <w:tcPr>
            <w:tcW w:w="3079" w:type="dxa"/>
            <w:tcBorders>
              <w:tl2br w:val="nil"/>
              <w:tr2bl w:val="nil"/>
            </w:tcBorders>
            <w:vAlign w:val="center"/>
          </w:tcPr>
          <w:p w14:paraId="7734E85F">
            <w:pPr>
              <w:pStyle w:val="2"/>
              <w:jc w:val="center"/>
              <w:rPr>
                <w:rFonts w:ascii="仿宋" w:hAnsi="仿宋" w:eastAsia="仿宋" w:cs="仿宋"/>
                <w:bCs/>
                <w:color w:val="auto"/>
              </w:rPr>
            </w:pPr>
          </w:p>
        </w:tc>
      </w:tr>
      <w:tr w14:paraId="632E6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0FAB9D96">
            <w:pPr>
              <w:pStyle w:val="2"/>
              <w:jc w:val="center"/>
              <w:rPr>
                <w:rFonts w:ascii="仿宋" w:hAnsi="仿宋" w:eastAsia="仿宋" w:cs="仿宋"/>
                <w:bCs/>
                <w:color w:val="auto"/>
              </w:rPr>
            </w:pPr>
            <w:r>
              <w:rPr>
                <w:rFonts w:hint="eastAsia" w:ascii="仿宋" w:hAnsi="仿宋" w:eastAsia="仿宋" w:cs="仿宋"/>
                <w:bCs/>
                <w:color w:val="auto"/>
              </w:rPr>
              <w:t>股东信息</w:t>
            </w:r>
          </w:p>
        </w:tc>
        <w:tc>
          <w:tcPr>
            <w:tcW w:w="8254" w:type="dxa"/>
            <w:gridSpan w:val="3"/>
            <w:tcBorders>
              <w:tl2br w:val="nil"/>
              <w:tr2bl w:val="nil"/>
            </w:tcBorders>
            <w:vAlign w:val="center"/>
          </w:tcPr>
          <w:p w14:paraId="42D91140">
            <w:pPr>
              <w:pStyle w:val="2"/>
              <w:jc w:val="center"/>
              <w:rPr>
                <w:rFonts w:ascii="仿宋" w:hAnsi="仿宋" w:eastAsia="仿宋" w:cs="仿宋"/>
                <w:bCs/>
                <w:color w:val="auto"/>
              </w:rPr>
            </w:pPr>
            <w:r>
              <w:rPr>
                <w:rFonts w:hint="eastAsia" w:ascii="仿宋" w:hAnsi="仿宋" w:eastAsia="仿宋" w:cs="仿宋"/>
                <w:bCs/>
                <w:color w:val="auto"/>
              </w:rPr>
              <w:t>（股东姓名、持股比例、任职情况）</w:t>
            </w:r>
          </w:p>
        </w:tc>
      </w:tr>
      <w:tr w14:paraId="1ADF0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65D96FB7">
            <w:pPr>
              <w:pStyle w:val="2"/>
              <w:jc w:val="center"/>
              <w:rPr>
                <w:rFonts w:ascii="仿宋" w:hAnsi="仿宋" w:eastAsia="仿宋" w:cs="仿宋"/>
                <w:bCs/>
                <w:color w:val="auto"/>
              </w:rPr>
            </w:pPr>
            <w:r>
              <w:rPr>
                <w:rFonts w:hint="eastAsia" w:ascii="仿宋" w:hAnsi="仿宋" w:eastAsia="仿宋" w:cs="仿宋"/>
                <w:bCs/>
                <w:color w:val="auto"/>
              </w:rPr>
              <w:t>注册资本</w:t>
            </w:r>
          </w:p>
        </w:tc>
        <w:tc>
          <w:tcPr>
            <w:tcW w:w="3120" w:type="dxa"/>
            <w:tcBorders>
              <w:tl2br w:val="nil"/>
              <w:tr2bl w:val="nil"/>
            </w:tcBorders>
            <w:vAlign w:val="center"/>
          </w:tcPr>
          <w:p w14:paraId="6549FEBB">
            <w:pPr>
              <w:pStyle w:val="2"/>
              <w:jc w:val="center"/>
              <w:rPr>
                <w:rFonts w:ascii="仿宋" w:hAnsi="仿宋" w:eastAsia="仿宋" w:cs="仿宋"/>
                <w:bCs/>
                <w:color w:val="auto"/>
              </w:rPr>
            </w:pPr>
          </w:p>
        </w:tc>
        <w:tc>
          <w:tcPr>
            <w:tcW w:w="2055" w:type="dxa"/>
            <w:tcBorders>
              <w:tl2br w:val="nil"/>
              <w:tr2bl w:val="nil"/>
            </w:tcBorders>
            <w:vAlign w:val="center"/>
          </w:tcPr>
          <w:p w14:paraId="67E716C9">
            <w:pPr>
              <w:pStyle w:val="2"/>
              <w:jc w:val="center"/>
              <w:rPr>
                <w:rFonts w:ascii="仿宋" w:hAnsi="仿宋" w:eastAsia="仿宋" w:cs="仿宋"/>
                <w:bCs/>
                <w:color w:val="auto"/>
              </w:rPr>
            </w:pPr>
            <w:r>
              <w:rPr>
                <w:rFonts w:hint="eastAsia" w:ascii="仿宋" w:hAnsi="仿宋" w:eastAsia="仿宋" w:cs="仿宋"/>
                <w:bCs/>
                <w:color w:val="auto"/>
              </w:rPr>
              <w:t>企业信用</w:t>
            </w:r>
          </w:p>
          <w:p w14:paraId="0E25F337">
            <w:pPr>
              <w:pStyle w:val="2"/>
              <w:jc w:val="center"/>
              <w:rPr>
                <w:rFonts w:ascii="仿宋" w:hAnsi="仿宋" w:eastAsia="仿宋" w:cs="仿宋"/>
                <w:bCs/>
                <w:color w:val="auto"/>
              </w:rPr>
            </w:pPr>
            <w:r>
              <w:rPr>
                <w:rFonts w:hint="eastAsia" w:ascii="仿宋" w:hAnsi="仿宋" w:eastAsia="仿宋" w:cs="仿宋"/>
                <w:bCs/>
                <w:color w:val="auto"/>
              </w:rPr>
              <w:t>等级</w:t>
            </w:r>
          </w:p>
        </w:tc>
        <w:tc>
          <w:tcPr>
            <w:tcW w:w="3079" w:type="dxa"/>
            <w:tcBorders>
              <w:tl2br w:val="nil"/>
              <w:tr2bl w:val="nil"/>
            </w:tcBorders>
            <w:vAlign w:val="center"/>
          </w:tcPr>
          <w:p w14:paraId="12350262">
            <w:pPr>
              <w:pStyle w:val="2"/>
              <w:jc w:val="center"/>
              <w:rPr>
                <w:rFonts w:ascii="仿宋" w:hAnsi="仿宋" w:eastAsia="仿宋" w:cs="仿宋"/>
                <w:bCs/>
                <w:color w:val="auto"/>
              </w:rPr>
            </w:pPr>
          </w:p>
        </w:tc>
      </w:tr>
      <w:tr w14:paraId="434481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6EC8BF12">
            <w:pPr>
              <w:pStyle w:val="2"/>
              <w:jc w:val="center"/>
              <w:rPr>
                <w:rFonts w:ascii="仿宋" w:hAnsi="仿宋" w:eastAsia="仿宋" w:cs="仿宋"/>
                <w:bCs/>
                <w:color w:val="auto"/>
              </w:rPr>
            </w:pPr>
            <w:r>
              <w:rPr>
                <w:rFonts w:hint="eastAsia" w:ascii="仿宋" w:hAnsi="仿宋" w:eastAsia="仿宋" w:cs="仿宋"/>
                <w:bCs/>
                <w:color w:val="auto"/>
              </w:rPr>
              <w:t>专业技术力量</w:t>
            </w:r>
          </w:p>
        </w:tc>
        <w:tc>
          <w:tcPr>
            <w:tcW w:w="8254" w:type="dxa"/>
            <w:gridSpan w:val="3"/>
            <w:tcBorders>
              <w:tl2br w:val="nil"/>
              <w:tr2bl w:val="nil"/>
            </w:tcBorders>
            <w:vAlign w:val="center"/>
          </w:tcPr>
          <w:p w14:paraId="125E43E2">
            <w:pPr>
              <w:pStyle w:val="2"/>
              <w:jc w:val="center"/>
              <w:rPr>
                <w:rFonts w:ascii="仿宋" w:hAnsi="仿宋" w:eastAsia="仿宋" w:cs="仿宋"/>
                <w:bCs/>
                <w:color w:val="auto"/>
              </w:rPr>
            </w:pPr>
            <w:r>
              <w:rPr>
                <w:rFonts w:hint="eastAsia" w:ascii="仿宋" w:hAnsi="仿宋" w:eastAsia="仿宋" w:cs="仿宋"/>
                <w:bCs/>
                <w:color w:val="auto"/>
              </w:rPr>
              <w:t>（与本项目合同履约有关的专业技术力量情况说明）</w:t>
            </w:r>
          </w:p>
        </w:tc>
      </w:tr>
      <w:tr w14:paraId="13D6E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1EA0F7BA">
            <w:pPr>
              <w:pStyle w:val="2"/>
              <w:jc w:val="center"/>
              <w:rPr>
                <w:rFonts w:ascii="仿宋" w:hAnsi="仿宋" w:eastAsia="仿宋" w:cs="仿宋"/>
                <w:bCs/>
                <w:color w:val="auto"/>
              </w:rPr>
            </w:pPr>
            <w:r>
              <w:rPr>
                <w:rFonts w:hint="eastAsia" w:ascii="仿宋" w:hAnsi="仿宋" w:eastAsia="仿宋" w:cs="仿宋"/>
                <w:bCs/>
                <w:color w:val="auto"/>
              </w:rPr>
              <w:t>专业设备</w:t>
            </w:r>
          </w:p>
        </w:tc>
        <w:tc>
          <w:tcPr>
            <w:tcW w:w="8254" w:type="dxa"/>
            <w:gridSpan w:val="3"/>
            <w:tcBorders>
              <w:tl2br w:val="nil"/>
              <w:tr2bl w:val="nil"/>
            </w:tcBorders>
            <w:vAlign w:val="center"/>
          </w:tcPr>
          <w:p w14:paraId="381FCA3D">
            <w:pPr>
              <w:pStyle w:val="2"/>
              <w:jc w:val="center"/>
              <w:rPr>
                <w:rFonts w:ascii="仿宋" w:hAnsi="仿宋" w:eastAsia="仿宋" w:cs="仿宋"/>
                <w:bCs/>
                <w:color w:val="auto"/>
              </w:rPr>
            </w:pPr>
            <w:r>
              <w:rPr>
                <w:rFonts w:hint="eastAsia" w:ascii="仿宋" w:hAnsi="仿宋" w:eastAsia="仿宋" w:cs="仿宋"/>
                <w:bCs/>
                <w:color w:val="auto"/>
              </w:rPr>
              <w:t>（与本项目合同履约有关的专业设备情况说明）</w:t>
            </w:r>
          </w:p>
        </w:tc>
      </w:tr>
      <w:tr w14:paraId="329121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7AD5949A">
            <w:pPr>
              <w:pStyle w:val="2"/>
              <w:jc w:val="center"/>
              <w:rPr>
                <w:rFonts w:ascii="仿宋" w:hAnsi="仿宋" w:eastAsia="仿宋" w:cs="仿宋"/>
                <w:bCs/>
                <w:color w:val="auto"/>
              </w:rPr>
            </w:pPr>
            <w:r>
              <w:rPr>
                <w:rFonts w:hint="eastAsia" w:ascii="仿宋" w:hAnsi="仿宋" w:eastAsia="仿宋" w:cs="仿宋"/>
                <w:bCs/>
                <w:color w:val="auto"/>
              </w:rPr>
              <w:t>售后服务机构</w:t>
            </w:r>
          </w:p>
        </w:tc>
        <w:tc>
          <w:tcPr>
            <w:tcW w:w="8254" w:type="dxa"/>
            <w:gridSpan w:val="3"/>
            <w:tcBorders>
              <w:tl2br w:val="nil"/>
              <w:tr2bl w:val="nil"/>
            </w:tcBorders>
            <w:vAlign w:val="center"/>
          </w:tcPr>
          <w:p w14:paraId="3FF5AC31">
            <w:pPr>
              <w:pStyle w:val="2"/>
              <w:jc w:val="center"/>
              <w:rPr>
                <w:rFonts w:ascii="仿宋" w:hAnsi="仿宋" w:eastAsia="仿宋" w:cs="仿宋"/>
                <w:bCs/>
                <w:color w:val="auto"/>
              </w:rPr>
            </w:pPr>
            <w:r>
              <w:rPr>
                <w:rFonts w:hint="eastAsia" w:ascii="仿宋" w:hAnsi="仿宋" w:eastAsia="仿宋" w:cs="仿宋"/>
                <w:bCs/>
                <w:color w:val="auto"/>
              </w:rPr>
              <w:t>（售后服务机构名称、地址等情况说明。如有，请说明）</w:t>
            </w:r>
          </w:p>
        </w:tc>
      </w:tr>
      <w:tr w14:paraId="79889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4015C1C3">
            <w:pPr>
              <w:pStyle w:val="2"/>
              <w:jc w:val="center"/>
              <w:rPr>
                <w:rFonts w:ascii="仿宋" w:hAnsi="仿宋" w:eastAsia="仿宋" w:cs="仿宋"/>
                <w:bCs/>
                <w:color w:val="auto"/>
              </w:rPr>
            </w:pPr>
            <w:r>
              <w:rPr>
                <w:rFonts w:hint="eastAsia" w:ascii="仿宋" w:hAnsi="仿宋" w:eastAsia="仿宋" w:cs="仿宋"/>
                <w:bCs/>
                <w:color w:val="auto"/>
              </w:rPr>
              <w:t>其他说明</w:t>
            </w:r>
          </w:p>
        </w:tc>
        <w:tc>
          <w:tcPr>
            <w:tcW w:w="8254" w:type="dxa"/>
            <w:gridSpan w:val="3"/>
            <w:tcBorders>
              <w:tl2br w:val="nil"/>
              <w:tr2bl w:val="nil"/>
            </w:tcBorders>
            <w:vAlign w:val="center"/>
          </w:tcPr>
          <w:p w14:paraId="6CB45FDB">
            <w:pPr>
              <w:pStyle w:val="2"/>
              <w:jc w:val="center"/>
              <w:rPr>
                <w:rFonts w:ascii="仿宋" w:hAnsi="仿宋" w:eastAsia="仿宋" w:cs="仿宋"/>
                <w:bCs/>
                <w:color w:val="auto"/>
              </w:rPr>
            </w:pPr>
          </w:p>
        </w:tc>
      </w:tr>
    </w:tbl>
    <w:p w14:paraId="7416EEE3">
      <w:pPr>
        <w:pStyle w:val="2"/>
        <w:rPr>
          <w:b/>
          <w:color w:val="auto"/>
        </w:rPr>
      </w:pPr>
    </w:p>
    <w:p w14:paraId="2DD984F6">
      <w:pPr>
        <w:pStyle w:val="2"/>
        <w:rPr>
          <w:b/>
          <w:color w:val="auto"/>
        </w:rPr>
      </w:pPr>
    </w:p>
    <w:p w14:paraId="62E657BF">
      <w:pPr>
        <w:pStyle w:val="2"/>
        <w:rPr>
          <w:b/>
          <w:color w:val="auto"/>
        </w:rPr>
      </w:pPr>
    </w:p>
    <w:p w14:paraId="113A3D37">
      <w:pPr>
        <w:pStyle w:val="2"/>
        <w:spacing w:before="8"/>
        <w:rPr>
          <w:b/>
          <w:color w:val="auto"/>
          <w:sz w:val="18"/>
        </w:rPr>
      </w:pPr>
    </w:p>
    <w:p w14:paraId="380C7F09">
      <w:pPr>
        <w:pStyle w:val="2"/>
        <w:tabs>
          <w:tab w:val="left" w:pos="6591"/>
          <w:tab w:val="left" w:pos="7071"/>
          <w:tab w:val="left" w:pos="7671"/>
        </w:tabs>
        <w:spacing w:line="388" w:lineRule="auto"/>
        <w:ind w:right="2132" w:firstLine="5040" w:firstLineChars="2100"/>
        <w:rPr>
          <w:rFonts w:ascii="仿宋" w:hAnsi="仿宋" w:eastAsia="仿宋" w:cs="仿宋"/>
          <w:color w:val="auto"/>
          <w:lang w:val="en-US"/>
        </w:rPr>
      </w:pPr>
      <w:r>
        <w:rPr>
          <w:rFonts w:hint="eastAsia" w:ascii="仿宋" w:hAnsi="仿宋" w:eastAsia="仿宋" w:cs="仿宋"/>
          <w:color w:val="auto"/>
          <w:kern w:val="0"/>
          <w:sz w:val="24"/>
          <w:lang w:val="zh-CN"/>
        </w:rPr>
        <w:t>投标人名称(电子签名)：</w:t>
      </w:r>
    </w:p>
    <w:p w14:paraId="526D2278">
      <w:pPr>
        <w:pStyle w:val="2"/>
        <w:tabs>
          <w:tab w:val="left" w:pos="6591"/>
          <w:tab w:val="left" w:pos="7071"/>
          <w:tab w:val="left" w:pos="7671"/>
        </w:tabs>
        <w:spacing w:line="388" w:lineRule="auto"/>
        <w:ind w:right="2132" w:firstLine="5040" w:firstLineChars="2100"/>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lang w:val="en-US"/>
        </w:rPr>
        <w:t xml:space="preserve">    </w:t>
      </w:r>
      <w:r>
        <w:rPr>
          <w:rFonts w:hint="eastAsia" w:ascii="仿宋" w:hAnsi="仿宋" w:eastAsia="仿宋" w:cs="仿宋"/>
          <w:color w:val="auto"/>
        </w:rPr>
        <w:t>年</w:t>
      </w:r>
      <w:r>
        <w:rPr>
          <w:rFonts w:hint="eastAsia" w:ascii="仿宋" w:hAnsi="仿宋" w:eastAsia="仿宋" w:cs="仿宋"/>
          <w:color w:val="auto"/>
          <w:lang w:val="en-US"/>
        </w:rPr>
        <w:t xml:space="preserve">  </w:t>
      </w:r>
      <w:r>
        <w:rPr>
          <w:rFonts w:hint="eastAsia" w:ascii="仿宋" w:hAnsi="仿宋" w:eastAsia="仿宋" w:cs="仿宋"/>
          <w:color w:val="auto"/>
        </w:rPr>
        <w:t>月</w:t>
      </w:r>
      <w:r>
        <w:rPr>
          <w:rFonts w:hint="eastAsia" w:ascii="仿宋" w:hAnsi="仿宋" w:eastAsia="仿宋" w:cs="仿宋"/>
          <w:color w:val="auto"/>
          <w:lang w:val="en-US"/>
        </w:rPr>
        <w:t xml:space="preserve">  </w:t>
      </w:r>
      <w:r>
        <w:rPr>
          <w:rFonts w:hint="eastAsia" w:ascii="仿宋" w:hAnsi="仿宋" w:eastAsia="仿宋" w:cs="仿宋"/>
          <w:color w:val="auto"/>
          <w:spacing w:val="-17"/>
        </w:rPr>
        <w:t>日</w:t>
      </w:r>
    </w:p>
    <w:p w14:paraId="628EF143">
      <w:pPr>
        <w:rPr>
          <w:color w:val="auto"/>
          <w:sz w:val="16"/>
        </w:rPr>
      </w:pPr>
      <w:r>
        <w:rPr>
          <w:color w:val="auto"/>
          <w:sz w:val="16"/>
        </w:rPr>
        <w:br w:type="page"/>
      </w:r>
    </w:p>
    <w:p w14:paraId="3591ABD5">
      <w:pPr>
        <w:spacing w:before="67"/>
        <w:ind w:left="1215" w:right="1232"/>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类似业绩情况</w:t>
      </w:r>
    </w:p>
    <w:p w14:paraId="1A34DDBF">
      <w:pPr>
        <w:spacing w:before="142" w:after="19"/>
        <w:ind w:right="5732"/>
        <w:jc w:val="center"/>
        <w:rPr>
          <w:rFonts w:ascii="仿宋" w:hAnsi="仿宋" w:eastAsia="仿宋" w:cs="仿宋"/>
          <w:color w:val="auto"/>
          <w:sz w:val="24"/>
          <w:szCs w:val="24"/>
        </w:rPr>
      </w:pPr>
      <w:r>
        <w:rPr>
          <w:rFonts w:hint="eastAsia" w:ascii="仿宋" w:hAnsi="仿宋" w:eastAsia="仿宋" w:cs="仿宋"/>
          <w:color w:val="auto"/>
          <w:sz w:val="24"/>
          <w:szCs w:val="24"/>
        </w:rPr>
        <w:t>附表：项目实施情况一览表</w:t>
      </w:r>
    </w:p>
    <w:tbl>
      <w:tblPr>
        <w:tblStyle w:val="26"/>
        <w:tblW w:w="9990" w:type="dxa"/>
        <w:tblInd w:w="89"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1260"/>
        <w:gridCol w:w="1350"/>
        <w:gridCol w:w="1260"/>
        <w:gridCol w:w="1410"/>
        <w:gridCol w:w="1860"/>
        <w:gridCol w:w="690"/>
      </w:tblGrid>
      <w:tr w14:paraId="5E560A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2160" w:type="dxa"/>
            <w:tcBorders>
              <w:tl2br w:val="nil"/>
              <w:tr2bl w:val="nil"/>
            </w:tcBorders>
            <w:shd w:val="clear" w:color="auto" w:fill="B6DDE8" w:themeFill="accent5" w:themeFillTint="66"/>
            <w:vAlign w:val="center"/>
          </w:tcPr>
          <w:p w14:paraId="3B141F90">
            <w:pPr>
              <w:pStyle w:val="37"/>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1260" w:type="dxa"/>
            <w:tcBorders>
              <w:tl2br w:val="nil"/>
              <w:tr2bl w:val="nil"/>
            </w:tcBorders>
            <w:shd w:val="clear" w:color="auto" w:fill="B6DDE8" w:themeFill="accent5" w:themeFillTint="66"/>
            <w:vAlign w:val="center"/>
          </w:tcPr>
          <w:p w14:paraId="0D2A41C7">
            <w:pPr>
              <w:pStyle w:val="37"/>
              <w:jc w:val="center"/>
              <w:rPr>
                <w:rFonts w:ascii="仿宋" w:hAnsi="仿宋" w:eastAsia="仿宋" w:cs="仿宋"/>
                <w:color w:val="auto"/>
                <w:sz w:val="24"/>
                <w:szCs w:val="24"/>
              </w:rPr>
            </w:pPr>
            <w:r>
              <w:rPr>
                <w:rFonts w:hint="eastAsia" w:ascii="仿宋" w:hAnsi="仿宋" w:eastAsia="仿宋" w:cs="仿宋"/>
                <w:color w:val="auto"/>
                <w:sz w:val="24"/>
                <w:szCs w:val="24"/>
              </w:rPr>
              <w:t>项目类型</w:t>
            </w:r>
          </w:p>
        </w:tc>
        <w:tc>
          <w:tcPr>
            <w:tcW w:w="1350" w:type="dxa"/>
            <w:tcBorders>
              <w:tl2br w:val="nil"/>
              <w:tr2bl w:val="nil"/>
            </w:tcBorders>
            <w:shd w:val="clear" w:color="auto" w:fill="B6DDE8" w:themeFill="accent5" w:themeFillTint="66"/>
            <w:vAlign w:val="center"/>
          </w:tcPr>
          <w:p w14:paraId="40EFD22A">
            <w:pPr>
              <w:pStyle w:val="37"/>
              <w:jc w:val="center"/>
              <w:rPr>
                <w:rFonts w:ascii="仿宋" w:hAnsi="仿宋" w:eastAsia="仿宋" w:cs="仿宋"/>
                <w:color w:val="auto"/>
                <w:sz w:val="24"/>
                <w:szCs w:val="24"/>
              </w:rPr>
            </w:pPr>
            <w:r>
              <w:rPr>
                <w:rFonts w:hint="eastAsia" w:ascii="仿宋" w:hAnsi="仿宋" w:eastAsia="仿宋" w:cs="仿宋"/>
                <w:color w:val="auto"/>
                <w:sz w:val="24"/>
                <w:szCs w:val="24"/>
              </w:rPr>
              <w:t>简要描述</w:t>
            </w:r>
          </w:p>
        </w:tc>
        <w:tc>
          <w:tcPr>
            <w:tcW w:w="1260" w:type="dxa"/>
            <w:tcBorders>
              <w:tl2br w:val="nil"/>
              <w:tr2bl w:val="nil"/>
            </w:tcBorders>
            <w:shd w:val="clear" w:color="auto" w:fill="B6DDE8" w:themeFill="accent5" w:themeFillTint="66"/>
            <w:vAlign w:val="center"/>
          </w:tcPr>
          <w:p w14:paraId="035EF3A6">
            <w:pPr>
              <w:pStyle w:val="37"/>
              <w:jc w:val="center"/>
              <w:rPr>
                <w:rFonts w:ascii="仿宋" w:hAnsi="仿宋" w:eastAsia="仿宋" w:cs="仿宋"/>
                <w:color w:val="auto"/>
                <w:sz w:val="24"/>
                <w:szCs w:val="24"/>
              </w:rPr>
            </w:pPr>
            <w:r>
              <w:rPr>
                <w:rFonts w:hint="eastAsia" w:ascii="仿宋" w:hAnsi="仿宋" w:eastAsia="仿宋" w:cs="仿宋"/>
                <w:color w:val="auto"/>
                <w:sz w:val="24"/>
                <w:szCs w:val="24"/>
              </w:rPr>
              <w:t>项目投资（万元）</w:t>
            </w:r>
          </w:p>
        </w:tc>
        <w:tc>
          <w:tcPr>
            <w:tcW w:w="1410" w:type="dxa"/>
            <w:tcBorders>
              <w:tl2br w:val="nil"/>
              <w:tr2bl w:val="nil"/>
            </w:tcBorders>
            <w:shd w:val="clear" w:color="auto" w:fill="B6DDE8" w:themeFill="accent5" w:themeFillTint="66"/>
            <w:vAlign w:val="center"/>
          </w:tcPr>
          <w:p w14:paraId="299F5F6D">
            <w:pPr>
              <w:pStyle w:val="37"/>
              <w:jc w:val="center"/>
              <w:rPr>
                <w:rFonts w:ascii="仿宋" w:hAnsi="仿宋" w:eastAsia="仿宋" w:cs="仿宋"/>
                <w:color w:val="auto"/>
                <w:sz w:val="24"/>
                <w:szCs w:val="24"/>
              </w:rPr>
            </w:pPr>
            <w:r>
              <w:rPr>
                <w:rFonts w:hint="eastAsia" w:ascii="仿宋" w:hAnsi="仿宋" w:eastAsia="仿宋" w:cs="仿宋"/>
                <w:color w:val="auto"/>
                <w:sz w:val="24"/>
                <w:szCs w:val="24"/>
              </w:rPr>
              <w:t>起止日期</w:t>
            </w:r>
          </w:p>
        </w:tc>
        <w:tc>
          <w:tcPr>
            <w:tcW w:w="1860" w:type="dxa"/>
            <w:tcBorders>
              <w:tl2br w:val="nil"/>
              <w:tr2bl w:val="nil"/>
            </w:tcBorders>
            <w:shd w:val="clear" w:color="auto" w:fill="B6DDE8" w:themeFill="accent5" w:themeFillTint="66"/>
            <w:vAlign w:val="center"/>
          </w:tcPr>
          <w:p w14:paraId="06CA43D0">
            <w:pPr>
              <w:pStyle w:val="37"/>
              <w:jc w:val="center"/>
              <w:rPr>
                <w:rFonts w:ascii="仿宋" w:hAnsi="仿宋" w:eastAsia="仿宋" w:cs="仿宋"/>
                <w:color w:val="auto"/>
                <w:sz w:val="24"/>
                <w:szCs w:val="24"/>
              </w:rPr>
            </w:pPr>
            <w:r>
              <w:rPr>
                <w:rFonts w:hint="eastAsia" w:ascii="仿宋" w:hAnsi="仿宋" w:eastAsia="仿宋" w:cs="仿宋"/>
                <w:color w:val="auto"/>
                <w:sz w:val="24"/>
                <w:szCs w:val="24"/>
                <w:lang w:val="en-US"/>
              </w:rPr>
              <w:t>用户</w:t>
            </w:r>
            <w:r>
              <w:rPr>
                <w:rFonts w:hint="eastAsia" w:ascii="仿宋" w:hAnsi="仿宋" w:eastAsia="仿宋" w:cs="仿宋"/>
                <w:color w:val="auto"/>
                <w:sz w:val="24"/>
                <w:szCs w:val="24"/>
              </w:rPr>
              <w:t>联系</w:t>
            </w:r>
            <w:r>
              <w:rPr>
                <w:rFonts w:hint="eastAsia" w:ascii="仿宋" w:hAnsi="仿宋" w:eastAsia="仿宋" w:cs="仿宋"/>
                <w:color w:val="auto"/>
                <w:sz w:val="24"/>
                <w:szCs w:val="24"/>
                <w:lang w:val="en-US"/>
              </w:rPr>
              <w:t>人</w:t>
            </w:r>
            <w:r>
              <w:rPr>
                <w:rFonts w:hint="eastAsia" w:ascii="仿宋" w:hAnsi="仿宋" w:eastAsia="仿宋" w:cs="仿宋"/>
                <w:color w:val="auto"/>
                <w:sz w:val="24"/>
                <w:szCs w:val="24"/>
              </w:rPr>
              <w:t>电话</w:t>
            </w:r>
          </w:p>
        </w:tc>
        <w:tc>
          <w:tcPr>
            <w:tcW w:w="690" w:type="dxa"/>
            <w:tcBorders>
              <w:tl2br w:val="nil"/>
              <w:tr2bl w:val="nil"/>
            </w:tcBorders>
            <w:shd w:val="clear" w:color="auto" w:fill="B6DDE8" w:themeFill="accent5" w:themeFillTint="66"/>
            <w:vAlign w:val="center"/>
          </w:tcPr>
          <w:p w14:paraId="3768301E">
            <w:pPr>
              <w:pStyle w:val="37"/>
              <w:jc w:val="center"/>
              <w:rPr>
                <w:rFonts w:ascii="仿宋" w:hAnsi="仿宋" w:eastAsia="仿宋" w:cs="仿宋"/>
                <w:color w:val="auto"/>
                <w:sz w:val="24"/>
                <w:szCs w:val="24"/>
              </w:rPr>
            </w:pPr>
            <w:r>
              <w:rPr>
                <w:rFonts w:hint="eastAsia" w:ascii="仿宋" w:hAnsi="仿宋" w:eastAsia="仿宋" w:cs="仿宋"/>
                <w:color w:val="auto"/>
                <w:sz w:val="24"/>
                <w:szCs w:val="24"/>
              </w:rPr>
              <w:t>所在页码</w:t>
            </w:r>
          </w:p>
        </w:tc>
      </w:tr>
      <w:tr w14:paraId="7B4429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160" w:type="dxa"/>
            <w:tcBorders>
              <w:tl2br w:val="nil"/>
              <w:tr2bl w:val="nil"/>
            </w:tcBorders>
            <w:vAlign w:val="center"/>
          </w:tcPr>
          <w:p w14:paraId="19EEDCE4">
            <w:pPr>
              <w:pStyle w:val="37"/>
              <w:jc w:val="center"/>
              <w:rPr>
                <w:rFonts w:ascii="仿宋" w:hAnsi="仿宋" w:eastAsia="仿宋" w:cs="仿宋"/>
                <w:color w:val="auto"/>
                <w:sz w:val="24"/>
                <w:szCs w:val="24"/>
              </w:rPr>
            </w:pPr>
          </w:p>
        </w:tc>
        <w:tc>
          <w:tcPr>
            <w:tcW w:w="1260" w:type="dxa"/>
            <w:tcBorders>
              <w:tl2br w:val="nil"/>
              <w:tr2bl w:val="nil"/>
            </w:tcBorders>
            <w:vAlign w:val="center"/>
          </w:tcPr>
          <w:p w14:paraId="0E8A10E0">
            <w:pPr>
              <w:pStyle w:val="37"/>
              <w:jc w:val="center"/>
              <w:rPr>
                <w:rFonts w:ascii="仿宋" w:hAnsi="仿宋" w:eastAsia="仿宋" w:cs="仿宋"/>
                <w:color w:val="auto"/>
                <w:sz w:val="24"/>
                <w:szCs w:val="24"/>
              </w:rPr>
            </w:pPr>
          </w:p>
        </w:tc>
        <w:tc>
          <w:tcPr>
            <w:tcW w:w="1350" w:type="dxa"/>
            <w:tcBorders>
              <w:tl2br w:val="nil"/>
              <w:tr2bl w:val="nil"/>
            </w:tcBorders>
            <w:vAlign w:val="center"/>
          </w:tcPr>
          <w:p w14:paraId="6C33772C">
            <w:pPr>
              <w:pStyle w:val="37"/>
              <w:jc w:val="center"/>
              <w:rPr>
                <w:rFonts w:ascii="仿宋" w:hAnsi="仿宋" w:eastAsia="仿宋" w:cs="仿宋"/>
                <w:color w:val="auto"/>
                <w:sz w:val="24"/>
                <w:szCs w:val="24"/>
              </w:rPr>
            </w:pPr>
          </w:p>
        </w:tc>
        <w:tc>
          <w:tcPr>
            <w:tcW w:w="1260" w:type="dxa"/>
            <w:tcBorders>
              <w:tl2br w:val="nil"/>
              <w:tr2bl w:val="nil"/>
            </w:tcBorders>
            <w:vAlign w:val="center"/>
          </w:tcPr>
          <w:p w14:paraId="36218757">
            <w:pPr>
              <w:pStyle w:val="37"/>
              <w:jc w:val="center"/>
              <w:rPr>
                <w:rFonts w:ascii="仿宋" w:hAnsi="仿宋" w:eastAsia="仿宋" w:cs="仿宋"/>
                <w:color w:val="auto"/>
                <w:sz w:val="24"/>
                <w:szCs w:val="24"/>
              </w:rPr>
            </w:pPr>
          </w:p>
        </w:tc>
        <w:tc>
          <w:tcPr>
            <w:tcW w:w="1410" w:type="dxa"/>
            <w:tcBorders>
              <w:tl2br w:val="nil"/>
              <w:tr2bl w:val="nil"/>
            </w:tcBorders>
            <w:vAlign w:val="center"/>
          </w:tcPr>
          <w:p w14:paraId="65D62A14">
            <w:pPr>
              <w:pStyle w:val="37"/>
              <w:jc w:val="center"/>
              <w:rPr>
                <w:rFonts w:ascii="仿宋" w:hAnsi="仿宋" w:eastAsia="仿宋" w:cs="仿宋"/>
                <w:color w:val="auto"/>
                <w:sz w:val="24"/>
                <w:szCs w:val="24"/>
              </w:rPr>
            </w:pPr>
          </w:p>
        </w:tc>
        <w:tc>
          <w:tcPr>
            <w:tcW w:w="1860" w:type="dxa"/>
            <w:tcBorders>
              <w:tl2br w:val="nil"/>
              <w:tr2bl w:val="nil"/>
            </w:tcBorders>
            <w:vAlign w:val="center"/>
          </w:tcPr>
          <w:p w14:paraId="34BA3283">
            <w:pPr>
              <w:pStyle w:val="37"/>
              <w:jc w:val="center"/>
              <w:rPr>
                <w:rFonts w:ascii="仿宋" w:hAnsi="仿宋" w:eastAsia="仿宋" w:cs="仿宋"/>
                <w:color w:val="auto"/>
                <w:sz w:val="24"/>
                <w:szCs w:val="24"/>
              </w:rPr>
            </w:pPr>
          </w:p>
        </w:tc>
        <w:tc>
          <w:tcPr>
            <w:tcW w:w="690" w:type="dxa"/>
            <w:tcBorders>
              <w:tl2br w:val="nil"/>
              <w:tr2bl w:val="nil"/>
            </w:tcBorders>
            <w:vAlign w:val="center"/>
          </w:tcPr>
          <w:p w14:paraId="7F97ADED">
            <w:pPr>
              <w:pStyle w:val="37"/>
              <w:jc w:val="center"/>
              <w:rPr>
                <w:rFonts w:ascii="仿宋" w:hAnsi="仿宋" w:eastAsia="仿宋" w:cs="仿宋"/>
                <w:color w:val="auto"/>
                <w:sz w:val="24"/>
                <w:szCs w:val="24"/>
              </w:rPr>
            </w:pPr>
          </w:p>
        </w:tc>
      </w:tr>
      <w:tr w14:paraId="4A4D78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1D8B384A">
            <w:pPr>
              <w:pStyle w:val="37"/>
              <w:jc w:val="center"/>
              <w:rPr>
                <w:rFonts w:ascii="仿宋" w:hAnsi="仿宋" w:eastAsia="仿宋" w:cs="仿宋"/>
                <w:color w:val="auto"/>
                <w:sz w:val="24"/>
                <w:szCs w:val="24"/>
              </w:rPr>
            </w:pPr>
          </w:p>
        </w:tc>
        <w:tc>
          <w:tcPr>
            <w:tcW w:w="1260" w:type="dxa"/>
            <w:tcBorders>
              <w:tl2br w:val="nil"/>
              <w:tr2bl w:val="nil"/>
            </w:tcBorders>
            <w:vAlign w:val="center"/>
          </w:tcPr>
          <w:p w14:paraId="0AE2B933">
            <w:pPr>
              <w:pStyle w:val="37"/>
              <w:jc w:val="center"/>
              <w:rPr>
                <w:rFonts w:ascii="仿宋" w:hAnsi="仿宋" w:eastAsia="仿宋" w:cs="仿宋"/>
                <w:color w:val="auto"/>
                <w:sz w:val="24"/>
                <w:szCs w:val="24"/>
              </w:rPr>
            </w:pPr>
          </w:p>
        </w:tc>
        <w:tc>
          <w:tcPr>
            <w:tcW w:w="1350" w:type="dxa"/>
            <w:tcBorders>
              <w:tl2br w:val="nil"/>
              <w:tr2bl w:val="nil"/>
            </w:tcBorders>
            <w:vAlign w:val="center"/>
          </w:tcPr>
          <w:p w14:paraId="1D1C34D4">
            <w:pPr>
              <w:pStyle w:val="37"/>
              <w:jc w:val="center"/>
              <w:rPr>
                <w:rFonts w:ascii="仿宋" w:hAnsi="仿宋" w:eastAsia="仿宋" w:cs="仿宋"/>
                <w:color w:val="auto"/>
                <w:sz w:val="24"/>
                <w:szCs w:val="24"/>
              </w:rPr>
            </w:pPr>
          </w:p>
        </w:tc>
        <w:tc>
          <w:tcPr>
            <w:tcW w:w="1260" w:type="dxa"/>
            <w:tcBorders>
              <w:tl2br w:val="nil"/>
              <w:tr2bl w:val="nil"/>
            </w:tcBorders>
            <w:vAlign w:val="center"/>
          </w:tcPr>
          <w:p w14:paraId="4C8D37C2">
            <w:pPr>
              <w:pStyle w:val="37"/>
              <w:jc w:val="center"/>
              <w:rPr>
                <w:rFonts w:ascii="仿宋" w:hAnsi="仿宋" w:eastAsia="仿宋" w:cs="仿宋"/>
                <w:color w:val="auto"/>
                <w:sz w:val="24"/>
                <w:szCs w:val="24"/>
              </w:rPr>
            </w:pPr>
          </w:p>
        </w:tc>
        <w:tc>
          <w:tcPr>
            <w:tcW w:w="1410" w:type="dxa"/>
            <w:tcBorders>
              <w:tl2br w:val="nil"/>
              <w:tr2bl w:val="nil"/>
            </w:tcBorders>
            <w:vAlign w:val="center"/>
          </w:tcPr>
          <w:p w14:paraId="77320F1D">
            <w:pPr>
              <w:pStyle w:val="37"/>
              <w:jc w:val="center"/>
              <w:rPr>
                <w:rFonts w:ascii="仿宋" w:hAnsi="仿宋" w:eastAsia="仿宋" w:cs="仿宋"/>
                <w:color w:val="auto"/>
                <w:sz w:val="24"/>
                <w:szCs w:val="24"/>
              </w:rPr>
            </w:pPr>
          </w:p>
        </w:tc>
        <w:tc>
          <w:tcPr>
            <w:tcW w:w="1860" w:type="dxa"/>
            <w:tcBorders>
              <w:tl2br w:val="nil"/>
              <w:tr2bl w:val="nil"/>
            </w:tcBorders>
            <w:vAlign w:val="center"/>
          </w:tcPr>
          <w:p w14:paraId="1E2297BB">
            <w:pPr>
              <w:pStyle w:val="37"/>
              <w:jc w:val="center"/>
              <w:rPr>
                <w:rFonts w:ascii="仿宋" w:hAnsi="仿宋" w:eastAsia="仿宋" w:cs="仿宋"/>
                <w:color w:val="auto"/>
                <w:sz w:val="24"/>
                <w:szCs w:val="24"/>
              </w:rPr>
            </w:pPr>
          </w:p>
        </w:tc>
        <w:tc>
          <w:tcPr>
            <w:tcW w:w="690" w:type="dxa"/>
            <w:tcBorders>
              <w:tl2br w:val="nil"/>
              <w:tr2bl w:val="nil"/>
            </w:tcBorders>
            <w:vAlign w:val="center"/>
          </w:tcPr>
          <w:p w14:paraId="0124AC47">
            <w:pPr>
              <w:pStyle w:val="37"/>
              <w:jc w:val="center"/>
              <w:rPr>
                <w:rFonts w:ascii="仿宋" w:hAnsi="仿宋" w:eastAsia="仿宋" w:cs="仿宋"/>
                <w:color w:val="auto"/>
                <w:sz w:val="24"/>
                <w:szCs w:val="24"/>
              </w:rPr>
            </w:pPr>
          </w:p>
        </w:tc>
      </w:tr>
      <w:tr w14:paraId="694F8A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2BE669F5">
            <w:pPr>
              <w:pStyle w:val="37"/>
              <w:jc w:val="center"/>
              <w:rPr>
                <w:rFonts w:ascii="仿宋" w:hAnsi="仿宋" w:eastAsia="仿宋" w:cs="仿宋"/>
                <w:color w:val="auto"/>
                <w:sz w:val="24"/>
                <w:szCs w:val="24"/>
              </w:rPr>
            </w:pPr>
          </w:p>
        </w:tc>
        <w:tc>
          <w:tcPr>
            <w:tcW w:w="1260" w:type="dxa"/>
            <w:tcBorders>
              <w:tl2br w:val="nil"/>
              <w:tr2bl w:val="nil"/>
            </w:tcBorders>
            <w:vAlign w:val="center"/>
          </w:tcPr>
          <w:p w14:paraId="19A90169">
            <w:pPr>
              <w:pStyle w:val="37"/>
              <w:jc w:val="center"/>
              <w:rPr>
                <w:rFonts w:ascii="仿宋" w:hAnsi="仿宋" w:eastAsia="仿宋" w:cs="仿宋"/>
                <w:color w:val="auto"/>
                <w:sz w:val="24"/>
                <w:szCs w:val="24"/>
              </w:rPr>
            </w:pPr>
          </w:p>
        </w:tc>
        <w:tc>
          <w:tcPr>
            <w:tcW w:w="1350" w:type="dxa"/>
            <w:tcBorders>
              <w:tl2br w:val="nil"/>
              <w:tr2bl w:val="nil"/>
            </w:tcBorders>
            <w:vAlign w:val="center"/>
          </w:tcPr>
          <w:p w14:paraId="6D286D16">
            <w:pPr>
              <w:pStyle w:val="37"/>
              <w:jc w:val="center"/>
              <w:rPr>
                <w:rFonts w:ascii="仿宋" w:hAnsi="仿宋" w:eastAsia="仿宋" w:cs="仿宋"/>
                <w:color w:val="auto"/>
                <w:sz w:val="24"/>
                <w:szCs w:val="24"/>
              </w:rPr>
            </w:pPr>
          </w:p>
        </w:tc>
        <w:tc>
          <w:tcPr>
            <w:tcW w:w="1260" w:type="dxa"/>
            <w:tcBorders>
              <w:tl2br w:val="nil"/>
              <w:tr2bl w:val="nil"/>
            </w:tcBorders>
            <w:vAlign w:val="center"/>
          </w:tcPr>
          <w:p w14:paraId="45236DAA">
            <w:pPr>
              <w:pStyle w:val="37"/>
              <w:jc w:val="center"/>
              <w:rPr>
                <w:rFonts w:ascii="仿宋" w:hAnsi="仿宋" w:eastAsia="仿宋" w:cs="仿宋"/>
                <w:color w:val="auto"/>
                <w:sz w:val="24"/>
                <w:szCs w:val="24"/>
              </w:rPr>
            </w:pPr>
          </w:p>
        </w:tc>
        <w:tc>
          <w:tcPr>
            <w:tcW w:w="1410" w:type="dxa"/>
            <w:tcBorders>
              <w:tl2br w:val="nil"/>
              <w:tr2bl w:val="nil"/>
            </w:tcBorders>
            <w:vAlign w:val="center"/>
          </w:tcPr>
          <w:p w14:paraId="7D5BD4E7">
            <w:pPr>
              <w:pStyle w:val="37"/>
              <w:jc w:val="center"/>
              <w:rPr>
                <w:rFonts w:ascii="仿宋" w:hAnsi="仿宋" w:eastAsia="仿宋" w:cs="仿宋"/>
                <w:color w:val="auto"/>
                <w:sz w:val="24"/>
                <w:szCs w:val="24"/>
              </w:rPr>
            </w:pPr>
          </w:p>
        </w:tc>
        <w:tc>
          <w:tcPr>
            <w:tcW w:w="1860" w:type="dxa"/>
            <w:tcBorders>
              <w:tl2br w:val="nil"/>
              <w:tr2bl w:val="nil"/>
            </w:tcBorders>
            <w:vAlign w:val="center"/>
          </w:tcPr>
          <w:p w14:paraId="447D5A66">
            <w:pPr>
              <w:pStyle w:val="37"/>
              <w:jc w:val="center"/>
              <w:rPr>
                <w:rFonts w:ascii="仿宋" w:hAnsi="仿宋" w:eastAsia="仿宋" w:cs="仿宋"/>
                <w:color w:val="auto"/>
                <w:sz w:val="24"/>
                <w:szCs w:val="24"/>
              </w:rPr>
            </w:pPr>
          </w:p>
        </w:tc>
        <w:tc>
          <w:tcPr>
            <w:tcW w:w="690" w:type="dxa"/>
            <w:tcBorders>
              <w:tl2br w:val="nil"/>
              <w:tr2bl w:val="nil"/>
            </w:tcBorders>
            <w:vAlign w:val="center"/>
          </w:tcPr>
          <w:p w14:paraId="0D2B6FE4">
            <w:pPr>
              <w:pStyle w:val="37"/>
              <w:jc w:val="center"/>
              <w:rPr>
                <w:rFonts w:ascii="仿宋" w:hAnsi="仿宋" w:eastAsia="仿宋" w:cs="仿宋"/>
                <w:color w:val="auto"/>
                <w:sz w:val="24"/>
                <w:szCs w:val="24"/>
              </w:rPr>
            </w:pPr>
          </w:p>
        </w:tc>
      </w:tr>
      <w:tr w14:paraId="4DAF97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25DC062F">
            <w:pPr>
              <w:pStyle w:val="37"/>
              <w:jc w:val="center"/>
              <w:rPr>
                <w:rFonts w:ascii="仿宋" w:hAnsi="仿宋" w:eastAsia="仿宋" w:cs="仿宋"/>
                <w:color w:val="auto"/>
                <w:sz w:val="24"/>
                <w:szCs w:val="24"/>
              </w:rPr>
            </w:pPr>
          </w:p>
        </w:tc>
        <w:tc>
          <w:tcPr>
            <w:tcW w:w="1260" w:type="dxa"/>
            <w:tcBorders>
              <w:tl2br w:val="nil"/>
              <w:tr2bl w:val="nil"/>
            </w:tcBorders>
            <w:vAlign w:val="center"/>
          </w:tcPr>
          <w:p w14:paraId="4BCFCD75">
            <w:pPr>
              <w:pStyle w:val="37"/>
              <w:jc w:val="center"/>
              <w:rPr>
                <w:rFonts w:ascii="仿宋" w:hAnsi="仿宋" w:eastAsia="仿宋" w:cs="仿宋"/>
                <w:color w:val="auto"/>
                <w:sz w:val="24"/>
                <w:szCs w:val="24"/>
              </w:rPr>
            </w:pPr>
          </w:p>
        </w:tc>
        <w:tc>
          <w:tcPr>
            <w:tcW w:w="1350" w:type="dxa"/>
            <w:tcBorders>
              <w:tl2br w:val="nil"/>
              <w:tr2bl w:val="nil"/>
            </w:tcBorders>
            <w:vAlign w:val="center"/>
          </w:tcPr>
          <w:p w14:paraId="35B49D5E">
            <w:pPr>
              <w:pStyle w:val="37"/>
              <w:jc w:val="center"/>
              <w:rPr>
                <w:rFonts w:ascii="仿宋" w:hAnsi="仿宋" w:eastAsia="仿宋" w:cs="仿宋"/>
                <w:color w:val="auto"/>
                <w:sz w:val="24"/>
                <w:szCs w:val="24"/>
              </w:rPr>
            </w:pPr>
          </w:p>
        </w:tc>
        <w:tc>
          <w:tcPr>
            <w:tcW w:w="1260" w:type="dxa"/>
            <w:tcBorders>
              <w:tl2br w:val="nil"/>
              <w:tr2bl w:val="nil"/>
            </w:tcBorders>
            <w:vAlign w:val="center"/>
          </w:tcPr>
          <w:p w14:paraId="2C9CBE4E">
            <w:pPr>
              <w:pStyle w:val="37"/>
              <w:jc w:val="center"/>
              <w:rPr>
                <w:rFonts w:ascii="仿宋" w:hAnsi="仿宋" w:eastAsia="仿宋" w:cs="仿宋"/>
                <w:color w:val="auto"/>
                <w:sz w:val="24"/>
                <w:szCs w:val="24"/>
              </w:rPr>
            </w:pPr>
          </w:p>
        </w:tc>
        <w:tc>
          <w:tcPr>
            <w:tcW w:w="1410" w:type="dxa"/>
            <w:tcBorders>
              <w:tl2br w:val="nil"/>
              <w:tr2bl w:val="nil"/>
            </w:tcBorders>
            <w:vAlign w:val="center"/>
          </w:tcPr>
          <w:p w14:paraId="0E46772B">
            <w:pPr>
              <w:pStyle w:val="37"/>
              <w:jc w:val="center"/>
              <w:rPr>
                <w:rFonts w:ascii="仿宋" w:hAnsi="仿宋" w:eastAsia="仿宋" w:cs="仿宋"/>
                <w:color w:val="auto"/>
                <w:sz w:val="24"/>
                <w:szCs w:val="24"/>
              </w:rPr>
            </w:pPr>
          </w:p>
        </w:tc>
        <w:tc>
          <w:tcPr>
            <w:tcW w:w="1860" w:type="dxa"/>
            <w:tcBorders>
              <w:tl2br w:val="nil"/>
              <w:tr2bl w:val="nil"/>
            </w:tcBorders>
            <w:vAlign w:val="center"/>
          </w:tcPr>
          <w:p w14:paraId="7B02862D">
            <w:pPr>
              <w:pStyle w:val="37"/>
              <w:jc w:val="center"/>
              <w:rPr>
                <w:rFonts w:ascii="仿宋" w:hAnsi="仿宋" w:eastAsia="仿宋" w:cs="仿宋"/>
                <w:color w:val="auto"/>
                <w:sz w:val="24"/>
                <w:szCs w:val="24"/>
              </w:rPr>
            </w:pPr>
          </w:p>
        </w:tc>
        <w:tc>
          <w:tcPr>
            <w:tcW w:w="690" w:type="dxa"/>
            <w:tcBorders>
              <w:tl2br w:val="nil"/>
              <w:tr2bl w:val="nil"/>
            </w:tcBorders>
            <w:vAlign w:val="center"/>
          </w:tcPr>
          <w:p w14:paraId="53845B9D">
            <w:pPr>
              <w:pStyle w:val="37"/>
              <w:jc w:val="center"/>
              <w:rPr>
                <w:rFonts w:ascii="仿宋" w:hAnsi="仿宋" w:eastAsia="仿宋" w:cs="仿宋"/>
                <w:color w:val="auto"/>
                <w:sz w:val="24"/>
                <w:szCs w:val="24"/>
              </w:rPr>
            </w:pPr>
          </w:p>
        </w:tc>
      </w:tr>
      <w:tr w14:paraId="594652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486AB0CC">
            <w:pPr>
              <w:pStyle w:val="37"/>
              <w:jc w:val="center"/>
              <w:rPr>
                <w:rFonts w:ascii="仿宋" w:hAnsi="仿宋" w:eastAsia="仿宋" w:cs="仿宋"/>
                <w:color w:val="auto"/>
                <w:sz w:val="24"/>
                <w:szCs w:val="24"/>
              </w:rPr>
            </w:pPr>
          </w:p>
        </w:tc>
        <w:tc>
          <w:tcPr>
            <w:tcW w:w="1260" w:type="dxa"/>
            <w:tcBorders>
              <w:tl2br w:val="nil"/>
              <w:tr2bl w:val="nil"/>
            </w:tcBorders>
            <w:vAlign w:val="center"/>
          </w:tcPr>
          <w:p w14:paraId="4B4A5C52">
            <w:pPr>
              <w:pStyle w:val="37"/>
              <w:jc w:val="center"/>
              <w:rPr>
                <w:rFonts w:ascii="仿宋" w:hAnsi="仿宋" w:eastAsia="仿宋" w:cs="仿宋"/>
                <w:color w:val="auto"/>
                <w:sz w:val="24"/>
                <w:szCs w:val="24"/>
              </w:rPr>
            </w:pPr>
          </w:p>
        </w:tc>
        <w:tc>
          <w:tcPr>
            <w:tcW w:w="1350" w:type="dxa"/>
            <w:tcBorders>
              <w:tl2br w:val="nil"/>
              <w:tr2bl w:val="nil"/>
            </w:tcBorders>
            <w:vAlign w:val="center"/>
          </w:tcPr>
          <w:p w14:paraId="52650CBD">
            <w:pPr>
              <w:pStyle w:val="37"/>
              <w:jc w:val="center"/>
              <w:rPr>
                <w:rFonts w:ascii="仿宋" w:hAnsi="仿宋" w:eastAsia="仿宋" w:cs="仿宋"/>
                <w:color w:val="auto"/>
                <w:sz w:val="24"/>
                <w:szCs w:val="24"/>
              </w:rPr>
            </w:pPr>
          </w:p>
        </w:tc>
        <w:tc>
          <w:tcPr>
            <w:tcW w:w="1260" w:type="dxa"/>
            <w:tcBorders>
              <w:tl2br w:val="nil"/>
              <w:tr2bl w:val="nil"/>
            </w:tcBorders>
            <w:vAlign w:val="center"/>
          </w:tcPr>
          <w:p w14:paraId="22571C64">
            <w:pPr>
              <w:pStyle w:val="37"/>
              <w:jc w:val="center"/>
              <w:rPr>
                <w:rFonts w:ascii="仿宋" w:hAnsi="仿宋" w:eastAsia="仿宋" w:cs="仿宋"/>
                <w:color w:val="auto"/>
                <w:sz w:val="24"/>
                <w:szCs w:val="24"/>
              </w:rPr>
            </w:pPr>
          </w:p>
        </w:tc>
        <w:tc>
          <w:tcPr>
            <w:tcW w:w="1410" w:type="dxa"/>
            <w:tcBorders>
              <w:tl2br w:val="nil"/>
              <w:tr2bl w:val="nil"/>
            </w:tcBorders>
            <w:vAlign w:val="center"/>
          </w:tcPr>
          <w:p w14:paraId="0C4819FF">
            <w:pPr>
              <w:pStyle w:val="37"/>
              <w:jc w:val="center"/>
              <w:rPr>
                <w:rFonts w:ascii="仿宋" w:hAnsi="仿宋" w:eastAsia="仿宋" w:cs="仿宋"/>
                <w:color w:val="auto"/>
                <w:sz w:val="24"/>
                <w:szCs w:val="24"/>
              </w:rPr>
            </w:pPr>
          </w:p>
        </w:tc>
        <w:tc>
          <w:tcPr>
            <w:tcW w:w="1860" w:type="dxa"/>
            <w:tcBorders>
              <w:tl2br w:val="nil"/>
              <w:tr2bl w:val="nil"/>
            </w:tcBorders>
            <w:vAlign w:val="center"/>
          </w:tcPr>
          <w:p w14:paraId="113A7320">
            <w:pPr>
              <w:pStyle w:val="37"/>
              <w:jc w:val="center"/>
              <w:rPr>
                <w:rFonts w:ascii="仿宋" w:hAnsi="仿宋" w:eastAsia="仿宋" w:cs="仿宋"/>
                <w:color w:val="auto"/>
                <w:sz w:val="24"/>
                <w:szCs w:val="24"/>
              </w:rPr>
            </w:pPr>
          </w:p>
        </w:tc>
        <w:tc>
          <w:tcPr>
            <w:tcW w:w="690" w:type="dxa"/>
            <w:tcBorders>
              <w:tl2br w:val="nil"/>
              <w:tr2bl w:val="nil"/>
            </w:tcBorders>
            <w:vAlign w:val="center"/>
          </w:tcPr>
          <w:p w14:paraId="47BBDD34">
            <w:pPr>
              <w:pStyle w:val="37"/>
              <w:jc w:val="center"/>
              <w:rPr>
                <w:rFonts w:ascii="仿宋" w:hAnsi="仿宋" w:eastAsia="仿宋" w:cs="仿宋"/>
                <w:color w:val="auto"/>
                <w:sz w:val="24"/>
                <w:szCs w:val="24"/>
              </w:rPr>
            </w:pPr>
          </w:p>
        </w:tc>
      </w:tr>
      <w:tr w14:paraId="413D99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7721ADFD">
            <w:pPr>
              <w:pStyle w:val="37"/>
              <w:jc w:val="center"/>
              <w:rPr>
                <w:rFonts w:ascii="仿宋" w:hAnsi="仿宋" w:eastAsia="仿宋" w:cs="仿宋"/>
                <w:color w:val="auto"/>
                <w:sz w:val="24"/>
                <w:szCs w:val="24"/>
              </w:rPr>
            </w:pPr>
          </w:p>
        </w:tc>
        <w:tc>
          <w:tcPr>
            <w:tcW w:w="1260" w:type="dxa"/>
            <w:tcBorders>
              <w:tl2br w:val="nil"/>
              <w:tr2bl w:val="nil"/>
            </w:tcBorders>
            <w:vAlign w:val="center"/>
          </w:tcPr>
          <w:p w14:paraId="0ACD58E8">
            <w:pPr>
              <w:pStyle w:val="37"/>
              <w:jc w:val="center"/>
              <w:rPr>
                <w:rFonts w:ascii="仿宋" w:hAnsi="仿宋" w:eastAsia="仿宋" w:cs="仿宋"/>
                <w:color w:val="auto"/>
                <w:sz w:val="24"/>
                <w:szCs w:val="24"/>
              </w:rPr>
            </w:pPr>
          </w:p>
        </w:tc>
        <w:tc>
          <w:tcPr>
            <w:tcW w:w="1350" w:type="dxa"/>
            <w:tcBorders>
              <w:tl2br w:val="nil"/>
              <w:tr2bl w:val="nil"/>
            </w:tcBorders>
            <w:vAlign w:val="center"/>
          </w:tcPr>
          <w:p w14:paraId="747E9E97">
            <w:pPr>
              <w:pStyle w:val="37"/>
              <w:jc w:val="center"/>
              <w:rPr>
                <w:rFonts w:ascii="仿宋" w:hAnsi="仿宋" w:eastAsia="仿宋" w:cs="仿宋"/>
                <w:color w:val="auto"/>
                <w:sz w:val="24"/>
                <w:szCs w:val="24"/>
              </w:rPr>
            </w:pPr>
          </w:p>
        </w:tc>
        <w:tc>
          <w:tcPr>
            <w:tcW w:w="1260" w:type="dxa"/>
            <w:tcBorders>
              <w:tl2br w:val="nil"/>
              <w:tr2bl w:val="nil"/>
            </w:tcBorders>
            <w:vAlign w:val="center"/>
          </w:tcPr>
          <w:p w14:paraId="2779CBE0">
            <w:pPr>
              <w:pStyle w:val="37"/>
              <w:jc w:val="center"/>
              <w:rPr>
                <w:rFonts w:ascii="仿宋" w:hAnsi="仿宋" w:eastAsia="仿宋" w:cs="仿宋"/>
                <w:color w:val="auto"/>
                <w:sz w:val="24"/>
                <w:szCs w:val="24"/>
              </w:rPr>
            </w:pPr>
          </w:p>
        </w:tc>
        <w:tc>
          <w:tcPr>
            <w:tcW w:w="1410" w:type="dxa"/>
            <w:tcBorders>
              <w:tl2br w:val="nil"/>
              <w:tr2bl w:val="nil"/>
            </w:tcBorders>
            <w:vAlign w:val="center"/>
          </w:tcPr>
          <w:p w14:paraId="48D3C535">
            <w:pPr>
              <w:pStyle w:val="37"/>
              <w:jc w:val="center"/>
              <w:rPr>
                <w:rFonts w:ascii="仿宋" w:hAnsi="仿宋" w:eastAsia="仿宋" w:cs="仿宋"/>
                <w:color w:val="auto"/>
                <w:sz w:val="24"/>
                <w:szCs w:val="24"/>
              </w:rPr>
            </w:pPr>
          </w:p>
        </w:tc>
        <w:tc>
          <w:tcPr>
            <w:tcW w:w="1860" w:type="dxa"/>
            <w:tcBorders>
              <w:tl2br w:val="nil"/>
              <w:tr2bl w:val="nil"/>
            </w:tcBorders>
            <w:vAlign w:val="center"/>
          </w:tcPr>
          <w:p w14:paraId="5EE9A7C2">
            <w:pPr>
              <w:pStyle w:val="37"/>
              <w:jc w:val="center"/>
              <w:rPr>
                <w:rFonts w:ascii="仿宋" w:hAnsi="仿宋" w:eastAsia="仿宋" w:cs="仿宋"/>
                <w:color w:val="auto"/>
                <w:sz w:val="24"/>
                <w:szCs w:val="24"/>
              </w:rPr>
            </w:pPr>
          </w:p>
        </w:tc>
        <w:tc>
          <w:tcPr>
            <w:tcW w:w="690" w:type="dxa"/>
            <w:tcBorders>
              <w:tl2br w:val="nil"/>
              <w:tr2bl w:val="nil"/>
            </w:tcBorders>
            <w:vAlign w:val="center"/>
          </w:tcPr>
          <w:p w14:paraId="6A70E5F4">
            <w:pPr>
              <w:pStyle w:val="37"/>
              <w:jc w:val="center"/>
              <w:rPr>
                <w:rFonts w:ascii="仿宋" w:hAnsi="仿宋" w:eastAsia="仿宋" w:cs="仿宋"/>
                <w:color w:val="auto"/>
                <w:sz w:val="24"/>
                <w:szCs w:val="24"/>
              </w:rPr>
            </w:pPr>
          </w:p>
        </w:tc>
      </w:tr>
      <w:tr w14:paraId="263081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756874A4">
            <w:pPr>
              <w:pStyle w:val="37"/>
              <w:jc w:val="center"/>
              <w:rPr>
                <w:rFonts w:ascii="仿宋" w:hAnsi="仿宋" w:eastAsia="仿宋" w:cs="仿宋"/>
                <w:color w:val="auto"/>
                <w:sz w:val="24"/>
                <w:szCs w:val="24"/>
              </w:rPr>
            </w:pPr>
          </w:p>
        </w:tc>
        <w:tc>
          <w:tcPr>
            <w:tcW w:w="1260" w:type="dxa"/>
            <w:tcBorders>
              <w:tl2br w:val="nil"/>
              <w:tr2bl w:val="nil"/>
            </w:tcBorders>
            <w:vAlign w:val="center"/>
          </w:tcPr>
          <w:p w14:paraId="788D5BAE">
            <w:pPr>
              <w:pStyle w:val="37"/>
              <w:jc w:val="center"/>
              <w:rPr>
                <w:rFonts w:ascii="仿宋" w:hAnsi="仿宋" w:eastAsia="仿宋" w:cs="仿宋"/>
                <w:color w:val="auto"/>
                <w:sz w:val="24"/>
                <w:szCs w:val="24"/>
              </w:rPr>
            </w:pPr>
          </w:p>
        </w:tc>
        <w:tc>
          <w:tcPr>
            <w:tcW w:w="1350" w:type="dxa"/>
            <w:tcBorders>
              <w:tl2br w:val="nil"/>
              <w:tr2bl w:val="nil"/>
            </w:tcBorders>
            <w:vAlign w:val="center"/>
          </w:tcPr>
          <w:p w14:paraId="556DEBB8">
            <w:pPr>
              <w:pStyle w:val="37"/>
              <w:jc w:val="center"/>
              <w:rPr>
                <w:rFonts w:ascii="仿宋" w:hAnsi="仿宋" w:eastAsia="仿宋" w:cs="仿宋"/>
                <w:color w:val="auto"/>
                <w:sz w:val="24"/>
                <w:szCs w:val="24"/>
              </w:rPr>
            </w:pPr>
          </w:p>
        </w:tc>
        <w:tc>
          <w:tcPr>
            <w:tcW w:w="1260" w:type="dxa"/>
            <w:tcBorders>
              <w:tl2br w:val="nil"/>
              <w:tr2bl w:val="nil"/>
            </w:tcBorders>
            <w:vAlign w:val="center"/>
          </w:tcPr>
          <w:p w14:paraId="785C9FE7">
            <w:pPr>
              <w:pStyle w:val="37"/>
              <w:jc w:val="center"/>
              <w:rPr>
                <w:rFonts w:ascii="仿宋" w:hAnsi="仿宋" w:eastAsia="仿宋" w:cs="仿宋"/>
                <w:color w:val="auto"/>
                <w:sz w:val="24"/>
                <w:szCs w:val="24"/>
              </w:rPr>
            </w:pPr>
          </w:p>
        </w:tc>
        <w:tc>
          <w:tcPr>
            <w:tcW w:w="1410" w:type="dxa"/>
            <w:tcBorders>
              <w:tl2br w:val="nil"/>
              <w:tr2bl w:val="nil"/>
            </w:tcBorders>
            <w:vAlign w:val="center"/>
          </w:tcPr>
          <w:p w14:paraId="4EA8D2AA">
            <w:pPr>
              <w:pStyle w:val="37"/>
              <w:jc w:val="center"/>
              <w:rPr>
                <w:rFonts w:ascii="仿宋" w:hAnsi="仿宋" w:eastAsia="仿宋" w:cs="仿宋"/>
                <w:color w:val="auto"/>
                <w:sz w:val="24"/>
                <w:szCs w:val="24"/>
              </w:rPr>
            </w:pPr>
          </w:p>
        </w:tc>
        <w:tc>
          <w:tcPr>
            <w:tcW w:w="1860" w:type="dxa"/>
            <w:tcBorders>
              <w:tl2br w:val="nil"/>
              <w:tr2bl w:val="nil"/>
            </w:tcBorders>
            <w:vAlign w:val="center"/>
          </w:tcPr>
          <w:p w14:paraId="0B5F9A13">
            <w:pPr>
              <w:pStyle w:val="37"/>
              <w:jc w:val="center"/>
              <w:rPr>
                <w:rFonts w:ascii="仿宋" w:hAnsi="仿宋" w:eastAsia="仿宋" w:cs="仿宋"/>
                <w:color w:val="auto"/>
                <w:sz w:val="24"/>
                <w:szCs w:val="24"/>
              </w:rPr>
            </w:pPr>
          </w:p>
        </w:tc>
        <w:tc>
          <w:tcPr>
            <w:tcW w:w="690" w:type="dxa"/>
            <w:tcBorders>
              <w:tl2br w:val="nil"/>
              <w:tr2bl w:val="nil"/>
            </w:tcBorders>
            <w:vAlign w:val="center"/>
          </w:tcPr>
          <w:p w14:paraId="66A7B0AE">
            <w:pPr>
              <w:pStyle w:val="37"/>
              <w:jc w:val="center"/>
              <w:rPr>
                <w:rFonts w:ascii="仿宋" w:hAnsi="仿宋" w:eastAsia="仿宋" w:cs="仿宋"/>
                <w:color w:val="auto"/>
                <w:sz w:val="24"/>
                <w:szCs w:val="24"/>
              </w:rPr>
            </w:pPr>
          </w:p>
        </w:tc>
      </w:tr>
      <w:tr w14:paraId="194434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65350BF5">
            <w:pPr>
              <w:pStyle w:val="37"/>
              <w:jc w:val="center"/>
              <w:rPr>
                <w:rFonts w:ascii="仿宋" w:hAnsi="仿宋" w:eastAsia="仿宋" w:cs="仿宋"/>
                <w:color w:val="auto"/>
                <w:sz w:val="24"/>
                <w:szCs w:val="24"/>
              </w:rPr>
            </w:pPr>
          </w:p>
        </w:tc>
        <w:tc>
          <w:tcPr>
            <w:tcW w:w="1260" w:type="dxa"/>
            <w:tcBorders>
              <w:tl2br w:val="nil"/>
              <w:tr2bl w:val="nil"/>
            </w:tcBorders>
            <w:vAlign w:val="center"/>
          </w:tcPr>
          <w:p w14:paraId="6228F43E">
            <w:pPr>
              <w:pStyle w:val="37"/>
              <w:jc w:val="center"/>
              <w:rPr>
                <w:rFonts w:ascii="仿宋" w:hAnsi="仿宋" w:eastAsia="仿宋" w:cs="仿宋"/>
                <w:color w:val="auto"/>
                <w:sz w:val="24"/>
                <w:szCs w:val="24"/>
              </w:rPr>
            </w:pPr>
          </w:p>
        </w:tc>
        <w:tc>
          <w:tcPr>
            <w:tcW w:w="1350" w:type="dxa"/>
            <w:tcBorders>
              <w:tl2br w:val="nil"/>
              <w:tr2bl w:val="nil"/>
            </w:tcBorders>
            <w:vAlign w:val="center"/>
          </w:tcPr>
          <w:p w14:paraId="7FCABFD4">
            <w:pPr>
              <w:pStyle w:val="37"/>
              <w:jc w:val="center"/>
              <w:rPr>
                <w:rFonts w:ascii="仿宋" w:hAnsi="仿宋" w:eastAsia="仿宋" w:cs="仿宋"/>
                <w:color w:val="auto"/>
                <w:sz w:val="24"/>
                <w:szCs w:val="24"/>
              </w:rPr>
            </w:pPr>
          </w:p>
        </w:tc>
        <w:tc>
          <w:tcPr>
            <w:tcW w:w="1260" w:type="dxa"/>
            <w:tcBorders>
              <w:tl2br w:val="nil"/>
              <w:tr2bl w:val="nil"/>
            </w:tcBorders>
            <w:vAlign w:val="center"/>
          </w:tcPr>
          <w:p w14:paraId="733CD4AB">
            <w:pPr>
              <w:pStyle w:val="37"/>
              <w:jc w:val="center"/>
              <w:rPr>
                <w:rFonts w:ascii="仿宋" w:hAnsi="仿宋" w:eastAsia="仿宋" w:cs="仿宋"/>
                <w:color w:val="auto"/>
                <w:sz w:val="24"/>
                <w:szCs w:val="24"/>
              </w:rPr>
            </w:pPr>
          </w:p>
        </w:tc>
        <w:tc>
          <w:tcPr>
            <w:tcW w:w="1410" w:type="dxa"/>
            <w:tcBorders>
              <w:tl2br w:val="nil"/>
              <w:tr2bl w:val="nil"/>
            </w:tcBorders>
            <w:vAlign w:val="center"/>
          </w:tcPr>
          <w:p w14:paraId="676B7526">
            <w:pPr>
              <w:pStyle w:val="37"/>
              <w:jc w:val="center"/>
              <w:rPr>
                <w:rFonts w:ascii="仿宋" w:hAnsi="仿宋" w:eastAsia="仿宋" w:cs="仿宋"/>
                <w:color w:val="auto"/>
                <w:sz w:val="24"/>
                <w:szCs w:val="24"/>
              </w:rPr>
            </w:pPr>
          </w:p>
        </w:tc>
        <w:tc>
          <w:tcPr>
            <w:tcW w:w="1860" w:type="dxa"/>
            <w:tcBorders>
              <w:tl2br w:val="nil"/>
              <w:tr2bl w:val="nil"/>
            </w:tcBorders>
            <w:vAlign w:val="center"/>
          </w:tcPr>
          <w:p w14:paraId="03B3E5F7">
            <w:pPr>
              <w:pStyle w:val="37"/>
              <w:jc w:val="center"/>
              <w:rPr>
                <w:rFonts w:ascii="仿宋" w:hAnsi="仿宋" w:eastAsia="仿宋" w:cs="仿宋"/>
                <w:color w:val="auto"/>
                <w:sz w:val="24"/>
                <w:szCs w:val="24"/>
              </w:rPr>
            </w:pPr>
          </w:p>
        </w:tc>
        <w:tc>
          <w:tcPr>
            <w:tcW w:w="690" w:type="dxa"/>
            <w:tcBorders>
              <w:tl2br w:val="nil"/>
              <w:tr2bl w:val="nil"/>
            </w:tcBorders>
            <w:vAlign w:val="center"/>
          </w:tcPr>
          <w:p w14:paraId="122C7644">
            <w:pPr>
              <w:pStyle w:val="37"/>
              <w:jc w:val="center"/>
              <w:rPr>
                <w:rFonts w:ascii="仿宋" w:hAnsi="仿宋" w:eastAsia="仿宋" w:cs="仿宋"/>
                <w:color w:val="auto"/>
                <w:sz w:val="24"/>
                <w:szCs w:val="24"/>
              </w:rPr>
            </w:pPr>
          </w:p>
        </w:tc>
      </w:tr>
      <w:tr w14:paraId="6C66BF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42A3EF8A">
            <w:pPr>
              <w:pStyle w:val="37"/>
              <w:jc w:val="center"/>
              <w:rPr>
                <w:rFonts w:ascii="仿宋" w:hAnsi="仿宋" w:eastAsia="仿宋" w:cs="仿宋"/>
                <w:color w:val="auto"/>
                <w:sz w:val="24"/>
                <w:szCs w:val="24"/>
              </w:rPr>
            </w:pPr>
          </w:p>
        </w:tc>
        <w:tc>
          <w:tcPr>
            <w:tcW w:w="1260" w:type="dxa"/>
            <w:tcBorders>
              <w:tl2br w:val="nil"/>
              <w:tr2bl w:val="nil"/>
            </w:tcBorders>
            <w:vAlign w:val="center"/>
          </w:tcPr>
          <w:p w14:paraId="2F7E6B87">
            <w:pPr>
              <w:pStyle w:val="37"/>
              <w:jc w:val="center"/>
              <w:rPr>
                <w:rFonts w:ascii="仿宋" w:hAnsi="仿宋" w:eastAsia="仿宋" w:cs="仿宋"/>
                <w:color w:val="auto"/>
                <w:sz w:val="24"/>
                <w:szCs w:val="24"/>
              </w:rPr>
            </w:pPr>
          </w:p>
        </w:tc>
        <w:tc>
          <w:tcPr>
            <w:tcW w:w="1350" w:type="dxa"/>
            <w:tcBorders>
              <w:tl2br w:val="nil"/>
              <w:tr2bl w:val="nil"/>
            </w:tcBorders>
            <w:vAlign w:val="center"/>
          </w:tcPr>
          <w:p w14:paraId="4EFFD0C2">
            <w:pPr>
              <w:pStyle w:val="37"/>
              <w:jc w:val="center"/>
              <w:rPr>
                <w:rFonts w:ascii="仿宋" w:hAnsi="仿宋" w:eastAsia="仿宋" w:cs="仿宋"/>
                <w:color w:val="auto"/>
                <w:sz w:val="24"/>
                <w:szCs w:val="24"/>
              </w:rPr>
            </w:pPr>
          </w:p>
        </w:tc>
        <w:tc>
          <w:tcPr>
            <w:tcW w:w="1260" w:type="dxa"/>
            <w:tcBorders>
              <w:tl2br w:val="nil"/>
              <w:tr2bl w:val="nil"/>
            </w:tcBorders>
            <w:vAlign w:val="center"/>
          </w:tcPr>
          <w:p w14:paraId="77AB6AE3">
            <w:pPr>
              <w:pStyle w:val="37"/>
              <w:jc w:val="center"/>
              <w:rPr>
                <w:rFonts w:ascii="仿宋" w:hAnsi="仿宋" w:eastAsia="仿宋" w:cs="仿宋"/>
                <w:color w:val="auto"/>
                <w:sz w:val="24"/>
                <w:szCs w:val="24"/>
              </w:rPr>
            </w:pPr>
          </w:p>
        </w:tc>
        <w:tc>
          <w:tcPr>
            <w:tcW w:w="1410" w:type="dxa"/>
            <w:tcBorders>
              <w:tl2br w:val="nil"/>
              <w:tr2bl w:val="nil"/>
            </w:tcBorders>
            <w:vAlign w:val="center"/>
          </w:tcPr>
          <w:p w14:paraId="5AA827F3">
            <w:pPr>
              <w:pStyle w:val="37"/>
              <w:jc w:val="center"/>
              <w:rPr>
                <w:rFonts w:ascii="仿宋" w:hAnsi="仿宋" w:eastAsia="仿宋" w:cs="仿宋"/>
                <w:color w:val="auto"/>
                <w:sz w:val="24"/>
                <w:szCs w:val="24"/>
              </w:rPr>
            </w:pPr>
          </w:p>
        </w:tc>
        <w:tc>
          <w:tcPr>
            <w:tcW w:w="1860" w:type="dxa"/>
            <w:tcBorders>
              <w:tl2br w:val="nil"/>
              <w:tr2bl w:val="nil"/>
            </w:tcBorders>
            <w:vAlign w:val="center"/>
          </w:tcPr>
          <w:p w14:paraId="4648C5BF">
            <w:pPr>
              <w:pStyle w:val="37"/>
              <w:jc w:val="center"/>
              <w:rPr>
                <w:rFonts w:ascii="仿宋" w:hAnsi="仿宋" w:eastAsia="仿宋" w:cs="仿宋"/>
                <w:color w:val="auto"/>
                <w:sz w:val="24"/>
                <w:szCs w:val="24"/>
              </w:rPr>
            </w:pPr>
          </w:p>
        </w:tc>
        <w:tc>
          <w:tcPr>
            <w:tcW w:w="690" w:type="dxa"/>
            <w:tcBorders>
              <w:tl2br w:val="nil"/>
              <w:tr2bl w:val="nil"/>
            </w:tcBorders>
            <w:vAlign w:val="center"/>
          </w:tcPr>
          <w:p w14:paraId="1724AD46">
            <w:pPr>
              <w:pStyle w:val="37"/>
              <w:jc w:val="center"/>
              <w:rPr>
                <w:rFonts w:ascii="仿宋" w:hAnsi="仿宋" w:eastAsia="仿宋" w:cs="仿宋"/>
                <w:color w:val="auto"/>
                <w:sz w:val="24"/>
                <w:szCs w:val="24"/>
              </w:rPr>
            </w:pPr>
          </w:p>
        </w:tc>
      </w:tr>
      <w:tr w14:paraId="745FED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4E0F41FF">
            <w:pPr>
              <w:pStyle w:val="37"/>
              <w:jc w:val="center"/>
              <w:rPr>
                <w:rFonts w:ascii="仿宋" w:hAnsi="仿宋" w:eastAsia="仿宋" w:cs="仿宋"/>
                <w:color w:val="auto"/>
                <w:sz w:val="24"/>
                <w:szCs w:val="24"/>
              </w:rPr>
            </w:pPr>
          </w:p>
        </w:tc>
        <w:tc>
          <w:tcPr>
            <w:tcW w:w="1260" w:type="dxa"/>
            <w:tcBorders>
              <w:tl2br w:val="nil"/>
              <w:tr2bl w:val="nil"/>
            </w:tcBorders>
            <w:vAlign w:val="center"/>
          </w:tcPr>
          <w:p w14:paraId="4CF341C8">
            <w:pPr>
              <w:pStyle w:val="37"/>
              <w:jc w:val="center"/>
              <w:rPr>
                <w:rFonts w:ascii="仿宋" w:hAnsi="仿宋" w:eastAsia="仿宋" w:cs="仿宋"/>
                <w:color w:val="auto"/>
                <w:sz w:val="24"/>
                <w:szCs w:val="24"/>
              </w:rPr>
            </w:pPr>
          </w:p>
        </w:tc>
        <w:tc>
          <w:tcPr>
            <w:tcW w:w="1350" w:type="dxa"/>
            <w:tcBorders>
              <w:tl2br w:val="nil"/>
              <w:tr2bl w:val="nil"/>
            </w:tcBorders>
            <w:vAlign w:val="center"/>
          </w:tcPr>
          <w:p w14:paraId="0453ACED">
            <w:pPr>
              <w:pStyle w:val="37"/>
              <w:jc w:val="center"/>
              <w:rPr>
                <w:rFonts w:ascii="仿宋" w:hAnsi="仿宋" w:eastAsia="仿宋" w:cs="仿宋"/>
                <w:color w:val="auto"/>
                <w:sz w:val="24"/>
                <w:szCs w:val="24"/>
              </w:rPr>
            </w:pPr>
          </w:p>
        </w:tc>
        <w:tc>
          <w:tcPr>
            <w:tcW w:w="1260" w:type="dxa"/>
            <w:tcBorders>
              <w:tl2br w:val="nil"/>
              <w:tr2bl w:val="nil"/>
            </w:tcBorders>
            <w:vAlign w:val="center"/>
          </w:tcPr>
          <w:p w14:paraId="680F9BC1">
            <w:pPr>
              <w:pStyle w:val="37"/>
              <w:jc w:val="center"/>
              <w:rPr>
                <w:rFonts w:ascii="仿宋" w:hAnsi="仿宋" w:eastAsia="仿宋" w:cs="仿宋"/>
                <w:color w:val="auto"/>
                <w:sz w:val="24"/>
                <w:szCs w:val="24"/>
              </w:rPr>
            </w:pPr>
          </w:p>
        </w:tc>
        <w:tc>
          <w:tcPr>
            <w:tcW w:w="1410" w:type="dxa"/>
            <w:tcBorders>
              <w:tl2br w:val="nil"/>
              <w:tr2bl w:val="nil"/>
            </w:tcBorders>
            <w:vAlign w:val="center"/>
          </w:tcPr>
          <w:p w14:paraId="363B2BB0">
            <w:pPr>
              <w:pStyle w:val="37"/>
              <w:jc w:val="center"/>
              <w:rPr>
                <w:rFonts w:ascii="仿宋" w:hAnsi="仿宋" w:eastAsia="仿宋" w:cs="仿宋"/>
                <w:color w:val="auto"/>
                <w:sz w:val="24"/>
                <w:szCs w:val="24"/>
              </w:rPr>
            </w:pPr>
          </w:p>
        </w:tc>
        <w:tc>
          <w:tcPr>
            <w:tcW w:w="1860" w:type="dxa"/>
            <w:tcBorders>
              <w:tl2br w:val="nil"/>
              <w:tr2bl w:val="nil"/>
            </w:tcBorders>
            <w:vAlign w:val="center"/>
          </w:tcPr>
          <w:p w14:paraId="6E2027E8">
            <w:pPr>
              <w:pStyle w:val="37"/>
              <w:jc w:val="center"/>
              <w:rPr>
                <w:rFonts w:ascii="仿宋" w:hAnsi="仿宋" w:eastAsia="仿宋" w:cs="仿宋"/>
                <w:color w:val="auto"/>
                <w:sz w:val="24"/>
                <w:szCs w:val="24"/>
              </w:rPr>
            </w:pPr>
          </w:p>
        </w:tc>
        <w:tc>
          <w:tcPr>
            <w:tcW w:w="690" w:type="dxa"/>
            <w:tcBorders>
              <w:tl2br w:val="nil"/>
              <w:tr2bl w:val="nil"/>
            </w:tcBorders>
            <w:vAlign w:val="center"/>
          </w:tcPr>
          <w:p w14:paraId="2AC31619">
            <w:pPr>
              <w:pStyle w:val="37"/>
              <w:jc w:val="center"/>
              <w:rPr>
                <w:rFonts w:ascii="仿宋" w:hAnsi="仿宋" w:eastAsia="仿宋" w:cs="仿宋"/>
                <w:color w:val="auto"/>
                <w:sz w:val="24"/>
                <w:szCs w:val="24"/>
              </w:rPr>
            </w:pPr>
          </w:p>
        </w:tc>
      </w:tr>
      <w:tr w14:paraId="6A6241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3BE3BF75">
            <w:pPr>
              <w:pStyle w:val="37"/>
              <w:jc w:val="center"/>
              <w:rPr>
                <w:rFonts w:ascii="仿宋" w:hAnsi="仿宋" w:eastAsia="仿宋" w:cs="仿宋"/>
                <w:color w:val="auto"/>
                <w:sz w:val="24"/>
                <w:szCs w:val="24"/>
              </w:rPr>
            </w:pPr>
          </w:p>
        </w:tc>
        <w:tc>
          <w:tcPr>
            <w:tcW w:w="1260" w:type="dxa"/>
            <w:tcBorders>
              <w:tl2br w:val="nil"/>
              <w:tr2bl w:val="nil"/>
            </w:tcBorders>
            <w:vAlign w:val="center"/>
          </w:tcPr>
          <w:p w14:paraId="6CF2C4FD">
            <w:pPr>
              <w:pStyle w:val="37"/>
              <w:jc w:val="center"/>
              <w:rPr>
                <w:rFonts w:ascii="仿宋" w:hAnsi="仿宋" w:eastAsia="仿宋" w:cs="仿宋"/>
                <w:color w:val="auto"/>
                <w:sz w:val="24"/>
                <w:szCs w:val="24"/>
              </w:rPr>
            </w:pPr>
          </w:p>
        </w:tc>
        <w:tc>
          <w:tcPr>
            <w:tcW w:w="1350" w:type="dxa"/>
            <w:tcBorders>
              <w:tl2br w:val="nil"/>
              <w:tr2bl w:val="nil"/>
            </w:tcBorders>
            <w:vAlign w:val="center"/>
          </w:tcPr>
          <w:p w14:paraId="0DBF7E2B">
            <w:pPr>
              <w:pStyle w:val="37"/>
              <w:jc w:val="center"/>
              <w:rPr>
                <w:rFonts w:ascii="仿宋" w:hAnsi="仿宋" w:eastAsia="仿宋" w:cs="仿宋"/>
                <w:color w:val="auto"/>
                <w:sz w:val="24"/>
                <w:szCs w:val="24"/>
              </w:rPr>
            </w:pPr>
          </w:p>
        </w:tc>
        <w:tc>
          <w:tcPr>
            <w:tcW w:w="1260" w:type="dxa"/>
            <w:tcBorders>
              <w:tl2br w:val="nil"/>
              <w:tr2bl w:val="nil"/>
            </w:tcBorders>
            <w:vAlign w:val="center"/>
          </w:tcPr>
          <w:p w14:paraId="55F693BF">
            <w:pPr>
              <w:pStyle w:val="37"/>
              <w:jc w:val="center"/>
              <w:rPr>
                <w:rFonts w:ascii="仿宋" w:hAnsi="仿宋" w:eastAsia="仿宋" w:cs="仿宋"/>
                <w:color w:val="auto"/>
                <w:sz w:val="24"/>
                <w:szCs w:val="24"/>
              </w:rPr>
            </w:pPr>
          </w:p>
        </w:tc>
        <w:tc>
          <w:tcPr>
            <w:tcW w:w="1410" w:type="dxa"/>
            <w:tcBorders>
              <w:tl2br w:val="nil"/>
              <w:tr2bl w:val="nil"/>
            </w:tcBorders>
            <w:vAlign w:val="center"/>
          </w:tcPr>
          <w:p w14:paraId="7AC9429E">
            <w:pPr>
              <w:pStyle w:val="37"/>
              <w:jc w:val="center"/>
              <w:rPr>
                <w:rFonts w:ascii="仿宋" w:hAnsi="仿宋" w:eastAsia="仿宋" w:cs="仿宋"/>
                <w:color w:val="auto"/>
                <w:sz w:val="24"/>
                <w:szCs w:val="24"/>
              </w:rPr>
            </w:pPr>
          </w:p>
        </w:tc>
        <w:tc>
          <w:tcPr>
            <w:tcW w:w="1860" w:type="dxa"/>
            <w:tcBorders>
              <w:tl2br w:val="nil"/>
              <w:tr2bl w:val="nil"/>
            </w:tcBorders>
            <w:vAlign w:val="center"/>
          </w:tcPr>
          <w:p w14:paraId="32DC2701">
            <w:pPr>
              <w:pStyle w:val="37"/>
              <w:jc w:val="center"/>
              <w:rPr>
                <w:rFonts w:ascii="仿宋" w:hAnsi="仿宋" w:eastAsia="仿宋" w:cs="仿宋"/>
                <w:color w:val="auto"/>
                <w:sz w:val="24"/>
                <w:szCs w:val="24"/>
              </w:rPr>
            </w:pPr>
          </w:p>
        </w:tc>
        <w:tc>
          <w:tcPr>
            <w:tcW w:w="690" w:type="dxa"/>
            <w:tcBorders>
              <w:tl2br w:val="nil"/>
              <w:tr2bl w:val="nil"/>
            </w:tcBorders>
            <w:vAlign w:val="center"/>
          </w:tcPr>
          <w:p w14:paraId="0B2EF527">
            <w:pPr>
              <w:pStyle w:val="37"/>
              <w:jc w:val="center"/>
              <w:rPr>
                <w:rFonts w:ascii="仿宋" w:hAnsi="仿宋" w:eastAsia="仿宋" w:cs="仿宋"/>
                <w:color w:val="auto"/>
                <w:sz w:val="24"/>
                <w:szCs w:val="24"/>
              </w:rPr>
            </w:pPr>
          </w:p>
        </w:tc>
      </w:tr>
    </w:tbl>
    <w:p w14:paraId="5FDDC504">
      <w:pPr>
        <w:spacing w:before="114" w:line="343" w:lineRule="auto"/>
        <w:ind w:right="575" w:firstLine="408" w:firstLineChars="200"/>
        <w:rPr>
          <w:rFonts w:ascii="仿宋" w:hAnsi="仿宋" w:eastAsia="仿宋" w:cs="仿宋"/>
          <w:color w:val="auto"/>
        </w:rPr>
      </w:pPr>
      <w:r>
        <w:rPr>
          <w:rFonts w:hint="eastAsia" w:ascii="仿宋" w:hAnsi="仿宋" w:eastAsia="仿宋" w:cs="仿宋"/>
          <w:color w:val="auto"/>
          <w:spacing w:val="-8"/>
        </w:rPr>
        <w:t>注：投标人可按上述的格式自行编制，须随表提交相应的合同等证明材料复印件。</w:t>
      </w:r>
    </w:p>
    <w:p w14:paraId="5E0EB4D2">
      <w:pPr>
        <w:pStyle w:val="2"/>
        <w:spacing w:before="7"/>
        <w:rPr>
          <w:rFonts w:ascii="仿宋" w:hAnsi="仿宋" w:eastAsia="仿宋" w:cs="仿宋"/>
          <w:b/>
          <w:color w:val="auto"/>
          <w:sz w:val="31"/>
        </w:rPr>
      </w:pPr>
    </w:p>
    <w:p w14:paraId="464A4BC6">
      <w:pPr>
        <w:pStyle w:val="2"/>
        <w:tabs>
          <w:tab w:val="left" w:pos="6231"/>
          <w:tab w:val="left" w:pos="6711"/>
          <w:tab w:val="left" w:pos="7311"/>
        </w:tabs>
        <w:spacing w:line="360" w:lineRule="auto"/>
        <w:ind w:firstLine="4440" w:firstLineChars="2000"/>
        <w:rPr>
          <w:rFonts w:hint="eastAsia" w:ascii="仿宋" w:hAnsi="仿宋" w:eastAsia="仿宋" w:cs="仿宋"/>
          <w:color w:val="auto"/>
          <w:spacing w:val="-9"/>
        </w:rPr>
      </w:pPr>
    </w:p>
    <w:p w14:paraId="7BFF6F28">
      <w:pPr>
        <w:pStyle w:val="2"/>
        <w:tabs>
          <w:tab w:val="left" w:pos="6591"/>
          <w:tab w:val="left" w:pos="7071"/>
          <w:tab w:val="left" w:pos="7671"/>
        </w:tabs>
        <w:spacing w:line="388" w:lineRule="auto"/>
        <w:ind w:right="2132" w:firstLine="5040" w:firstLineChars="2100"/>
        <w:rPr>
          <w:rFonts w:ascii="仿宋" w:hAnsi="仿宋" w:eastAsia="仿宋" w:cs="仿宋"/>
          <w:color w:val="auto"/>
          <w:lang w:val="en-US"/>
        </w:rPr>
      </w:pPr>
      <w:r>
        <w:rPr>
          <w:rFonts w:hint="eastAsia" w:ascii="仿宋" w:hAnsi="仿宋" w:eastAsia="仿宋" w:cs="仿宋"/>
          <w:color w:val="auto"/>
          <w:kern w:val="0"/>
          <w:sz w:val="24"/>
          <w:lang w:val="zh-CN"/>
        </w:rPr>
        <w:t>投标人名称(电子签名)：</w:t>
      </w:r>
    </w:p>
    <w:p w14:paraId="422AA1A8">
      <w:pPr>
        <w:pStyle w:val="2"/>
        <w:tabs>
          <w:tab w:val="left" w:pos="6591"/>
          <w:tab w:val="left" w:pos="7071"/>
          <w:tab w:val="left" w:pos="7671"/>
        </w:tabs>
        <w:spacing w:line="388" w:lineRule="auto"/>
        <w:ind w:right="2132" w:firstLine="5040" w:firstLineChars="2100"/>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lang w:val="en-US"/>
        </w:rPr>
        <w:t xml:space="preserve">    </w:t>
      </w:r>
      <w:r>
        <w:rPr>
          <w:rFonts w:hint="eastAsia" w:ascii="仿宋" w:hAnsi="仿宋" w:eastAsia="仿宋" w:cs="仿宋"/>
          <w:color w:val="auto"/>
        </w:rPr>
        <w:t>年</w:t>
      </w:r>
      <w:r>
        <w:rPr>
          <w:rFonts w:hint="eastAsia" w:ascii="仿宋" w:hAnsi="仿宋" w:eastAsia="仿宋" w:cs="仿宋"/>
          <w:color w:val="auto"/>
          <w:lang w:val="en-US"/>
        </w:rPr>
        <w:t xml:space="preserve">  </w:t>
      </w:r>
      <w:r>
        <w:rPr>
          <w:rFonts w:hint="eastAsia" w:ascii="仿宋" w:hAnsi="仿宋" w:eastAsia="仿宋" w:cs="仿宋"/>
          <w:color w:val="auto"/>
        </w:rPr>
        <w:t>月</w:t>
      </w:r>
      <w:r>
        <w:rPr>
          <w:rFonts w:hint="eastAsia" w:ascii="仿宋" w:hAnsi="仿宋" w:eastAsia="仿宋" w:cs="仿宋"/>
          <w:color w:val="auto"/>
          <w:lang w:val="en-US"/>
        </w:rPr>
        <w:t xml:space="preserve">  </w:t>
      </w:r>
      <w:r>
        <w:rPr>
          <w:rFonts w:hint="eastAsia" w:ascii="仿宋" w:hAnsi="仿宋" w:eastAsia="仿宋" w:cs="仿宋"/>
          <w:color w:val="auto"/>
          <w:spacing w:val="-17"/>
        </w:rPr>
        <w:t>日</w:t>
      </w:r>
    </w:p>
    <w:p w14:paraId="2C1DCAFC">
      <w:pPr>
        <w:spacing w:line="360" w:lineRule="auto"/>
        <w:ind w:firstLine="0" w:firstLineChars="0"/>
        <w:rPr>
          <w:color w:val="auto"/>
        </w:rPr>
      </w:pPr>
    </w:p>
    <w:p w14:paraId="3AEA2273">
      <w:pPr>
        <w:rPr>
          <w:color w:val="auto"/>
          <w:sz w:val="20"/>
        </w:rPr>
      </w:pPr>
      <w:r>
        <w:rPr>
          <w:color w:val="auto"/>
          <w:sz w:val="20"/>
        </w:rPr>
        <w:br w:type="page"/>
      </w:r>
    </w:p>
    <w:p w14:paraId="5CD455C3">
      <w:pPr>
        <w:rPr>
          <w:rFonts w:hint="eastAsia" w:ascii="仿宋" w:hAnsi="仿宋" w:eastAsia="仿宋" w:cs="仿宋"/>
          <w:color w:val="auto"/>
          <w:sz w:val="32"/>
          <w:szCs w:val="32"/>
        </w:rPr>
      </w:pPr>
    </w:p>
    <w:p w14:paraId="1309A8B5">
      <w:pPr>
        <w:spacing w:before="67"/>
        <w:ind w:left="1215" w:right="1232"/>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项目实施人员一览表</w:t>
      </w:r>
    </w:p>
    <w:p w14:paraId="5BB20E2B">
      <w:pPr>
        <w:spacing w:line="360" w:lineRule="auto"/>
        <w:rPr>
          <w:rFonts w:hint="eastAsia" w:ascii="仿宋" w:hAnsi="仿宋" w:eastAsia="仿宋" w:cs="仿宋"/>
          <w:color w:val="auto"/>
          <w:sz w:val="24"/>
          <w:szCs w:val="24"/>
          <w:lang w:val="en-US"/>
        </w:rPr>
      </w:pPr>
    </w:p>
    <w:p w14:paraId="009EDA84">
      <w:pPr>
        <w:spacing w:line="360" w:lineRule="auto"/>
        <w:rPr>
          <w:rFonts w:hint="eastAsia" w:ascii="仿宋" w:hAnsi="仿宋" w:eastAsia="仿宋" w:cs="仿宋"/>
          <w:color w:val="auto"/>
          <w:lang w:val="en-US" w:eastAsia="zh-CN"/>
        </w:rPr>
      </w:pPr>
      <w:r>
        <w:rPr>
          <w:rFonts w:hint="eastAsia" w:ascii="仿宋" w:hAnsi="仿宋" w:eastAsia="仿宋" w:cs="仿宋"/>
          <w:color w:val="auto"/>
          <w:sz w:val="24"/>
          <w:szCs w:val="24"/>
          <w:lang w:val="en-US"/>
        </w:rPr>
        <w:t>项目名称：</w:t>
      </w:r>
      <w:r>
        <w:rPr>
          <w:rFonts w:hint="eastAsia" w:ascii="仿宋" w:hAnsi="仿宋" w:eastAsia="仿宋" w:cs="仿宋"/>
          <w:color w:val="auto"/>
          <w:spacing w:val="-11"/>
          <w:sz w:val="24"/>
          <w:szCs w:val="24"/>
          <w:lang w:val="en-US" w:eastAsia="zh-CN"/>
        </w:rPr>
        <w:t xml:space="preserve">龙港市世纪中学功能教室设备仪器采购项目      </w:t>
      </w:r>
      <w:r>
        <w:rPr>
          <w:rFonts w:hint="eastAsia" w:ascii="仿宋" w:hAnsi="仿宋" w:eastAsia="仿宋" w:cs="仿宋"/>
          <w:color w:val="auto"/>
          <w:sz w:val="24"/>
          <w:szCs w:val="24"/>
          <w:lang w:val="en-US"/>
        </w:rPr>
        <w:t>项目编号：</w:t>
      </w:r>
      <w:r>
        <w:rPr>
          <w:rFonts w:hint="eastAsia" w:ascii="仿宋" w:hAnsi="仿宋" w:eastAsia="仿宋" w:cs="仿宋"/>
          <w:color w:val="auto"/>
          <w:sz w:val="24"/>
          <w:szCs w:val="24"/>
          <w:lang w:val="en-US" w:eastAsia="zh-CN"/>
        </w:rPr>
        <w:t>LGCG2025129</w:t>
      </w:r>
    </w:p>
    <w:tbl>
      <w:tblPr>
        <w:tblStyle w:val="26"/>
        <w:tblW w:w="0" w:type="auto"/>
        <w:tblInd w:w="-14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654"/>
        <w:gridCol w:w="1654"/>
        <w:gridCol w:w="1654"/>
        <w:gridCol w:w="1823"/>
        <w:gridCol w:w="1486"/>
      </w:tblGrid>
      <w:tr w14:paraId="41F262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shd w:val="clear" w:color="auto" w:fill="B6DDE8" w:themeFill="accent5" w:themeFillTint="66"/>
            <w:noWrap w:val="0"/>
            <w:vAlign w:val="center"/>
          </w:tcPr>
          <w:p w14:paraId="3AE7C4EF">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仿宋" w:hAnsi="仿宋" w:eastAsia="仿宋" w:cs="仿宋"/>
                <w:b/>
                <w:bCs/>
                <w:color w:val="auto"/>
                <w:sz w:val="24"/>
                <w:szCs w:val="20"/>
              </w:rPr>
            </w:pPr>
            <w:r>
              <w:rPr>
                <w:rFonts w:hint="eastAsia" w:ascii="仿宋" w:hAnsi="仿宋" w:eastAsia="仿宋" w:cs="仿宋"/>
                <w:b/>
                <w:bCs/>
                <w:color w:val="auto"/>
                <w:sz w:val="24"/>
              </w:rPr>
              <w:t>姓名</w:t>
            </w:r>
          </w:p>
        </w:tc>
        <w:tc>
          <w:tcPr>
            <w:tcW w:w="1654" w:type="dxa"/>
            <w:tcBorders>
              <w:tl2br w:val="nil"/>
              <w:tr2bl w:val="nil"/>
            </w:tcBorders>
            <w:shd w:val="clear" w:color="auto" w:fill="B6DDE8" w:themeFill="accent5" w:themeFillTint="66"/>
            <w:noWrap w:val="0"/>
            <w:vAlign w:val="center"/>
          </w:tcPr>
          <w:p w14:paraId="164BF2C1">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仿宋" w:hAnsi="仿宋" w:eastAsia="仿宋" w:cs="仿宋"/>
                <w:b/>
                <w:bCs/>
                <w:color w:val="auto"/>
                <w:sz w:val="24"/>
                <w:szCs w:val="20"/>
              </w:rPr>
            </w:pPr>
            <w:r>
              <w:rPr>
                <w:rFonts w:hint="eastAsia" w:ascii="仿宋" w:hAnsi="仿宋" w:eastAsia="仿宋" w:cs="仿宋"/>
                <w:b/>
                <w:bCs/>
                <w:color w:val="auto"/>
                <w:sz w:val="24"/>
              </w:rPr>
              <w:t>职务</w:t>
            </w:r>
          </w:p>
        </w:tc>
        <w:tc>
          <w:tcPr>
            <w:tcW w:w="1654" w:type="dxa"/>
            <w:tcBorders>
              <w:tl2br w:val="nil"/>
              <w:tr2bl w:val="nil"/>
            </w:tcBorders>
            <w:shd w:val="clear" w:color="auto" w:fill="B6DDE8" w:themeFill="accent5" w:themeFillTint="66"/>
            <w:noWrap w:val="0"/>
            <w:vAlign w:val="center"/>
          </w:tcPr>
          <w:p w14:paraId="6D4D7DA4">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仿宋" w:hAnsi="仿宋" w:eastAsia="仿宋" w:cs="仿宋"/>
                <w:b/>
                <w:bCs/>
                <w:color w:val="auto"/>
                <w:sz w:val="24"/>
                <w:szCs w:val="20"/>
              </w:rPr>
            </w:pPr>
            <w:r>
              <w:rPr>
                <w:rFonts w:hint="eastAsia" w:ascii="仿宋" w:hAnsi="仿宋" w:eastAsia="仿宋" w:cs="仿宋"/>
                <w:b/>
                <w:bCs/>
                <w:color w:val="auto"/>
                <w:sz w:val="24"/>
              </w:rPr>
              <w:t>参加本单位工作时间</w:t>
            </w:r>
          </w:p>
        </w:tc>
        <w:tc>
          <w:tcPr>
            <w:tcW w:w="1654" w:type="dxa"/>
            <w:tcBorders>
              <w:tl2br w:val="nil"/>
              <w:tr2bl w:val="nil"/>
            </w:tcBorders>
            <w:shd w:val="clear" w:color="auto" w:fill="B6DDE8" w:themeFill="accent5" w:themeFillTint="66"/>
            <w:noWrap w:val="0"/>
            <w:vAlign w:val="center"/>
          </w:tcPr>
          <w:p w14:paraId="175209ED">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仿宋" w:hAnsi="仿宋" w:eastAsia="仿宋" w:cs="仿宋"/>
                <w:b/>
                <w:bCs/>
                <w:color w:val="auto"/>
                <w:sz w:val="24"/>
                <w:szCs w:val="20"/>
                <w:lang w:val="en-US" w:eastAsia="zh-CN"/>
              </w:rPr>
            </w:pPr>
            <w:r>
              <w:rPr>
                <w:rFonts w:hint="eastAsia" w:ascii="仿宋" w:hAnsi="仿宋" w:eastAsia="仿宋" w:cs="仿宋"/>
                <w:b/>
                <w:bCs/>
                <w:color w:val="auto"/>
                <w:sz w:val="24"/>
                <w:szCs w:val="20"/>
                <w:lang w:val="en-US" w:eastAsia="zh-CN"/>
              </w:rPr>
              <w:t>本项目拟负责工作内容</w:t>
            </w:r>
          </w:p>
        </w:tc>
        <w:tc>
          <w:tcPr>
            <w:tcW w:w="1823" w:type="dxa"/>
            <w:tcBorders>
              <w:tl2br w:val="nil"/>
              <w:tr2bl w:val="nil"/>
            </w:tcBorders>
            <w:shd w:val="clear" w:color="auto" w:fill="B6DDE8" w:themeFill="accent5" w:themeFillTint="66"/>
            <w:noWrap w:val="0"/>
            <w:vAlign w:val="center"/>
          </w:tcPr>
          <w:p w14:paraId="0198BE06">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仿宋" w:hAnsi="仿宋" w:eastAsia="仿宋" w:cs="仿宋"/>
                <w:b/>
                <w:bCs/>
                <w:color w:val="auto"/>
                <w:sz w:val="24"/>
                <w:szCs w:val="20"/>
                <w:lang w:val="en-US" w:eastAsia="zh-CN"/>
              </w:rPr>
            </w:pPr>
            <w:r>
              <w:rPr>
                <w:rFonts w:hint="eastAsia" w:ascii="仿宋" w:hAnsi="仿宋" w:eastAsia="仿宋" w:cs="仿宋"/>
                <w:b/>
                <w:bCs/>
                <w:color w:val="auto"/>
                <w:sz w:val="24"/>
                <w:szCs w:val="20"/>
                <w:lang w:val="en-US" w:eastAsia="zh-CN"/>
              </w:rPr>
              <w:t>本项目拟安排上岗起止时间</w:t>
            </w:r>
          </w:p>
        </w:tc>
        <w:tc>
          <w:tcPr>
            <w:tcW w:w="1486" w:type="dxa"/>
            <w:tcBorders>
              <w:tl2br w:val="nil"/>
              <w:tr2bl w:val="nil"/>
            </w:tcBorders>
            <w:shd w:val="clear" w:color="auto" w:fill="B6DDE8" w:themeFill="accent5" w:themeFillTint="66"/>
            <w:noWrap w:val="0"/>
            <w:vAlign w:val="center"/>
          </w:tcPr>
          <w:p w14:paraId="231C0996">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仿宋" w:hAnsi="仿宋" w:eastAsia="仿宋" w:cs="仿宋"/>
                <w:b/>
                <w:bCs/>
                <w:color w:val="auto"/>
                <w:sz w:val="24"/>
                <w:szCs w:val="20"/>
              </w:rPr>
            </w:pPr>
            <w:r>
              <w:rPr>
                <w:rFonts w:hint="eastAsia" w:ascii="仿宋" w:hAnsi="仿宋" w:eastAsia="仿宋" w:cs="仿宋"/>
                <w:b/>
                <w:bCs/>
                <w:color w:val="auto"/>
                <w:sz w:val="24"/>
                <w:szCs w:val="20"/>
              </w:rPr>
              <w:t>备注</w:t>
            </w:r>
          </w:p>
        </w:tc>
      </w:tr>
      <w:tr w14:paraId="5D4967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noWrap w:val="0"/>
            <w:vAlign w:val="center"/>
          </w:tcPr>
          <w:p w14:paraId="5BE3572C">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62F400B6">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0500A71A">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7F5A2DEF">
            <w:pPr>
              <w:snapToGrid w:val="0"/>
              <w:spacing w:line="240" w:lineRule="auto"/>
              <w:jc w:val="center"/>
              <w:rPr>
                <w:rFonts w:ascii="宋体" w:hAnsi="宋体"/>
                <w:color w:val="auto"/>
                <w:sz w:val="24"/>
                <w:szCs w:val="20"/>
              </w:rPr>
            </w:pPr>
          </w:p>
        </w:tc>
        <w:tc>
          <w:tcPr>
            <w:tcW w:w="1823" w:type="dxa"/>
            <w:tcBorders>
              <w:tl2br w:val="nil"/>
              <w:tr2bl w:val="nil"/>
            </w:tcBorders>
            <w:noWrap w:val="0"/>
            <w:vAlign w:val="center"/>
          </w:tcPr>
          <w:p w14:paraId="16A000C9">
            <w:pPr>
              <w:snapToGrid w:val="0"/>
              <w:spacing w:line="240" w:lineRule="auto"/>
              <w:jc w:val="center"/>
              <w:rPr>
                <w:rFonts w:ascii="宋体" w:hAnsi="宋体"/>
                <w:color w:val="auto"/>
                <w:sz w:val="24"/>
                <w:szCs w:val="20"/>
              </w:rPr>
            </w:pPr>
          </w:p>
        </w:tc>
        <w:tc>
          <w:tcPr>
            <w:tcW w:w="1486" w:type="dxa"/>
            <w:tcBorders>
              <w:tl2br w:val="nil"/>
              <w:tr2bl w:val="nil"/>
            </w:tcBorders>
            <w:noWrap w:val="0"/>
            <w:vAlign w:val="center"/>
          </w:tcPr>
          <w:p w14:paraId="74399261">
            <w:pPr>
              <w:snapToGrid w:val="0"/>
              <w:spacing w:line="240" w:lineRule="auto"/>
              <w:jc w:val="center"/>
              <w:rPr>
                <w:rFonts w:ascii="宋体" w:hAnsi="宋体"/>
                <w:color w:val="auto"/>
                <w:sz w:val="24"/>
                <w:szCs w:val="20"/>
              </w:rPr>
            </w:pPr>
          </w:p>
        </w:tc>
      </w:tr>
      <w:tr w14:paraId="72D7F8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noWrap w:val="0"/>
            <w:vAlign w:val="center"/>
          </w:tcPr>
          <w:p w14:paraId="5CA0B1E0">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13A86754">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19AB4BCB">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4A1EBB52">
            <w:pPr>
              <w:snapToGrid w:val="0"/>
              <w:spacing w:line="240" w:lineRule="auto"/>
              <w:jc w:val="center"/>
              <w:rPr>
                <w:rFonts w:ascii="宋体" w:hAnsi="宋体"/>
                <w:color w:val="auto"/>
                <w:sz w:val="24"/>
                <w:szCs w:val="20"/>
              </w:rPr>
            </w:pPr>
          </w:p>
        </w:tc>
        <w:tc>
          <w:tcPr>
            <w:tcW w:w="1823" w:type="dxa"/>
            <w:tcBorders>
              <w:tl2br w:val="nil"/>
              <w:tr2bl w:val="nil"/>
            </w:tcBorders>
            <w:noWrap w:val="0"/>
            <w:vAlign w:val="center"/>
          </w:tcPr>
          <w:p w14:paraId="3315DDA7">
            <w:pPr>
              <w:snapToGrid w:val="0"/>
              <w:spacing w:line="240" w:lineRule="auto"/>
              <w:jc w:val="center"/>
              <w:rPr>
                <w:rFonts w:ascii="宋体" w:hAnsi="宋体"/>
                <w:color w:val="auto"/>
                <w:sz w:val="24"/>
                <w:szCs w:val="20"/>
              </w:rPr>
            </w:pPr>
          </w:p>
        </w:tc>
        <w:tc>
          <w:tcPr>
            <w:tcW w:w="1486" w:type="dxa"/>
            <w:tcBorders>
              <w:tl2br w:val="nil"/>
              <w:tr2bl w:val="nil"/>
            </w:tcBorders>
            <w:noWrap w:val="0"/>
            <w:vAlign w:val="center"/>
          </w:tcPr>
          <w:p w14:paraId="2B1B1F74">
            <w:pPr>
              <w:snapToGrid w:val="0"/>
              <w:spacing w:line="240" w:lineRule="auto"/>
              <w:jc w:val="center"/>
              <w:rPr>
                <w:rFonts w:ascii="宋体" w:hAnsi="宋体"/>
                <w:color w:val="auto"/>
                <w:sz w:val="24"/>
                <w:szCs w:val="20"/>
              </w:rPr>
            </w:pPr>
          </w:p>
        </w:tc>
      </w:tr>
      <w:tr w14:paraId="3FC34E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noWrap w:val="0"/>
            <w:vAlign w:val="center"/>
          </w:tcPr>
          <w:p w14:paraId="3E1F3376">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3D402F94">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4DF14C43">
            <w:pPr>
              <w:numPr>
                <w:ilvl w:val="0"/>
                <w:numId w:val="5"/>
              </w:numPr>
              <w:tabs>
                <w:tab w:val="clear" w:pos="1200"/>
              </w:tabs>
              <w:snapToGrid w:val="0"/>
              <w:spacing w:line="240" w:lineRule="auto"/>
              <w:ind w:left="5500" w:leftChars="2500" w:firstLine="0"/>
              <w:jc w:val="center"/>
              <w:rPr>
                <w:rFonts w:ascii="宋体" w:hAnsi="宋体"/>
                <w:color w:val="auto"/>
                <w:sz w:val="24"/>
              </w:rPr>
            </w:pPr>
          </w:p>
        </w:tc>
        <w:tc>
          <w:tcPr>
            <w:tcW w:w="1654" w:type="dxa"/>
            <w:tcBorders>
              <w:tl2br w:val="nil"/>
              <w:tr2bl w:val="nil"/>
            </w:tcBorders>
            <w:noWrap w:val="0"/>
            <w:vAlign w:val="center"/>
          </w:tcPr>
          <w:p w14:paraId="78432F07">
            <w:pPr>
              <w:snapToGrid w:val="0"/>
              <w:spacing w:line="240" w:lineRule="auto"/>
              <w:jc w:val="center"/>
              <w:rPr>
                <w:rFonts w:ascii="宋体" w:hAnsi="宋体"/>
                <w:color w:val="auto"/>
                <w:sz w:val="24"/>
                <w:szCs w:val="20"/>
              </w:rPr>
            </w:pPr>
          </w:p>
        </w:tc>
        <w:tc>
          <w:tcPr>
            <w:tcW w:w="1823" w:type="dxa"/>
            <w:tcBorders>
              <w:tl2br w:val="nil"/>
              <w:tr2bl w:val="nil"/>
            </w:tcBorders>
            <w:noWrap w:val="0"/>
            <w:vAlign w:val="center"/>
          </w:tcPr>
          <w:p w14:paraId="527B8F98">
            <w:pPr>
              <w:snapToGrid w:val="0"/>
              <w:spacing w:line="240" w:lineRule="auto"/>
              <w:jc w:val="center"/>
              <w:rPr>
                <w:rFonts w:ascii="宋体" w:hAnsi="宋体"/>
                <w:color w:val="auto"/>
                <w:sz w:val="24"/>
                <w:szCs w:val="20"/>
              </w:rPr>
            </w:pPr>
          </w:p>
        </w:tc>
        <w:tc>
          <w:tcPr>
            <w:tcW w:w="1486" w:type="dxa"/>
            <w:tcBorders>
              <w:tl2br w:val="nil"/>
              <w:tr2bl w:val="nil"/>
            </w:tcBorders>
            <w:noWrap w:val="0"/>
            <w:vAlign w:val="center"/>
          </w:tcPr>
          <w:p w14:paraId="01E182CD">
            <w:pPr>
              <w:snapToGrid w:val="0"/>
              <w:spacing w:line="240" w:lineRule="auto"/>
              <w:jc w:val="center"/>
              <w:rPr>
                <w:rFonts w:ascii="宋体" w:hAnsi="宋体"/>
                <w:color w:val="auto"/>
                <w:sz w:val="24"/>
                <w:szCs w:val="20"/>
              </w:rPr>
            </w:pPr>
          </w:p>
        </w:tc>
      </w:tr>
      <w:tr w14:paraId="7C85A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noWrap w:val="0"/>
            <w:vAlign w:val="center"/>
          </w:tcPr>
          <w:p w14:paraId="7D6F3887">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48A30B50">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2F795EBB">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10F163AE">
            <w:pPr>
              <w:snapToGrid w:val="0"/>
              <w:spacing w:line="240" w:lineRule="auto"/>
              <w:jc w:val="center"/>
              <w:rPr>
                <w:rFonts w:ascii="宋体" w:hAnsi="宋体"/>
                <w:color w:val="auto"/>
                <w:sz w:val="24"/>
                <w:szCs w:val="20"/>
              </w:rPr>
            </w:pPr>
          </w:p>
        </w:tc>
        <w:tc>
          <w:tcPr>
            <w:tcW w:w="1823" w:type="dxa"/>
            <w:tcBorders>
              <w:tl2br w:val="nil"/>
              <w:tr2bl w:val="nil"/>
            </w:tcBorders>
            <w:noWrap w:val="0"/>
            <w:vAlign w:val="center"/>
          </w:tcPr>
          <w:p w14:paraId="24F5D475">
            <w:pPr>
              <w:snapToGrid w:val="0"/>
              <w:spacing w:line="240" w:lineRule="auto"/>
              <w:jc w:val="center"/>
              <w:rPr>
                <w:rFonts w:ascii="宋体" w:hAnsi="宋体"/>
                <w:color w:val="auto"/>
                <w:sz w:val="24"/>
                <w:szCs w:val="20"/>
              </w:rPr>
            </w:pPr>
          </w:p>
        </w:tc>
        <w:tc>
          <w:tcPr>
            <w:tcW w:w="1486" w:type="dxa"/>
            <w:tcBorders>
              <w:tl2br w:val="nil"/>
              <w:tr2bl w:val="nil"/>
            </w:tcBorders>
            <w:noWrap w:val="0"/>
            <w:vAlign w:val="center"/>
          </w:tcPr>
          <w:p w14:paraId="380F862A">
            <w:pPr>
              <w:snapToGrid w:val="0"/>
              <w:spacing w:line="240" w:lineRule="auto"/>
              <w:jc w:val="center"/>
              <w:rPr>
                <w:rFonts w:ascii="宋体" w:hAnsi="宋体"/>
                <w:color w:val="auto"/>
                <w:sz w:val="24"/>
                <w:szCs w:val="20"/>
              </w:rPr>
            </w:pPr>
          </w:p>
        </w:tc>
      </w:tr>
      <w:tr w14:paraId="5AF0F0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noWrap w:val="0"/>
            <w:vAlign w:val="center"/>
          </w:tcPr>
          <w:p w14:paraId="0EB4B1DC">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33994CD8">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4D93C40F">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52C1AB2A">
            <w:pPr>
              <w:snapToGrid w:val="0"/>
              <w:spacing w:line="240" w:lineRule="auto"/>
              <w:jc w:val="center"/>
              <w:rPr>
                <w:rFonts w:ascii="宋体" w:hAnsi="宋体"/>
                <w:color w:val="auto"/>
                <w:sz w:val="24"/>
                <w:szCs w:val="20"/>
              </w:rPr>
            </w:pPr>
          </w:p>
        </w:tc>
        <w:tc>
          <w:tcPr>
            <w:tcW w:w="1823" w:type="dxa"/>
            <w:tcBorders>
              <w:tl2br w:val="nil"/>
              <w:tr2bl w:val="nil"/>
            </w:tcBorders>
            <w:noWrap w:val="0"/>
            <w:vAlign w:val="center"/>
          </w:tcPr>
          <w:p w14:paraId="26F6A709">
            <w:pPr>
              <w:snapToGrid w:val="0"/>
              <w:spacing w:line="240" w:lineRule="auto"/>
              <w:jc w:val="center"/>
              <w:rPr>
                <w:rFonts w:ascii="宋体" w:hAnsi="宋体"/>
                <w:color w:val="auto"/>
                <w:sz w:val="24"/>
                <w:szCs w:val="20"/>
              </w:rPr>
            </w:pPr>
          </w:p>
        </w:tc>
        <w:tc>
          <w:tcPr>
            <w:tcW w:w="1486" w:type="dxa"/>
            <w:tcBorders>
              <w:tl2br w:val="nil"/>
              <w:tr2bl w:val="nil"/>
            </w:tcBorders>
            <w:noWrap w:val="0"/>
            <w:vAlign w:val="center"/>
          </w:tcPr>
          <w:p w14:paraId="54B2184C">
            <w:pPr>
              <w:snapToGrid w:val="0"/>
              <w:spacing w:line="240" w:lineRule="auto"/>
              <w:jc w:val="center"/>
              <w:rPr>
                <w:rFonts w:ascii="宋体" w:hAnsi="宋体"/>
                <w:color w:val="auto"/>
                <w:sz w:val="24"/>
                <w:szCs w:val="20"/>
              </w:rPr>
            </w:pPr>
          </w:p>
        </w:tc>
      </w:tr>
      <w:tr w14:paraId="049FE6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noWrap w:val="0"/>
            <w:vAlign w:val="center"/>
          </w:tcPr>
          <w:p w14:paraId="35A98F38">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279CC937">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5BE693FD">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37B0A18D">
            <w:pPr>
              <w:snapToGrid w:val="0"/>
              <w:spacing w:line="240" w:lineRule="auto"/>
              <w:jc w:val="center"/>
              <w:rPr>
                <w:rFonts w:ascii="宋体" w:hAnsi="宋体"/>
                <w:color w:val="auto"/>
                <w:sz w:val="24"/>
                <w:szCs w:val="20"/>
              </w:rPr>
            </w:pPr>
          </w:p>
        </w:tc>
        <w:tc>
          <w:tcPr>
            <w:tcW w:w="1823" w:type="dxa"/>
            <w:tcBorders>
              <w:tl2br w:val="nil"/>
              <w:tr2bl w:val="nil"/>
            </w:tcBorders>
            <w:noWrap w:val="0"/>
            <w:vAlign w:val="center"/>
          </w:tcPr>
          <w:p w14:paraId="7D41D86A">
            <w:pPr>
              <w:snapToGrid w:val="0"/>
              <w:spacing w:line="240" w:lineRule="auto"/>
              <w:jc w:val="center"/>
              <w:rPr>
                <w:rFonts w:ascii="宋体" w:hAnsi="宋体"/>
                <w:color w:val="auto"/>
                <w:sz w:val="24"/>
                <w:szCs w:val="20"/>
              </w:rPr>
            </w:pPr>
          </w:p>
        </w:tc>
        <w:tc>
          <w:tcPr>
            <w:tcW w:w="1486" w:type="dxa"/>
            <w:tcBorders>
              <w:tl2br w:val="nil"/>
              <w:tr2bl w:val="nil"/>
            </w:tcBorders>
            <w:noWrap w:val="0"/>
            <w:vAlign w:val="center"/>
          </w:tcPr>
          <w:p w14:paraId="74C0C0B0">
            <w:pPr>
              <w:snapToGrid w:val="0"/>
              <w:spacing w:line="240" w:lineRule="auto"/>
              <w:jc w:val="center"/>
              <w:rPr>
                <w:rFonts w:ascii="宋体" w:hAnsi="宋体"/>
                <w:color w:val="auto"/>
                <w:sz w:val="24"/>
                <w:szCs w:val="20"/>
              </w:rPr>
            </w:pPr>
          </w:p>
        </w:tc>
      </w:tr>
      <w:tr w14:paraId="4EDEE9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noWrap w:val="0"/>
            <w:vAlign w:val="center"/>
          </w:tcPr>
          <w:p w14:paraId="16289A1B">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26D3A1A3">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2429EB3A">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75CF2C14">
            <w:pPr>
              <w:snapToGrid w:val="0"/>
              <w:spacing w:line="240" w:lineRule="auto"/>
              <w:jc w:val="center"/>
              <w:rPr>
                <w:rFonts w:ascii="宋体" w:hAnsi="宋体"/>
                <w:color w:val="auto"/>
                <w:sz w:val="24"/>
                <w:szCs w:val="20"/>
              </w:rPr>
            </w:pPr>
          </w:p>
        </w:tc>
        <w:tc>
          <w:tcPr>
            <w:tcW w:w="1823" w:type="dxa"/>
            <w:tcBorders>
              <w:tl2br w:val="nil"/>
              <w:tr2bl w:val="nil"/>
            </w:tcBorders>
            <w:noWrap w:val="0"/>
            <w:vAlign w:val="center"/>
          </w:tcPr>
          <w:p w14:paraId="17075BF8">
            <w:pPr>
              <w:snapToGrid w:val="0"/>
              <w:spacing w:line="240" w:lineRule="auto"/>
              <w:jc w:val="center"/>
              <w:rPr>
                <w:rFonts w:ascii="宋体" w:hAnsi="宋体"/>
                <w:color w:val="auto"/>
                <w:sz w:val="24"/>
                <w:szCs w:val="20"/>
              </w:rPr>
            </w:pPr>
          </w:p>
        </w:tc>
        <w:tc>
          <w:tcPr>
            <w:tcW w:w="1486" w:type="dxa"/>
            <w:tcBorders>
              <w:tl2br w:val="nil"/>
              <w:tr2bl w:val="nil"/>
            </w:tcBorders>
            <w:noWrap w:val="0"/>
            <w:vAlign w:val="center"/>
          </w:tcPr>
          <w:p w14:paraId="048295EC">
            <w:pPr>
              <w:snapToGrid w:val="0"/>
              <w:spacing w:line="240" w:lineRule="auto"/>
              <w:jc w:val="center"/>
              <w:rPr>
                <w:rFonts w:ascii="宋体" w:hAnsi="宋体"/>
                <w:color w:val="auto"/>
                <w:sz w:val="24"/>
                <w:szCs w:val="20"/>
              </w:rPr>
            </w:pPr>
          </w:p>
        </w:tc>
      </w:tr>
      <w:tr w14:paraId="65989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noWrap w:val="0"/>
            <w:vAlign w:val="center"/>
          </w:tcPr>
          <w:p w14:paraId="6D6B15C0">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47804CCD">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13D2A8EA">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62C5DB31">
            <w:pPr>
              <w:snapToGrid w:val="0"/>
              <w:spacing w:line="240" w:lineRule="auto"/>
              <w:jc w:val="center"/>
              <w:rPr>
                <w:rFonts w:ascii="宋体" w:hAnsi="宋体"/>
                <w:color w:val="auto"/>
                <w:sz w:val="24"/>
                <w:szCs w:val="20"/>
              </w:rPr>
            </w:pPr>
          </w:p>
        </w:tc>
        <w:tc>
          <w:tcPr>
            <w:tcW w:w="1823" w:type="dxa"/>
            <w:tcBorders>
              <w:tl2br w:val="nil"/>
              <w:tr2bl w:val="nil"/>
            </w:tcBorders>
            <w:noWrap w:val="0"/>
            <w:vAlign w:val="center"/>
          </w:tcPr>
          <w:p w14:paraId="659DCFE7">
            <w:pPr>
              <w:snapToGrid w:val="0"/>
              <w:spacing w:line="240" w:lineRule="auto"/>
              <w:jc w:val="center"/>
              <w:rPr>
                <w:rFonts w:ascii="宋体" w:hAnsi="宋体"/>
                <w:color w:val="auto"/>
                <w:sz w:val="24"/>
                <w:szCs w:val="20"/>
              </w:rPr>
            </w:pPr>
          </w:p>
        </w:tc>
        <w:tc>
          <w:tcPr>
            <w:tcW w:w="1486" w:type="dxa"/>
            <w:tcBorders>
              <w:tl2br w:val="nil"/>
              <w:tr2bl w:val="nil"/>
            </w:tcBorders>
            <w:noWrap w:val="0"/>
            <w:vAlign w:val="center"/>
          </w:tcPr>
          <w:p w14:paraId="7C7759DB">
            <w:pPr>
              <w:snapToGrid w:val="0"/>
              <w:spacing w:line="240" w:lineRule="auto"/>
              <w:jc w:val="center"/>
              <w:rPr>
                <w:rFonts w:ascii="宋体" w:hAnsi="宋体"/>
                <w:color w:val="auto"/>
                <w:sz w:val="24"/>
                <w:szCs w:val="20"/>
              </w:rPr>
            </w:pPr>
          </w:p>
        </w:tc>
      </w:tr>
      <w:tr w14:paraId="4B7C51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4" w:type="dxa"/>
            <w:tcBorders>
              <w:tl2br w:val="nil"/>
              <w:tr2bl w:val="nil"/>
            </w:tcBorders>
            <w:noWrap w:val="0"/>
            <w:vAlign w:val="center"/>
          </w:tcPr>
          <w:p w14:paraId="74B0A138">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7158042F">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7AB7B3B4">
            <w:pPr>
              <w:snapToGrid w:val="0"/>
              <w:spacing w:line="240" w:lineRule="auto"/>
              <w:jc w:val="center"/>
              <w:rPr>
                <w:rFonts w:ascii="宋体" w:hAnsi="宋体"/>
                <w:color w:val="auto"/>
                <w:sz w:val="24"/>
                <w:szCs w:val="20"/>
              </w:rPr>
            </w:pPr>
          </w:p>
        </w:tc>
        <w:tc>
          <w:tcPr>
            <w:tcW w:w="1654" w:type="dxa"/>
            <w:tcBorders>
              <w:tl2br w:val="nil"/>
              <w:tr2bl w:val="nil"/>
            </w:tcBorders>
            <w:noWrap w:val="0"/>
            <w:vAlign w:val="center"/>
          </w:tcPr>
          <w:p w14:paraId="2F5FE0AA">
            <w:pPr>
              <w:snapToGrid w:val="0"/>
              <w:spacing w:line="240" w:lineRule="auto"/>
              <w:jc w:val="center"/>
              <w:rPr>
                <w:rFonts w:ascii="宋体" w:hAnsi="宋体"/>
                <w:color w:val="auto"/>
                <w:sz w:val="24"/>
                <w:szCs w:val="20"/>
              </w:rPr>
            </w:pPr>
          </w:p>
        </w:tc>
        <w:tc>
          <w:tcPr>
            <w:tcW w:w="1823" w:type="dxa"/>
            <w:tcBorders>
              <w:tl2br w:val="nil"/>
              <w:tr2bl w:val="nil"/>
            </w:tcBorders>
            <w:noWrap w:val="0"/>
            <w:vAlign w:val="center"/>
          </w:tcPr>
          <w:p w14:paraId="329C6F1A">
            <w:pPr>
              <w:snapToGrid w:val="0"/>
              <w:spacing w:line="240" w:lineRule="auto"/>
              <w:jc w:val="center"/>
              <w:rPr>
                <w:rFonts w:ascii="宋体" w:hAnsi="宋体"/>
                <w:color w:val="auto"/>
                <w:sz w:val="24"/>
                <w:szCs w:val="20"/>
              </w:rPr>
            </w:pPr>
          </w:p>
        </w:tc>
        <w:tc>
          <w:tcPr>
            <w:tcW w:w="1486" w:type="dxa"/>
            <w:tcBorders>
              <w:tl2br w:val="nil"/>
              <w:tr2bl w:val="nil"/>
            </w:tcBorders>
            <w:noWrap w:val="0"/>
            <w:vAlign w:val="center"/>
          </w:tcPr>
          <w:p w14:paraId="625B9B98">
            <w:pPr>
              <w:snapToGrid w:val="0"/>
              <w:spacing w:line="240" w:lineRule="auto"/>
              <w:jc w:val="center"/>
              <w:rPr>
                <w:rFonts w:ascii="宋体" w:hAnsi="宋体"/>
                <w:color w:val="auto"/>
                <w:sz w:val="24"/>
                <w:szCs w:val="20"/>
              </w:rPr>
            </w:pPr>
          </w:p>
        </w:tc>
      </w:tr>
    </w:tbl>
    <w:p w14:paraId="0B84773C">
      <w:pPr>
        <w:spacing w:before="114" w:line="343" w:lineRule="auto"/>
        <w:ind w:right="575" w:firstLine="408" w:firstLineChars="200"/>
        <w:rPr>
          <w:rFonts w:hint="eastAsia" w:ascii="仿宋" w:hAnsi="仿宋" w:eastAsia="仿宋" w:cs="仿宋"/>
          <w:color w:val="auto"/>
          <w:spacing w:val="-8"/>
        </w:rPr>
      </w:pPr>
      <w:r>
        <w:rPr>
          <w:rFonts w:hint="eastAsia" w:ascii="仿宋" w:hAnsi="仿宋" w:eastAsia="仿宋" w:cs="仿宋"/>
          <w:color w:val="auto"/>
          <w:spacing w:val="-8"/>
        </w:rPr>
        <w:t>注：在填写时，如本表格不适合投标单位的实际情况，可根据本表格式自行划表填写。</w:t>
      </w:r>
    </w:p>
    <w:p w14:paraId="0C8C1347">
      <w:pPr>
        <w:pStyle w:val="2"/>
        <w:tabs>
          <w:tab w:val="left" w:pos="6231"/>
          <w:tab w:val="left" w:pos="6711"/>
          <w:tab w:val="left" w:pos="7311"/>
        </w:tabs>
        <w:spacing w:line="360" w:lineRule="auto"/>
        <w:ind w:firstLine="4800" w:firstLineChars="2000"/>
        <w:rPr>
          <w:rFonts w:hint="eastAsia" w:ascii="仿宋" w:hAnsi="仿宋" w:eastAsia="仿宋" w:cs="仿宋"/>
          <w:color w:val="auto"/>
        </w:rPr>
      </w:pPr>
    </w:p>
    <w:p w14:paraId="0FAC8AD4">
      <w:pPr>
        <w:pStyle w:val="2"/>
        <w:tabs>
          <w:tab w:val="left" w:pos="6591"/>
          <w:tab w:val="left" w:pos="7071"/>
          <w:tab w:val="left" w:pos="7671"/>
        </w:tabs>
        <w:spacing w:line="388" w:lineRule="auto"/>
        <w:ind w:right="2132" w:firstLine="5040" w:firstLineChars="2100"/>
        <w:rPr>
          <w:rFonts w:ascii="仿宋" w:hAnsi="仿宋" w:eastAsia="仿宋" w:cs="仿宋"/>
          <w:color w:val="auto"/>
          <w:lang w:val="en-US"/>
        </w:rPr>
      </w:pPr>
      <w:r>
        <w:rPr>
          <w:rFonts w:hint="eastAsia" w:ascii="仿宋" w:hAnsi="仿宋" w:eastAsia="仿宋" w:cs="仿宋"/>
          <w:color w:val="auto"/>
          <w:kern w:val="0"/>
          <w:sz w:val="24"/>
          <w:lang w:val="zh-CN"/>
        </w:rPr>
        <w:t>投标人名称(电子签名)：</w:t>
      </w:r>
    </w:p>
    <w:p w14:paraId="620219E2">
      <w:pPr>
        <w:pStyle w:val="2"/>
        <w:tabs>
          <w:tab w:val="left" w:pos="6591"/>
          <w:tab w:val="left" w:pos="7071"/>
          <w:tab w:val="left" w:pos="7671"/>
        </w:tabs>
        <w:spacing w:line="388" w:lineRule="auto"/>
        <w:ind w:right="2132" w:firstLine="5040" w:firstLineChars="2100"/>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lang w:val="en-US"/>
        </w:rPr>
        <w:t xml:space="preserve">    </w:t>
      </w:r>
      <w:r>
        <w:rPr>
          <w:rFonts w:hint="eastAsia" w:ascii="仿宋" w:hAnsi="仿宋" w:eastAsia="仿宋" w:cs="仿宋"/>
          <w:color w:val="auto"/>
        </w:rPr>
        <w:t>年</w:t>
      </w:r>
      <w:r>
        <w:rPr>
          <w:rFonts w:hint="eastAsia" w:ascii="仿宋" w:hAnsi="仿宋" w:eastAsia="仿宋" w:cs="仿宋"/>
          <w:color w:val="auto"/>
          <w:lang w:val="en-US"/>
        </w:rPr>
        <w:t xml:space="preserve">  </w:t>
      </w:r>
      <w:r>
        <w:rPr>
          <w:rFonts w:hint="eastAsia" w:ascii="仿宋" w:hAnsi="仿宋" w:eastAsia="仿宋" w:cs="仿宋"/>
          <w:color w:val="auto"/>
        </w:rPr>
        <w:t>月</w:t>
      </w:r>
      <w:r>
        <w:rPr>
          <w:rFonts w:hint="eastAsia" w:ascii="仿宋" w:hAnsi="仿宋" w:eastAsia="仿宋" w:cs="仿宋"/>
          <w:color w:val="auto"/>
          <w:lang w:val="en-US"/>
        </w:rPr>
        <w:t xml:space="preserve">  </w:t>
      </w:r>
      <w:r>
        <w:rPr>
          <w:rFonts w:hint="eastAsia" w:ascii="仿宋" w:hAnsi="仿宋" w:eastAsia="仿宋" w:cs="仿宋"/>
          <w:color w:val="auto"/>
          <w:spacing w:val="-17"/>
        </w:rPr>
        <w:t>日</w:t>
      </w:r>
    </w:p>
    <w:p w14:paraId="63A518AE">
      <w:pPr>
        <w:spacing w:line="364" w:lineRule="auto"/>
        <w:rPr>
          <w:color w:val="auto"/>
        </w:rPr>
      </w:pPr>
    </w:p>
    <w:p w14:paraId="7E94A19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FCE9422">
      <w:pPr>
        <w:spacing w:line="360" w:lineRule="auto"/>
        <w:ind w:left="1222" w:right="1218"/>
        <w:jc w:val="center"/>
        <w:rPr>
          <w:color w:val="auto"/>
          <w:lang w:val="en-US"/>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val="en-US"/>
        </w:rPr>
        <w:t>投标技术、服务方案</w:t>
      </w:r>
    </w:p>
    <w:p w14:paraId="63D255A0">
      <w:pPr>
        <w:spacing w:line="360" w:lineRule="auto"/>
        <w:rPr>
          <w:rFonts w:ascii="仿宋" w:hAnsi="仿宋" w:eastAsia="仿宋" w:cs="仿宋"/>
          <w:color w:val="auto"/>
          <w:sz w:val="24"/>
          <w:szCs w:val="24"/>
          <w:lang w:val="en-US"/>
        </w:rPr>
      </w:pPr>
      <w:r>
        <w:rPr>
          <w:rFonts w:hint="eastAsia" w:ascii="仿宋" w:hAnsi="仿宋" w:eastAsia="仿宋" w:cs="仿宋"/>
          <w:color w:val="auto"/>
          <w:sz w:val="24"/>
          <w:szCs w:val="24"/>
          <w:lang w:val="en-US"/>
        </w:rPr>
        <w:t>项目名称：</w:t>
      </w:r>
      <w:r>
        <w:rPr>
          <w:rFonts w:hint="eastAsia" w:ascii="仿宋" w:hAnsi="仿宋" w:eastAsia="仿宋" w:cs="仿宋"/>
          <w:color w:val="auto"/>
          <w:sz w:val="24"/>
          <w:szCs w:val="24"/>
          <w:lang w:val="en-US" w:eastAsia="zh-CN"/>
        </w:rPr>
        <w:t>龙港市世纪中学功能教室设备仪器采购项目</w:t>
      </w:r>
    </w:p>
    <w:p w14:paraId="391F5FD6">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项目编号：</w:t>
      </w:r>
      <w:r>
        <w:rPr>
          <w:rFonts w:hint="eastAsia" w:ascii="仿宋" w:hAnsi="仿宋" w:eastAsia="仿宋" w:cs="仿宋"/>
          <w:color w:val="auto"/>
          <w:sz w:val="24"/>
          <w:szCs w:val="24"/>
          <w:lang w:val="en-US" w:eastAsia="zh-CN"/>
        </w:rPr>
        <w:t>LGCG2025129</w:t>
      </w:r>
    </w:p>
    <w:tbl>
      <w:tblPr>
        <w:tblStyle w:val="27"/>
        <w:tblW w:w="0" w:type="auto"/>
        <w:tblInd w:w="0" w:type="dxa"/>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66"/>
      </w:tblGrid>
      <w:tr w14:paraId="749FACF3">
        <w:tblPrEx>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10882" w:hRule="atLeast"/>
        </w:trPr>
        <w:tc>
          <w:tcPr>
            <w:tcW w:w="10266" w:type="dxa"/>
            <w:tcBorders>
              <w:tl2br w:val="nil"/>
              <w:tr2bl w:val="nil"/>
            </w:tcBorders>
          </w:tcPr>
          <w:p w14:paraId="6E013AD2">
            <w:pPr>
              <w:spacing w:line="360" w:lineRule="auto"/>
              <w:jc w:val="both"/>
              <w:rPr>
                <w:i/>
                <w:iCs/>
                <w:color w:val="auto"/>
              </w:rPr>
            </w:pPr>
          </w:p>
        </w:tc>
      </w:tr>
    </w:tbl>
    <w:p w14:paraId="7A995BD6">
      <w:pPr>
        <w:spacing w:line="360" w:lineRule="auto"/>
        <w:rPr>
          <w:rFonts w:ascii="仿宋" w:hAnsi="仿宋" w:eastAsia="仿宋" w:cs="仿宋"/>
          <w:color w:val="auto"/>
          <w:sz w:val="24"/>
          <w:szCs w:val="24"/>
          <w:lang w:val="en-US"/>
        </w:rPr>
      </w:pPr>
    </w:p>
    <w:p w14:paraId="549EDD99">
      <w:pPr>
        <w:pStyle w:val="2"/>
        <w:tabs>
          <w:tab w:val="left" w:pos="6591"/>
          <w:tab w:val="left" w:pos="7071"/>
          <w:tab w:val="left" w:pos="7671"/>
        </w:tabs>
        <w:spacing w:line="388" w:lineRule="auto"/>
        <w:ind w:right="2132"/>
        <w:rPr>
          <w:rFonts w:ascii="仿宋" w:hAnsi="仿宋" w:eastAsia="仿宋" w:cs="仿宋"/>
          <w:color w:val="auto"/>
          <w:lang w:val="en-US"/>
        </w:rPr>
      </w:pPr>
      <w:r>
        <w:rPr>
          <w:rFonts w:hint="eastAsia" w:ascii="仿宋" w:hAnsi="仿宋" w:eastAsia="仿宋" w:cs="仿宋"/>
          <w:color w:val="auto"/>
          <w:kern w:val="0"/>
          <w:sz w:val="24"/>
          <w:lang w:val="zh-CN"/>
        </w:rPr>
        <w:t>投标人名称(电子签名)：</w:t>
      </w:r>
    </w:p>
    <w:p w14:paraId="22388296">
      <w:pPr>
        <w:pStyle w:val="2"/>
        <w:tabs>
          <w:tab w:val="left" w:pos="6591"/>
          <w:tab w:val="left" w:pos="7071"/>
          <w:tab w:val="left" w:pos="7671"/>
        </w:tabs>
        <w:spacing w:line="388" w:lineRule="auto"/>
        <w:ind w:right="2132"/>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lang w:val="en-US"/>
        </w:rPr>
        <w:t xml:space="preserve">    </w:t>
      </w:r>
      <w:r>
        <w:rPr>
          <w:rFonts w:hint="eastAsia" w:ascii="仿宋" w:hAnsi="仿宋" w:eastAsia="仿宋" w:cs="仿宋"/>
          <w:color w:val="auto"/>
        </w:rPr>
        <w:t>年</w:t>
      </w:r>
      <w:r>
        <w:rPr>
          <w:rFonts w:hint="eastAsia" w:ascii="仿宋" w:hAnsi="仿宋" w:eastAsia="仿宋" w:cs="仿宋"/>
          <w:color w:val="auto"/>
          <w:lang w:val="en-US"/>
        </w:rPr>
        <w:t xml:space="preserve">  </w:t>
      </w:r>
      <w:r>
        <w:rPr>
          <w:rFonts w:hint="eastAsia" w:ascii="仿宋" w:hAnsi="仿宋" w:eastAsia="仿宋" w:cs="仿宋"/>
          <w:color w:val="auto"/>
        </w:rPr>
        <w:t>月</w:t>
      </w:r>
      <w:r>
        <w:rPr>
          <w:rFonts w:hint="eastAsia" w:ascii="仿宋" w:hAnsi="仿宋" w:eastAsia="仿宋" w:cs="仿宋"/>
          <w:color w:val="auto"/>
          <w:lang w:val="en-US"/>
        </w:rPr>
        <w:t xml:space="preserve">  </w:t>
      </w:r>
      <w:r>
        <w:rPr>
          <w:rFonts w:hint="eastAsia" w:ascii="仿宋" w:hAnsi="仿宋" w:eastAsia="仿宋" w:cs="仿宋"/>
          <w:color w:val="auto"/>
          <w:spacing w:val="-17"/>
        </w:rPr>
        <w:t>日</w:t>
      </w:r>
    </w:p>
    <w:p w14:paraId="28E6C7D0">
      <w:pPr>
        <w:spacing w:line="360" w:lineRule="auto"/>
        <w:rPr>
          <w:color w:val="auto"/>
        </w:rPr>
      </w:pPr>
      <w:r>
        <w:rPr>
          <w:color w:val="auto"/>
        </w:rPr>
        <w:br w:type="page"/>
      </w:r>
    </w:p>
    <w:p w14:paraId="27628BB6">
      <w:pPr>
        <w:spacing w:line="360" w:lineRule="auto"/>
        <w:ind w:left="1222" w:right="1218"/>
        <w:jc w:val="center"/>
        <w:rPr>
          <w:color w:val="auto"/>
          <w:lang w:val="en-US"/>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val="en-US"/>
        </w:rPr>
        <w:t>售后服务方案</w:t>
      </w:r>
    </w:p>
    <w:p w14:paraId="5D0B4B7E">
      <w:pPr>
        <w:spacing w:line="360" w:lineRule="auto"/>
        <w:rPr>
          <w:rFonts w:ascii="仿宋" w:hAnsi="仿宋" w:eastAsia="仿宋" w:cs="仿宋"/>
          <w:color w:val="auto"/>
          <w:sz w:val="24"/>
          <w:szCs w:val="24"/>
          <w:lang w:val="en-US"/>
        </w:rPr>
      </w:pPr>
      <w:r>
        <w:rPr>
          <w:rFonts w:hint="eastAsia" w:ascii="仿宋" w:hAnsi="仿宋" w:eastAsia="仿宋" w:cs="仿宋"/>
          <w:color w:val="auto"/>
          <w:sz w:val="24"/>
          <w:szCs w:val="24"/>
          <w:lang w:val="en-US"/>
        </w:rPr>
        <w:t>项目名称：</w:t>
      </w:r>
      <w:r>
        <w:rPr>
          <w:rFonts w:hint="eastAsia" w:ascii="仿宋" w:hAnsi="仿宋" w:eastAsia="仿宋" w:cs="仿宋"/>
          <w:color w:val="auto"/>
          <w:sz w:val="24"/>
          <w:szCs w:val="24"/>
          <w:lang w:val="en-US" w:eastAsia="zh-CN"/>
        </w:rPr>
        <w:t>龙港市世纪中学功能教室设备仪器采购项目</w:t>
      </w:r>
    </w:p>
    <w:p w14:paraId="555B79E8">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项目编号：</w:t>
      </w:r>
      <w:r>
        <w:rPr>
          <w:rFonts w:hint="eastAsia" w:ascii="仿宋" w:hAnsi="仿宋" w:eastAsia="仿宋" w:cs="仿宋"/>
          <w:color w:val="auto"/>
          <w:sz w:val="24"/>
          <w:szCs w:val="24"/>
          <w:lang w:val="en-US" w:eastAsia="zh-CN"/>
        </w:rPr>
        <w:t>LGCG2025129</w:t>
      </w:r>
    </w:p>
    <w:tbl>
      <w:tblPr>
        <w:tblStyle w:val="27"/>
        <w:tblW w:w="0" w:type="auto"/>
        <w:tblInd w:w="0" w:type="dxa"/>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66"/>
      </w:tblGrid>
      <w:tr w14:paraId="4E8FBF42">
        <w:tblPrEx>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10882" w:hRule="atLeast"/>
        </w:trPr>
        <w:tc>
          <w:tcPr>
            <w:tcW w:w="10266" w:type="dxa"/>
            <w:tcBorders>
              <w:tl2br w:val="nil"/>
              <w:tr2bl w:val="nil"/>
            </w:tcBorders>
            <w:vAlign w:val="center"/>
          </w:tcPr>
          <w:p w14:paraId="4D2779D4">
            <w:pPr>
              <w:spacing w:line="360" w:lineRule="auto"/>
              <w:jc w:val="center"/>
              <w:rPr>
                <w:color w:val="auto"/>
              </w:rPr>
            </w:pPr>
            <w:r>
              <w:rPr>
                <w:rFonts w:hint="eastAsia" w:ascii="仿宋" w:hAnsi="仿宋" w:eastAsia="仿宋" w:cs="仿宋"/>
                <w:i/>
                <w:iCs/>
                <w:color w:val="auto"/>
                <w:sz w:val="24"/>
                <w:szCs w:val="24"/>
                <w:lang w:val="en-US"/>
              </w:rPr>
              <w:t>包括本地化服务、服务响应等服务承诺如有前提设定的，应明示，否则将被认为是无条件的；服务如涉及费用，也应明示，否则将被认为是免费的。</w:t>
            </w:r>
          </w:p>
        </w:tc>
      </w:tr>
    </w:tbl>
    <w:p w14:paraId="5AE90598">
      <w:pPr>
        <w:spacing w:line="360" w:lineRule="auto"/>
        <w:rPr>
          <w:rFonts w:ascii="仿宋" w:hAnsi="仿宋" w:eastAsia="仿宋" w:cs="仿宋"/>
          <w:color w:val="auto"/>
          <w:sz w:val="24"/>
          <w:szCs w:val="24"/>
          <w:lang w:val="en-US"/>
        </w:rPr>
      </w:pPr>
    </w:p>
    <w:p w14:paraId="1C1D64F2">
      <w:pPr>
        <w:pStyle w:val="2"/>
        <w:tabs>
          <w:tab w:val="left" w:pos="6591"/>
          <w:tab w:val="left" w:pos="7071"/>
          <w:tab w:val="left" w:pos="7671"/>
        </w:tabs>
        <w:spacing w:line="388" w:lineRule="auto"/>
        <w:ind w:right="2132"/>
        <w:rPr>
          <w:rFonts w:ascii="仿宋" w:hAnsi="仿宋" w:eastAsia="仿宋" w:cs="仿宋"/>
          <w:color w:val="auto"/>
          <w:lang w:val="en-US"/>
        </w:rPr>
      </w:pPr>
      <w:r>
        <w:rPr>
          <w:rFonts w:hint="eastAsia" w:ascii="仿宋" w:hAnsi="仿宋" w:eastAsia="仿宋" w:cs="仿宋"/>
          <w:color w:val="auto"/>
          <w:kern w:val="0"/>
          <w:sz w:val="24"/>
          <w:lang w:val="zh-CN"/>
        </w:rPr>
        <w:t>投标人名称(电子签名)：</w:t>
      </w:r>
    </w:p>
    <w:p w14:paraId="0653407E">
      <w:pPr>
        <w:pStyle w:val="2"/>
        <w:tabs>
          <w:tab w:val="left" w:pos="6591"/>
          <w:tab w:val="left" w:pos="7071"/>
          <w:tab w:val="left" w:pos="7671"/>
        </w:tabs>
        <w:spacing w:line="388" w:lineRule="auto"/>
        <w:ind w:right="2132"/>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lang w:val="en-US"/>
        </w:rPr>
        <w:t xml:space="preserve">    </w:t>
      </w:r>
      <w:r>
        <w:rPr>
          <w:rFonts w:hint="eastAsia" w:ascii="仿宋" w:hAnsi="仿宋" w:eastAsia="仿宋" w:cs="仿宋"/>
          <w:color w:val="auto"/>
        </w:rPr>
        <w:t>年</w:t>
      </w:r>
      <w:r>
        <w:rPr>
          <w:rFonts w:hint="eastAsia" w:ascii="仿宋" w:hAnsi="仿宋" w:eastAsia="仿宋" w:cs="仿宋"/>
          <w:color w:val="auto"/>
          <w:lang w:val="en-US"/>
        </w:rPr>
        <w:t xml:space="preserve">  </w:t>
      </w:r>
      <w:r>
        <w:rPr>
          <w:rFonts w:hint="eastAsia" w:ascii="仿宋" w:hAnsi="仿宋" w:eastAsia="仿宋" w:cs="仿宋"/>
          <w:color w:val="auto"/>
        </w:rPr>
        <w:t>月</w:t>
      </w:r>
      <w:r>
        <w:rPr>
          <w:rFonts w:hint="eastAsia" w:ascii="仿宋" w:hAnsi="仿宋" w:eastAsia="仿宋" w:cs="仿宋"/>
          <w:color w:val="auto"/>
          <w:lang w:val="en-US"/>
        </w:rPr>
        <w:t xml:space="preserve">  </w:t>
      </w:r>
      <w:r>
        <w:rPr>
          <w:rFonts w:hint="eastAsia" w:ascii="仿宋" w:hAnsi="仿宋" w:eastAsia="仿宋" w:cs="仿宋"/>
          <w:color w:val="auto"/>
          <w:spacing w:val="-17"/>
        </w:rPr>
        <w:t>日</w:t>
      </w:r>
    </w:p>
    <w:p w14:paraId="148A059F">
      <w:pPr>
        <w:rPr>
          <w:color w:val="auto"/>
        </w:rPr>
      </w:pPr>
      <w:r>
        <w:rPr>
          <w:color w:val="auto"/>
        </w:rPr>
        <w:br w:type="page"/>
      </w:r>
    </w:p>
    <w:p w14:paraId="74AFFFD5">
      <w:pPr>
        <w:spacing w:line="360" w:lineRule="auto"/>
        <w:ind w:left="1222" w:right="1218"/>
        <w:jc w:val="center"/>
        <w:rPr>
          <w:color w:val="auto"/>
          <w:lang w:val="en-US"/>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val="en-US"/>
        </w:rPr>
        <w:t>优惠条件及特殊承诺</w:t>
      </w:r>
    </w:p>
    <w:p w14:paraId="48E0FB44">
      <w:pPr>
        <w:spacing w:line="360" w:lineRule="auto"/>
        <w:rPr>
          <w:rFonts w:ascii="仿宋" w:hAnsi="仿宋" w:eastAsia="仿宋" w:cs="仿宋"/>
          <w:color w:val="auto"/>
          <w:sz w:val="24"/>
          <w:szCs w:val="24"/>
          <w:lang w:val="en-US"/>
        </w:rPr>
      </w:pPr>
      <w:r>
        <w:rPr>
          <w:rFonts w:hint="eastAsia" w:ascii="仿宋" w:hAnsi="仿宋" w:eastAsia="仿宋" w:cs="仿宋"/>
          <w:color w:val="auto"/>
          <w:sz w:val="24"/>
          <w:szCs w:val="24"/>
          <w:lang w:val="en-US"/>
        </w:rPr>
        <w:t>项目名称：</w:t>
      </w:r>
      <w:r>
        <w:rPr>
          <w:rFonts w:hint="eastAsia" w:ascii="仿宋" w:hAnsi="仿宋" w:eastAsia="仿宋" w:cs="仿宋"/>
          <w:color w:val="auto"/>
          <w:sz w:val="24"/>
          <w:szCs w:val="24"/>
          <w:lang w:val="en-US" w:eastAsia="zh-CN"/>
        </w:rPr>
        <w:t>龙港市世纪中学功能教室设备仪器采购项目</w:t>
      </w:r>
    </w:p>
    <w:p w14:paraId="79DBB0B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项目编号：</w:t>
      </w:r>
      <w:r>
        <w:rPr>
          <w:rFonts w:hint="eastAsia" w:ascii="仿宋" w:hAnsi="仿宋" w:eastAsia="仿宋" w:cs="仿宋"/>
          <w:color w:val="auto"/>
          <w:sz w:val="24"/>
          <w:szCs w:val="24"/>
          <w:lang w:val="en-US" w:eastAsia="zh-CN"/>
        </w:rPr>
        <w:t>LGCG2025129</w:t>
      </w:r>
    </w:p>
    <w:tbl>
      <w:tblPr>
        <w:tblStyle w:val="27"/>
        <w:tblW w:w="0" w:type="auto"/>
        <w:tblInd w:w="0" w:type="dxa"/>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66"/>
      </w:tblGrid>
      <w:tr w14:paraId="2D649033">
        <w:tblPrEx>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10882" w:hRule="atLeast"/>
        </w:trPr>
        <w:tc>
          <w:tcPr>
            <w:tcW w:w="10266" w:type="dxa"/>
            <w:tcBorders>
              <w:tl2br w:val="nil"/>
              <w:tr2bl w:val="nil"/>
            </w:tcBorders>
            <w:vAlign w:val="center"/>
          </w:tcPr>
          <w:p w14:paraId="10A472C1">
            <w:pPr>
              <w:spacing w:line="360" w:lineRule="auto"/>
              <w:jc w:val="center"/>
              <w:rPr>
                <w:color w:val="auto"/>
              </w:rPr>
            </w:pPr>
          </w:p>
        </w:tc>
      </w:tr>
    </w:tbl>
    <w:p w14:paraId="04AA42F6">
      <w:pPr>
        <w:spacing w:line="360" w:lineRule="auto"/>
        <w:rPr>
          <w:rFonts w:ascii="仿宋" w:hAnsi="仿宋" w:eastAsia="仿宋" w:cs="仿宋"/>
          <w:color w:val="auto"/>
          <w:sz w:val="24"/>
          <w:szCs w:val="24"/>
          <w:lang w:val="en-US"/>
        </w:rPr>
      </w:pPr>
    </w:p>
    <w:p w14:paraId="553B594B">
      <w:pPr>
        <w:pStyle w:val="2"/>
        <w:tabs>
          <w:tab w:val="left" w:pos="6591"/>
          <w:tab w:val="left" w:pos="7071"/>
          <w:tab w:val="left" w:pos="7671"/>
        </w:tabs>
        <w:spacing w:line="388" w:lineRule="auto"/>
        <w:ind w:right="2132"/>
        <w:rPr>
          <w:rFonts w:ascii="仿宋" w:hAnsi="仿宋" w:eastAsia="仿宋" w:cs="仿宋"/>
          <w:color w:val="auto"/>
          <w:lang w:val="en-US"/>
        </w:rPr>
      </w:pPr>
      <w:r>
        <w:rPr>
          <w:rFonts w:hint="eastAsia" w:ascii="仿宋" w:hAnsi="仿宋" w:eastAsia="仿宋" w:cs="仿宋"/>
          <w:color w:val="auto"/>
          <w:kern w:val="0"/>
          <w:sz w:val="24"/>
          <w:lang w:val="zh-CN"/>
        </w:rPr>
        <w:t>投标人名称(电子签名)：</w:t>
      </w:r>
    </w:p>
    <w:p w14:paraId="18FB304C">
      <w:pPr>
        <w:pStyle w:val="2"/>
        <w:tabs>
          <w:tab w:val="left" w:pos="6591"/>
          <w:tab w:val="left" w:pos="7071"/>
          <w:tab w:val="left" w:pos="7671"/>
        </w:tabs>
        <w:spacing w:line="388" w:lineRule="auto"/>
        <w:ind w:right="2132"/>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lang w:val="en-US"/>
        </w:rPr>
        <w:t xml:space="preserve">    </w:t>
      </w:r>
      <w:r>
        <w:rPr>
          <w:rFonts w:hint="eastAsia" w:ascii="仿宋" w:hAnsi="仿宋" w:eastAsia="仿宋" w:cs="仿宋"/>
          <w:color w:val="auto"/>
        </w:rPr>
        <w:t>年</w:t>
      </w:r>
      <w:r>
        <w:rPr>
          <w:rFonts w:hint="eastAsia" w:ascii="仿宋" w:hAnsi="仿宋" w:eastAsia="仿宋" w:cs="仿宋"/>
          <w:color w:val="auto"/>
          <w:lang w:val="en-US"/>
        </w:rPr>
        <w:t xml:space="preserve">  </w:t>
      </w:r>
      <w:r>
        <w:rPr>
          <w:rFonts w:hint="eastAsia" w:ascii="仿宋" w:hAnsi="仿宋" w:eastAsia="仿宋" w:cs="仿宋"/>
          <w:color w:val="auto"/>
        </w:rPr>
        <w:t>月</w:t>
      </w:r>
      <w:r>
        <w:rPr>
          <w:rFonts w:hint="eastAsia" w:ascii="仿宋" w:hAnsi="仿宋" w:eastAsia="仿宋" w:cs="仿宋"/>
          <w:color w:val="auto"/>
          <w:lang w:val="en-US"/>
        </w:rPr>
        <w:t xml:space="preserve">  </w:t>
      </w:r>
      <w:r>
        <w:rPr>
          <w:rFonts w:hint="eastAsia" w:ascii="仿宋" w:hAnsi="仿宋" w:eastAsia="仿宋" w:cs="仿宋"/>
          <w:color w:val="auto"/>
          <w:spacing w:val="-17"/>
        </w:rPr>
        <w:t>日</w:t>
      </w:r>
    </w:p>
    <w:p w14:paraId="06186124">
      <w:pPr>
        <w:rPr>
          <w:color w:val="auto"/>
        </w:rPr>
      </w:pPr>
      <w:r>
        <w:rPr>
          <w:color w:val="auto"/>
        </w:rPr>
        <w:br w:type="page"/>
      </w:r>
    </w:p>
    <w:p w14:paraId="3CB8E230">
      <w:pPr>
        <w:spacing w:line="360" w:lineRule="auto"/>
        <w:ind w:left="1222" w:right="1218"/>
        <w:jc w:val="center"/>
        <w:rPr>
          <w:rFonts w:hint="default"/>
          <w:color w:val="auto"/>
          <w:lang w:val="en-US" w:eastAsia="zh-CN"/>
        </w:rPr>
      </w:pPr>
      <w:r>
        <w:rPr>
          <w:rFonts w:hint="eastAsia" w:ascii="仿宋" w:hAnsi="仿宋" w:eastAsia="仿宋" w:cs="仿宋"/>
          <w:color w:val="auto"/>
          <w:sz w:val="32"/>
          <w:szCs w:val="32"/>
          <w:lang w:val="en-US" w:eastAsia="zh-CN"/>
        </w:rPr>
        <w:t>(11)对本项目的合理化建议和改进措施</w:t>
      </w:r>
    </w:p>
    <w:p w14:paraId="64BCB0D0">
      <w:pPr>
        <w:spacing w:line="360" w:lineRule="auto"/>
        <w:rPr>
          <w:rFonts w:ascii="仿宋" w:hAnsi="仿宋" w:eastAsia="仿宋" w:cs="仿宋"/>
          <w:color w:val="auto"/>
          <w:sz w:val="24"/>
          <w:szCs w:val="24"/>
          <w:lang w:val="en-US"/>
        </w:rPr>
      </w:pPr>
      <w:r>
        <w:rPr>
          <w:rFonts w:hint="eastAsia" w:ascii="仿宋" w:hAnsi="仿宋" w:eastAsia="仿宋" w:cs="仿宋"/>
          <w:color w:val="auto"/>
          <w:sz w:val="24"/>
          <w:szCs w:val="24"/>
          <w:lang w:val="en-US"/>
        </w:rPr>
        <w:t>项目名称：</w:t>
      </w:r>
      <w:r>
        <w:rPr>
          <w:rFonts w:hint="eastAsia" w:ascii="仿宋" w:hAnsi="仿宋" w:eastAsia="仿宋" w:cs="仿宋"/>
          <w:color w:val="auto"/>
          <w:sz w:val="24"/>
          <w:szCs w:val="24"/>
          <w:lang w:val="en-US" w:eastAsia="zh-CN"/>
        </w:rPr>
        <w:t>龙港市世纪中学功能教室设备仪器采购项目</w:t>
      </w:r>
    </w:p>
    <w:p w14:paraId="3936420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项目编号：</w:t>
      </w:r>
      <w:r>
        <w:rPr>
          <w:rFonts w:hint="eastAsia" w:ascii="仿宋" w:hAnsi="仿宋" w:eastAsia="仿宋" w:cs="仿宋"/>
          <w:color w:val="auto"/>
          <w:sz w:val="24"/>
          <w:szCs w:val="24"/>
          <w:lang w:val="en-US" w:eastAsia="zh-CN"/>
        </w:rPr>
        <w:t>LGCG2025129</w:t>
      </w:r>
    </w:p>
    <w:tbl>
      <w:tblPr>
        <w:tblStyle w:val="27"/>
        <w:tblW w:w="0" w:type="auto"/>
        <w:tblInd w:w="0" w:type="dxa"/>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66"/>
      </w:tblGrid>
      <w:tr w14:paraId="38FABF88">
        <w:tblPrEx>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10882" w:hRule="atLeast"/>
        </w:trPr>
        <w:tc>
          <w:tcPr>
            <w:tcW w:w="10266" w:type="dxa"/>
            <w:tcBorders>
              <w:tl2br w:val="nil"/>
              <w:tr2bl w:val="nil"/>
            </w:tcBorders>
            <w:vAlign w:val="center"/>
          </w:tcPr>
          <w:p w14:paraId="0315B7E6">
            <w:pPr>
              <w:spacing w:line="360" w:lineRule="auto"/>
              <w:jc w:val="center"/>
              <w:rPr>
                <w:color w:val="auto"/>
              </w:rPr>
            </w:pPr>
          </w:p>
        </w:tc>
      </w:tr>
    </w:tbl>
    <w:p w14:paraId="619EC65A">
      <w:pPr>
        <w:spacing w:line="360" w:lineRule="auto"/>
        <w:rPr>
          <w:rFonts w:ascii="仿宋" w:hAnsi="仿宋" w:eastAsia="仿宋" w:cs="仿宋"/>
          <w:color w:val="auto"/>
          <w:sz w:val="24"/>
          <w:szCs w:val="24"/>
          <w:lang w:val="en-US"/>
        </w:rPr>
      </w:pPr>
    </w:p>
    <w:p w14:paraId="7C02E92C">
      <w:pPr>
        <w:spacing w:line="360" w:lineRule="auto"/>
        <w:rPr>
          <w:rFonts w:ascii="仿宋" w:hAnsi="仿宋" w:eastAsia="仿宋" w:cs="仿宋"/>
          <w:color w:val="auto"/>
          <w:sz w:val="24"/>
          <w:szCs w:val="24"/>
          <w:lang w:val="en-US"/>
        </w:rPr>
      </w:pPr>
      <w:r>
        <w:rPr>
          <w:rFonts w:hint="eastAsia" w:ascii="仿宋" w:hAnsi="仿宋" w:eastAsia="仿宋" w:cs="仿宋"/>
          <w:color w:val="auto"/>
          <w:sz w:val="24"/>
          <w:szCs w:val="24"/>
          <w:lang w:val="en-US"/>
        </w:rPr>
        <w:t>投标人名称（加盖公章）：</w:t>
      </w:r>
    </w:p>
    <w:p w14:paraId="7CC63CE6">
      <w:pPr>
        <w:rPr>
          <w:color w:val="auto"/>
        </w:rPr>
      </w:pPr>
      <w:r>
        <w:rPr>
          <w:rFonts w:hint="eastAsia" w:ascii="仿宋" w:hAnsi="仿宋" w:eastAsia="仿宋" w:cs="仿宋"/>
          <w:color w:val="auto"/>
          <w:sz w:val="24"/>
          <w:szCs w:val="24"/>
          <w:lang w:val="en-US"/>
        </w:rPr>
        <w:t>日期：    年  月  日</w:t>
      </w:r>
      <w:r>
        <w:rPr>
          <w:color w:val="auto"/>
        </w:rPr>
        <w:br w:type="page"/>
      </w:r>
    </w:p>
    <w:p w14:paraId="5B37D7C3">
      <w:pPr>
        <w:spacing w:line="360" w:lineRule="auto"/>
        <w:ind w:left="1222" w:right="1218"/>
        <w:jc w:val="center"/>
        <w:rPr>
          <w:rFonts w:hint="default"/>
          <w:color w:val="auto"/>
          <w:lang w:val="en-US"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val="en-US"/>
        </w:rPr>
        <w:t>关于对采购文件中有关条款的拒绝声明</w:t>
      </w:r>
    </w:p>
    <w:p w14:paraId="09789DCF">
      <w:pPr>
        <w:spacing w:line="360" w:lineRule="auto"/>
        <w:rPr>
          <w:rFonts w:ascii="仿宋" w:hAnsi="仿宋" w:eastAsia="仿宋" w:cs="仿宋"/>
          <w:color w:val="auto"/>
          <w:sz w:val="24"/>
          <w:szCs w:val="24"/>
          <w:lang w:val="en-US"/>
        </w:rPr>
      </w:pPr>
      <w:r>
        <w:rPr>
          <w:rFonts w:hint="eastAsia" w:ascii="仿宋" w:hAnsi="仿宋" w:eastAsia="仿宋" w:cs="仿宋"/>
          <w:color w:val="auto"/>
          <w:sz w:val="24"/>
          <w:szCs w:val="24"/>
          <w:lang w:val="en-US"/>
        </w:rPr>
        <w:t>项目名称：</w:t>
      </w:r>
      <w:r>
        <w:rPr>
          <w:rFonts w:hint="eastAsia" w:ascii="仿宋" w:hAnsi="仿宋" w:eastAsia="仿宋" w:cs="仿宋"/>
          <w:color w:val="auto"/>
          <w:sz w:val="24"/>
          <w:szCs w:val="24"/>
          <w:lang w:val="en-US" w:eastAsia="zh-CN"/>
        </w:rPr>
        <w:t>龙港市世纪中学功能教室设备仪器采购项目</w:t>
      </w:r>
    </w:p>
    <w:p w14:paraId="5ED250B8">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项目编号：</w:t>
      </w:r>
      <w:r>
        <w:rPr>
          <w:rFonts w:hint="eastAsia" w:ascii="仿宋" w:hAnsi="仿宋" w:eastAsia="仿宋" w:cs="仿宋"/>
          <w:color w:val="auto"/>
          <w:sz w:val="24"/>
          <w:szCs w:val="24"/>
          <w:lang w:val="en-US" w:eastAsia="zh-CN"/>
        </w:rPr>
        <w:t>LGCG2025129</w:t>
      </w:r>
    </w:p>
    <w:tbl>
      <w:tblPr>
        <w:tblStyle w:val="27"/>
        <w:tblW w:w="0" w:type="auto"/>
        <w:tblInd w:w="0" w:type="dxa"/>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66"/>
      </w:tblGrid>
      <w:tr w14:paraId="6F9047D3">
        <w:tblPrEx>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10882" w:hRule="atLeast"/>
        </w:trPr>
        <w:tc>
          <w:tcPr>
            <w:tcW w:w="10266" w:type="dxa"/>
            <w:tcBorders>
              <w:tl2br w:val="nil"/>
              <w:tr2bl w:val="nil"/>
            </w:tcBorders>
            <w:vAlign w:val="center"/>
          </w:tcPr>
          <w:p w14:paraId="29550902">
            <w:pPr>
              <w:spacing w:line="360" w:lineRule="auto"/>
              <w:jc w:val="center"/>
              <w:rPr>
                <w:color w:val="auto"/>
              </w:rPr>
            </w:pPr>
          </w:p>
        </w:tc>
      </w:tr>
    </w:tbl>
    <w:p w14:paraId="436A9C1D">
      <w:pPr>
        <w:spacing w:line="360" w:lineRule="auto"/>
        <w:rPr>
          <w:rFonts w:ascii="仿宋" w:hAnsi="仿宋" w:eastAsia="仿宋" w:cs="仿宋"/>
          <w:color w:val="auto"/>
          <w:sz w:val="24"/>
          <w:szCs w:val="24"/>
          <w:lang w:val="en-US"/>
        </w:rPr>
      </w:pPr>
    </w:p>
    <w:p w14:paraId="1B6CDE52">
      <w:pPr>
        <w:spacing w:line="360" w:lineRule="auto"/>
        <w:rPr>
          <w:rFonts w:ascii="仿宋" w:hAnsi="仿宋" w:eastAsia="仿宋" w:cs="仿宋"/>
          <w:color w:val="auto"/>
          <w:sz w:val="24"/>
          <w:szCs w:val="24"/>
          <w:lang w:val="en-US"/>
        </w:rPr>
      </w:pPr>
      <w:r>
        <w:rPr>
          <w:rFonts w:hint="eastAsia" w:ascii="仿宋" w:hAnsi="仿宋" w:eastAsia="仿宋" w:cs="仿宋"/>
          <w:color w:val="auto"/>
          <w:sz w:val="24"/>
          <w:szCs w:val="24"/>
          <w:lang w:val="en-US"/>
        </w:rPr>
        <w:t>投标人名称（加盖公章）：</w:t>
      </w:r>
    </w:p>
    <w:p w14:paraId="317000AA">
      <w:pPr>
        <w:rPr>
          <w:color w:val="auto"/>
        </w:rPr>
      </w:pPr>
      <w:r>
        <w:rPr>
          <w:rFonts w:hint="eastAsia" w:ascii="仿宋" w:hAnsi="仿宋" w:eastAsia="仿宋" w:cs="仿宋"/>
          <w:color w:val="auto"/>
          <w:sz w:val="24"/>
          <w:szCs w:val="24"/>
          <w:lang w:val="en-US"/>
        </w:rPr>
        <w:t>日期：    年  月  日</w:t>
      </w:r>
      <w:r>
        <w:rPr>
          <w:color w:val="auto"/>
        </w:rPr>
        <w:br w:type="page"/>
      </w:r>
    </w:p>
    <w:p w14:paraId="4E25E8D1">
      <w:pPr>
        <w:pStyle w:val="9"/>
        <w:spacing w:line="360" w:lineRule="auto"/>
        <w:ind w:left="0"/>
        <w:jc w:val="both"/>
        <w:rPr>
          <w:rFonts w:ascii="仿宋" w:hAnsi="仿宋" w:eastAsia="仿宋" w:cs="仿宋"/>
          <w:color w:val="auto"/>
          <w:sz w:val="32"/>
          <w:szCs w:val="32"/>
          <w:lang w:val="en-US"/>
        </w:rPr>
      </w:pPr>
    </w:p>
    <w:p w14:paraId="305A6F9B">
      <w:pPr>
        <w:pStyle w:val="9"/>
        <w:spacing w:line="360" w:lineRule="auto"/>
        <w:ind w:left="0"/>
        <w:jc w:val="both"/>
        <w:rPr>
          <w:rFonts w:ascii="仿宋" w:hAnsi="仿宋" w:eastAsia="仿宋" w:cs="仿宋"/>
          <w:color w:val="auto"/>
          <w:sz w:val="32"/>
          <w:szCs w:val="32"/>
          <w:lang w:val="en-US"/>
        </w:rPr>
      </w:pPr>
    </w:p>
    <w:p w14:paraId="775DCC1C">
      <w:pPr>
        <w:spacing w:line="360" w:lineRule="auto"/>
        <w:jc w:val="center"/>
        <w:rPr>
          <w:rFonts w:ascii="仿宋" w:hAnsi="仿宋" w:eastAsia="仿宋" w:cs="仿宋"/>
          <w:color w:val="auto"/>
          <w:sz w:val="32"/>
          <w:szCs w:val="32"/>
          <w:lang w:val="en-US"/>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val="en-US"/>
        </w:rPr>
        <w:t>投标产品属于政府采购节能、环保产品认证证书</w:t>
      </w:r>
    </w:p>
    <w:p w14:paraId="32223A47">
      <w:pPr>
        <w:spacing w:line="360" w:lineRule="auto"/>
        <w:jc w:val="center"/>
        <w:rPr>
          <w:rFonts w:ascii="仿宋" w:hAnsi="仿宋" w:eastAsia="仿宋" w:cs="仿宋"/>
          <w:color w:val="auto"/>
          <w:sz w:val="32"/>
          <w:szCs w:val="32"/>
          <w:lang w:val="en-US"/>
        </w:rPr>
      </w:pPr>
      <w:r>
        <w:rPr>
          <w:rFonts w:hint="eastAsia" w:ascii="仿宋" w:hAnsi="仿宋" w:eastAsia="仿宋" w:cs="仿宋"/>
          <w:color w:val="auto"/>
          <w:sz w:val="32"/>
          <w:szCs w:val="32"/>
          <w:lang w:val="en-US"/>
        </w:rPr>
        <w:t>（如有，则提供）</w:t>
      </w:r>
    </w:p>
    <w:p w14:paraId="517405E6">
      <w:pPr>
        <w:rPr>
          <w:rFonts w:hint="default" w:eastAsia="宋体"/>
          <w:color w:val="auto"/>
          <w:lang w:val="en-US" w:eastAsia="zh-CN"/>
        </w:rPr>
      </w:pPr>
    </w:p>
    <w:p w14:paraId="6537E647">
      <w:pPr>
        <w:rPr>
          <w:color w:val="auto"/>
          <w:sz w:val="20"/>
        </w:rPr>
      </w:pPr>
    </w:p>
    <w:p w14:paraId="7EADBFE1">
      <w:pPr>
        <w:pStyle w:val="33"/>
        <w:rPr>
          <w:color w:val="auto"/>
          <w:sz w:val="20"/>
        </w:rPr>
      </w:pPr>
    </w:p>
    <w:p w14:paraId="291C0CA9">
      <w:pPr>
        <w:pStyle w:val="2"/>
        <w:rPr>
          <w:color w:val="auto"/>
          <w:sz w:val="20"/>
        </w:rPr>
      </w:pPr>
    </w:p>
    <w:p w14:paraId="4EC4B0EF">
      <w:pPr>
        <w:pStyle w:val="3"/>
        <w:ind w:firstLine="0"/>
        <w:rPr>
          <w:color w:val="auto"/>
          <w:sz w:val="20"/>
        </w:rPr>
      </w:pPr>
    </w:p>
    <w:p w14:paraId="1FC2AAB0">
      <w:pPr>
        <w:pStyle w:val="4"/>
        <w:ind w:left="0"/>
        <w:rPr>
          <w:color w:val="auto"/>
        </w:rPr>
      </w:pPr>
    </w:p>
    <w:p w14:paraId="02711E48">
      <w:pPr>
        <w:rPr>
          <w:color w:val="auto"/>
        </w:rPr>
      </w:pPr>
    </w:p>
    <w:p w14:paraId="03027276">
      <w:pPr>
        <w:pStyle w:val="33"/>
        <w:rPr>
          <w:color w:val="auto"/>
        </w:rPr>
      </w:pPr>
    </w:p>
    <w:p w14:paraId="65710FFE">
      <w:pPr>
        <w:pStyle w:val="33"/>
        <w:rPr>
          <w:color w:val="auto"/>
        </w:rPr>
      </w:pPr>
    </w:p>
    <w:p w14:paraId="7C519EBB">
      <w:pPr>
        <w:spacing w:line="360" w:lineRule="auto"/>
        <w:jc w:val="center"/>
        <w:rPr>
          <w:rFonts w:ascii="仿宋" w:hAnsi="仿宋" w:eastAsia="仿宋" w:cs="仿宋"/>
          <w:color w:val="auto"/>
          <w:sz w:val="32"/>
          <w:szCs w:val="32"/>
          <w:lang w:val="en-US"/>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val="en-US"/>
        </w:rPr>
        <w:t>投标人需要说明的其他文件和资料（格式自拟）</w:t>
      </w:r>
    </w:p>
    <w:p w14:paraId="093C63F4">
      <w:pPr>
        <w:rPr>
          <w:color w:val="auto"/>
          <w:sz w:val="20"/>
        </w:rPr>
      </w:pPr>
      <w:r>
        <w:rPr>
          <w:color w:val="auto"/>
          <w:sz w:val="20"/>
        </w:rPr>
        <w:br w:type="page"/>
      </w:r>
    </w:p>
    <w:p w14:paraId="58148BEB">
      <w:pPr>
        <w:rPr>
          <w:color w:val="auto"/>
          <w:sz w:val="20"/>
        </w:rPr>
      </w:pPr>
    </w:p>
    <w:p w14:paraId="685D9B06">
      <w:pPr>
        <w:rPr>
          <w:rFonts w:ascii="仿宋" w:hAnsi="仿宋" w:eastAsia="仿宋" w:cs="仿宋"/>
          <w:color w:val="auto"/>
        </w:rPr>
      </w:pPr>
      <w:r>
        <w:rPr>
          <w:rFonts w:hint="eastAsia" w:ascii="仿宋" w:hAnsi="仿宋" w:eastAsia="仿宋" w:cs="仿宋"/>
          <w:color w:val="auto"/>
          <w:sz w:val="28"/>
          <w:szCs w:val="28"/>
        </w:rPr>
        <w:t>封面格式（</w:t>
      </w:r>
      <w:r>
        <w:rPr>
          <w:rFonts w:hint="eastAsia" w:ascii="仿宋" w:hAnsi="仿宋" w:eastAsia="仿宋" w:cs="仿宋"/>
          <w:color w:val="auto"/>
          <w:sz w:val="28"/>
          <w:szCs w:val="28"/>
          <w:lang w:val="en-US"/>
        </w:rPr>
        <w:t>参考</w:t>
      </w:r>
      <w:r>
        <w:rPr>
          <w:rFonts w:hint="eastAsia" w:ascii="仿宋" w:hAnsi="仿宋" w:eastAsia="仿宋" w:cs="仿宋"/>
          <w:color w:val="auto"/>
          <w:sz w:val="28"/>
          <w:szCs w:val="28"/>
        </w:rPr>
        <w:t>）</w:t>
      </w:r>
    </w:p>
    <w:p w14:paraId="14B62495">
      <w:pPr>
        <w:pStyle w:val="2"/>
        <w:rPr>
          <w:rFonts w:ascii="仿宋" w:hAnsi="仿宋" w:eastAsia="仿宋" w:cs="仿宋"/>
          <w:color w:val="auto"/>
          <w:sz w:val="20"/>
        </w:rPr>
      </w:pPr>
    </w:p>
    <w:p w14:paraId="29876DD3">
      <w:pPr>
        <w:pStyle w:val="2"/>
        <w:rPr>
          <w:rFonts w:ascii="仿宋" w:hAnsi="仿宋" w:eastAsia="仿宋" w:cs="仿宋"/>
          <w:color w:val="auto"/>
          <w:sz w:val="20"/>
        </w:rPr>
      </w:pPr>
    </w:p>
    <w:p w14:paraId="14E5FB90">
      <w:pPr>
        <w:pStyle w:val="2"/>
        <w:rPr>
          <w:rFonts w:ascii="仿宋" w:hAnsi="仿宋" w:eastAsia="仿宋" w:cs="仿宋"/>
          <w:color w:val="auto"/>
          <w:sz w:val="20"/>
        </w:rPr>
      </w:pPr>
    </w:p>
    <w:p w14:paraId="06FFCAF5">
      <w:pPr>
        <w:jc w:val="center"/>
        <w:rPr>
          <w:rFonts w:hint="eastAsia" w:ascii="仿宋" w:hAnsi="仿宋" w:eastAsia="仿宋" w:cs="仿宋"/>
          <w:color w:val="auto"/>
          <w:sz w:val="52"/>
          <w:lang w:eastAsia="zh-CN"/>
        </w:rPr>
      </w:pPr>
      <w:r>
        <w:rPr>
          <w:rFonts w:hint="eastAsia" w:ascii="仿宋" w:hAnsi="仿宋" w:eastAsia="仿宋" w:cs="仿宋"/>
          <w:color w:val="auto"/>
          <w:sz w:val="52"/>
          <w:lang w:eastAsia="zh-CN"/>
        </w:rPr>
        <w:t>龙港市世纪中学功能教室设备仪器采购项目</w:t>
      </w:r>
    </w:p>
    <w:p w14:paraId="2AA16536">
      <w:pPr>
        <w:pStyle w:val="2"/>
        <w:spacing w:before="3"/>
        <w:rPr>
          <w:rFonts w:ascii="仿宋" w:hAnsi="仿宋" w:eastAsia="仿宋" w:cs="仿宋"/>
          <w:color w:val="auto"/>
          <w:sz w:val="41"/>
        </w:rPr>
      </w:pPr>
    </w:p>
    <w:p w14:paraId="10F934BB">
      <w:pPr>
        <w:ind w:left="1222" w:right="1134"/>
        <w:jc w:val="center"/>
        <w:rPr>
          <w:rFonts w:hint="eastAsia" w:ascii="仿宋" w:hAnsi="仿宋" w:eastAsia="仿宋" w:cs="仿宋"/>
          <w:color w:val="auto"/>
          <w:sz w:val="36"/>
          <w:lang w:val="en-US" w:eastAsia="zh-CN"/>
        </w:rPr>
      </w:pPr>
      <w:r>
        <w:rPr>
          <w:rFonts w:hint="eastAsia" w:ascii="仿宋" w:hAnsi="仿宋" w:eastAsia="仿宋" w:cs="仿宋"/>
          <w:color w:val="auto"/>
          <w:sz w:val="36"/>
        </w:rPr>
        <w:t>项目编号：</w:t>
      </w:r>
      <w:r>
        <w:rPr>
          <w:rFonts w:hint="eastAsia" w:ascii="仿宋" w:hAnsi="仿宋" w:eastAsia="仿宋" w:cs="仿宋"/>
          <w:color w:val="auto"/>
          <w:sz w:val="36"/>
          <w:lang w:val="en-US" w:eastAsia="zh-CN"/>
        </w:rPr>
        <w:t>LGCG2025129</w:t>
      </w:r>
    </w:p>
    <w:p w14:paraId="142F41EE">
      <w:pPr>
        <w:pStyle w:val="2"/>
        <w:rPr>
          <w:rFonts w:ascii="仿宋" w:hAnsi="仿宋" w:eastAsia="仿宋" w:cs="仿宋"/>
          <w:color w:val="auto"/>
          <w:sz w:val="36"/>
        </w:rPr>
      </w:pPr>
    </w:p>
    <w:p w14:paraId="3461B806">
      <w:pPr>
        <w:pStyle w:val="2"/>
        <w:rPr>
          <w:rFonts w:ascii="仿宋" w:hAnsi="仿宋" w:eastAsia="仿宋" w:cs="仿宋"/>
          <w:color w:val="auto"/>
          <w:sz w:val="36"/>
        </w:rPr>
      </w:pPr>
    </w:p>
    <w:p w14:paraId="6C561130">
      <w:pPr>
        <w:pStyle w:val="2"/>
        <w:rPr>
          <w:rFonts w:ascii="仿宋" w:hAnsi="仿宋" w:eastAsia="仿宋" w:cs="仿宋"/>
          <w:color w:val="auto"/>
          <w:sz w:val="36"/>
        </w:rPr>
      </w:pPr>
    </w:p>
    <w:p w14:paraId="06EC755A">
      <w:pPr>
        <w:pStyle w:val="2"/>
        <w:spacing w:before="4"/>
        <w:rPr>
          <w:rFonts w:ascii="仿宋" w:hAnsi="仿宋" w:eastAsia="仿宋" w:cs="仿宋"/>
          <w:color w:val="auto"/>
          <w:sz w:val="26"/>
        </w:rPr>
      </w:pPr>
    </w:p>
    <w:p w14:paraId="5FE94B6C">
      <w:pPr>
        <w:spacing w:line="460" w:lineRule="auto"/>
        <w:ind w:left="4764" w:right="4758"/>
        <w:jc w:val="both"/>
        <w:rPr>
          <w:rFonts w:ascii="仿宋" w:hAnsi="仿宋" w:eastAsia="仿宋" w:cs="仿宋"/>
          <w:b/>
          <w:color w:val="auto"/>
          <w:sz w:val="52"/>
        </w:rPr>
      </w:pPr>
      <w:r>
        <w:rPr>
          <w:rFonts w:hint="eastAsia" w:ascii="仿宋" w:hAnsi="仿宋" w:eastAsia="仿宋" w:cs="仿宋"/>
          <w:b/>
          <w:color w:val="auto"/>
          <w:sz w:val="52"/>
        </w:rPr>
        <w:t>报价文件</w:t>
      </w:r>
    </w:p>
    <w:p w14:paraId="06C4526B">
      <w:pPr>
        <w:pStyle w:val="2"/>
        <w:spacing w:before="11"/>
        <w:rPr>
          <w:rFonts w:ascii="仿宋" w:hAnsi="仿宋" w:eastAsia="仿宋" w:cs="仿宋"/>
          <w:b/>
          <w:color w:val="auto"/>
          <w:sz w:val="65"/>
        </w:rPr>
      </w:pPr>
    </w:p>
    <w:p w14:paraId="0A5F3224">
      <w:pPr>
        <w:spacing w:line="360" w:lineRule="auto"/>
        <w:ind w:firstLine="1400" w:firstLineChars="500"/>
        <w:rPr>
          <w:rFonts w:ascii="仿宋" w:hAnsi="仿宋" w:eastAsia="仿宋" w:cs="仿宋"/>
          <w:color w:val="auto"/>
          <w:sz w:val="28"/>
          <w:szCs w:val="20"/>
        </w:rPr>
      </w:pPr>
      <w:r>
        <w:rPr>
          <w:rFonts w:hint="eastAsia" w:ascii="仿宋" w:hAnsi="仿宋" w:eastAsia="仿宋" w:cs="仿宋"/>
          <w:color w:val="auto"/>
          <w:sz w:val="28"/>
          <w:szCs w:val="20"/>
          <w:lang w:val="en-US" w:eastAsia="zh-CN"/>
        </w:rPr>
        <w:t>采购人名称</w:t>
      </w:r>
      <w:r>
        <w:rPr>
          <w:rFonts w:hint="eastAsia" w:ascii="仿宋" w:hAnsi="仿宋" w:eastAsia="仿宋" w:cs="仿宋"/>
          <w:color w:val="auto"/>
          <w:sz w:val="28"/>
          <w:szCs w:val="20"/>
        </w:rPr>
        <w:t>：</w:t>
      </w:r>
    </w:p>
    <w:p w14:paraId="2C6F308F">
      <w:pPr>
        <w:tabs>
          <w:tab w:val="left" w:pos="2391"/>
        </w:tabs>
        <w:spacing w:line="360" w:lineRule="auto"/>
        <w:ind w:firstLine="1400" w:firstLineChars="500"/>
        <w:rPr>
          <w:rFonts w:ascii="仿宋" w:hAnsi="仿宋" w:eastAsia="仿宋" w:cs="仿宋"/>
          <w:color w:val="auto"/>
          <w:spacing w:val="-9"/>
          <w:sz w:val="28"/>
          <w:szCs w:val="20"/>
        </w:rPr>
      </w:pPr>
      <w:r>
        <w:rPr>
          <w:rFonts w:hint="eastAsia" w:ascii="仿宋" w:hAnsi="仿宋" w:eastAsia="仿宋" w:cs="仿宋"/>
          <w:color w:val="auto"/>
          <w:sz w:val="28"/>
          <w:szCs w:val="20"/>
        </w:rPr>
        <w:t>投标人名称（加盖公章）</w:t>
      </w:r>
      <w:r>
        <w:rPr>
          <w:rFonts w:hint="eastAsia" w:ascii="仿宋" w:hAnsi="仿宋" w:eastAsia="仿宋" w:cs="仿宋"/>
          <w:color w:val="auto"/>
          <w:spacing w:val="-9"/>
          <w:sz w:val="28"/>
          <w:szCs w:val="20"/>
        </w:rPr>
        <w:t>：</w:t>
      </w:r>
    </w:p>
    <w:p w14:paraId="50277ACE">
      <w:pPr>
        <w:tabs>
          <w:tab w:val="left" w:pos="2391"/>
        </w:tabs>
        <w:spacing w:line="360" w:lineRule="auto"/>
        <w:ind w:firstLine="1400" w:firstLineChars="500"/>
        <w:rPr>
          <w:rFonts w:ascii="仿宋" w:hAnsi="仿宋" w:eastAsia="仿宋" w:cs="仿宋"/>
          <w:color w:val="auto"/>
          <w:sz w:val="28"/>
          <w:szCs w:val="20"/>
        </w:rPr>
      </w:pPr>
      <w:r>
        <w:rPr>
          <w:rFonts w:hint="eastAsia" w:ascii="仿宋" w:hAnsi="仿宋" w:eastAsia="仿宋" w:cs="仿宋"/>
          <w:color w:val="auto"/>
          <w:sz w:val="28"/>
          <w:szCs w:val="20"/>
        </w:rPr>
        <w:t>地</w:t>
      </w:r>
      <w:r>
        <w:rPr>
          <w:rFonts w:hint="eastAsia" w:ascii="仿宋" w:hAnsi="仿宋" w:eastAsia="仿宋" w:cs="仿宋"/>
          <w:color w:val="auto"/>
          <w:sz w:val="28"/>
          <w:szCs w:val="20"/>
          <w:lang w:val="en-US"/>
        </w:rPr>
        <w:t xml:space="preserve">    </w:t>
      </w:r>
      <w:r>
        <w:rPr>
          <w:rFonts w:hint="eastAsia" w:ascii="仿宋" w:hAnsi="仿宋" w:eastAsia="仿宋" w:cs="仿宋"/>
          <w:color w:val="auto"/>
          <w:sz w:val="28"/>
          <w:szCs w:val="20"/>
        </w:rPr>
        <w:t>址：</w:t>
      </w:r>
    </w:p>
    <w:p w14:paraId="0BBC12D9">
      <w:pPr>
        <w:tabs>
          <w:tab w:val="left" w:pos="2391"/>
        </w:tabs>
        <w:spacing w:line="360" w:lineRule="auto"/>
        <w:ind w:firstLine="1400" w:firstLineChars="500"/>
        <w:rPr>
          <w:rFonts w:ascii="仿宋" w:hAnsi="仿宋" w:eastAsia="仿宋" w:cs="仿宋"/>
          <w:color w:val="auto"/>
          <w:sz w:val="28"/>
          <w:szCs w:val="20"/>
        </w:rPr>
      </w:pPr>
      <w:r>
        <w:rPr>
          <w:rFonts w:hint="eastAsia" w:ascii="仿宋" w:hAnsi="仿宋" w:eastAsia="仿宋" w:cs="仿宋"/>
          <w:color w:val="auto"/>
          <w:sz w:val="28"/>
          <w:szCs w:val="20"/>
        </w:rPr>
        <w:t>时</w:t>
      </w:r>
      <w:r>
        <w:rPr>
          <w:rFonts w:hint="eastAsia" w:ascii="仿宋" w:hAnsi="仿宋" w:eastAsia="仿宋" w:cs="仿宋"/>
          <w:color w:val="auto"/>
          <w:sz w:val="28"/>
          <w:szCs w:val="20"/>
          <w:lang w:val="en-US"/>
        </w:rPr>
        <w:t xml:space="preserve">    </w:t>
      </w:r>
      <w:r>
        <w:rPr>
          <w:rFonts w:hint="eastAsia" w:ascii="仿宋" w:hAnsi="仿宋" w:eastAsia="仿宋" w:cs="仿宋"/>
          <w:color w:val="auto"/>
          <w:sz w:val="28"/>
          <w:szCs w:val="20"/>
        </w:rPr>
        <w:t>间：</w:t>
      </w:r>
    </w:p>
    <w:p w14:paraId="5622CD66">
      <w:pPr>
        <w:rPr>
          <w:color w:val="auto"/>
          <w:sz w:val="28"/>
          <w:szCs w:val="20"/>
        </w:rPr>
      </w:pPr>
      <w:r>
        <w:rPr>
          <w:color w:val="auto"/>
          <w:sz w:val="28"/>
          <w:szCs w:val="20"/>
        </w:rPr>
        <w:br w:type="page"/>
      </w:r>
    </w:p>
    <w:p w14:paraId="3C399490">
      <w:pPr>
        <w:pStyle w:val="2"/>
        <w:spacing w:line="360" w:lineRule="auto"/>
        <w:ind w:firstLine="480" w:firstLineChars="200"/>
        <w:rPr>
          <w:rFonts w:ascii="仿宋" w:hAnsi="仿宋" w:eastAsia="仿宋" w:cs="仿宋"/>
          <w:color w:val="auto"/>
        </w:rPr>
      </w:pPr>
    </w:p>
    <w:p w14:paraId="7D533BD4">
      <w:pPr>
        <w:pStyle w:val="2"/>
        <w:spacing w:line="360" w:lineRule="auto"/>
        <w:ind w:firstLine="480" w:firstLineChars="200"/>
        <w:rPr>
          <w:rFonts w:ascii="仿宋" w:hAnsi="仿宋" w:eastAsia="仿宋" w:cs="仿宋"/>
          <w:color w:val="auto"/>
        </w:rPr>
      </w:pPr>
    </w:p>
    <w:p w14:paraId="042AAFE4">
      <w:pPr>
        <w:pStyle w:val="2"/>
        <w:spacing w:line="360" w:lineRule="auto"/>
        <w:ind w:firstLine="480" w:firstLineChars="200"/>
        <w:rPr>
          <w:rFonts w:ascii="仿宋" w:hAnsi="仿宋" w:eastAsia="仿宋" w:cs="仿宋"/>
          <w:color w:val="auto"/>
        </w:rPr>
      </w:pPr>
    </w:p>
    <w:p w14:paraId="7FEFE63F">
      <w:pPr>
        <w:pStyle w:val="2"/>
        <w:spacing w:line="360" w:lineRule="auto"/>
        <w:ind w:firstLine="562" w:firstLineChars="200"/>
        <w:rPr>
          <w:rFonts w:ascii="仿宋" w:hAnsi="仿宋" w:eastAsia="仿宋" w:cs="仿宋"/>
          <w:color w:val="auto"/>
          <w:lang w:val="en-US"/>
        </w:rPr>
      </w:pPr>
      <w:r>
        <w:rPr>
          <w:rFonts w:hint="eastAsia" w:ascii="仿宋" w:hAnsi="仿宋" w:eastAsia="仿宋" w:cs="仿宋"/>
          <w:b/>
          <w:bCs/>
          <w:color w:val="auto"/>
          <w:sz w:val="28"/>
          <w:szCs w:val="28"/>
        </w:rPr>
        <w:t>▲报价文件</w:t>
      </w:r>
      <w:r>
        <w:rPr>
          <w:rFonts w:hint="eastAsia" w:ascii="仿宋" w:hAnsi="仿宋" w:eastAsia="仿宋" w:cs="仿宋"/>
          <w:b/>
          <w:bCs/>
          <w:color w:val="auto"/>
          <w:sz w:val="28"/>
          <w:szCs w:val="28"/>
          <w:lang w:val="en-US"/>
        </w:rPr>
        <w:t>组成内容：</w:t>
      </w:r>
    </w:p>
    <w:p w14:paraId="153D372A">
      <w:pPr>
        <w:pStyle w:val="36"/>
        <w:tabs>
          <w:tab w:val="left" w:pos="1673"/>
        </w:tabs>
        <w:spacing w:line="360" w:lineRule="auto"/>
        <w:ind w:left="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rPr>
        <w:t>1</w:t>
      </w:r>
      <w:r>
        <w:rPr>
          <w:rFonts w:hint="eastAsia" w:ascii="仿宋" w:hAnsi="仿宋" w:eastAsia="仿宋" w:cs="仿宋"/>
          <w:color w:val="auto"/>
          <w:sz w:val="24"/>
        </w:rPr>
        <w:t>）</w:t>
      </w:r>
      <w:r>
        <w:rPr>
          <w:rFonts w:hint="eastAsia" w:ascii="仿宋" w:hAnsi="仿宋" w:eastAsia="仿宋" w:cs="仿宋"/>
          <w:color w:val="auto"/>
          <w:sz w:val="24"/>
          <w:lang w:val="en-US"/>
        </w:rPr>
        <w:t>开标</w:t>
      </w:r>
      <w:r>
        <w:rPr>
          <w:rFonts w:hint="eastAsia" w:ascii="仿宋" w:hAnsi="仿宋" w:eastAsia="仿宋" w:cs="仿宋"/>
          <w:color w:val="auto"/>
          <w:sz w:val="24"/>
        </w:rPr>
        <w:t>一览表；</w:t>
      </w:r>
    </w:p>
    <w:p w14:paraId="3E0BABF1">
      <w:pPr>
        <w:pStyle w:val="36"/>
        <w:tabs>
          <w:tab w:val="left" w:pos="1673"/>
        </w:tabs>
        <w:spacing w:line="360" w:lineRule="auto"/>
        <w:ind w:left="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rPr>
        <w:t>2</w:t>
      </w:r>
      <w:r>
        <w:rPr>
          <w:rFonts w:hint="eastAsia" w:ascii="仿宋" w:hAnsi="仿宋" w:eastAsia="仿宋" w:cs="仿宋"/>
          <w:color w:val="auto"/>
          <w:sz w:val="24"/>
        </w:rPr>
        <w:t>）报价明细表；</w:t>
      </w:r>
    </w:p>
    <w:p w14:paraId="114C0DB6">
      <w:pPr>
        <w:pStyle w:val="2"/>
        <w:numPr>
          <w:ilvl w:val="0"/>
          <w:numId w:val="0"/>
        </w:numPr>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（3）《中小企业声明函（货物）》/监狱企业证明文件（如有）/《残疾人福利性单位声明函》；</w:t>
      </w:r>
    </w:p>
    <w:p w14:paraId="024AE9C3">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firstLine="482" w:firstLineChars="200"/>
        <w:textAlignment w:val="auto"/>
        <w:rPr>
          <w:rFonts w:hint="eastAsia" w:ascii="仿宋" w:hAnsi="仿宋" w:eastAsia="仿宋" w:cs="仿宋"/>
          <w:color w:val="auto"/>
          <w:sz w:val="24"/>
          <w:szCs w:val="24"/>
          <w:lang w:val="en-US"/>
        </w:rPr>
      </w:pPr>
      <w:r>
        <w:rPr>
          <w:rFonts w:hint="eastAsia" w:ascii="仿宋" w:hAnsi="仿宋" w:eastAsia="仿宋" w:cs="仿宋"/>
          <w:b/>
          <w:bCs/>
          <w:color w:val="auto"/>
          <w:sz w:val="24"/>
          <w:szCs w:val="24"/>
          <w:lang w:val="en-US"/>
        </w:rPr>
        <w:t>提示和说明：</w:t>
      </w:r>
      <w:r>
        <w:rPr>
          <w:rFonts w:hint="eastAsia" w:ascii="仿宋" w:hAnsi="仿宋" w:eastAsia="仿宋" w:cs="仿宋"/>
          <w:b/>
          <w:bCs/>
          <w:color w:val="auto"/>
          <w:sz w:val="24"/>
          <w:szCs w:val="24"/>
          <w:lang w:val="en-US" w:eastAsia="zh-CN"/>
        </w:rPr>
        <w:t>a.货物全部由符合政策要求的中小企业制造；</w:t>
      </w:r>
      <w:r>
        <w:rPr>
          <w:rFonts w:hint="eastAsia" w:ascii="仿宋" w:hAnsi="仿宋" w:eastAsia="仿宋" w:cs="仿宋"/>
          <w:color w:val="auto"/>
          <w:sz w:val="24"/>
          <w:szCs w:val="24"/>
          <w:lang w:val="en-US"/>
        </w:rPr>
        <w:t>依据《财政部、司法部关于政府采购支持监狱企业发展有关问题的通知》（财库[2014]68 号）规定，在政府采购活动中，监狱企业视同小型、微型企业；依据《财政部、民政部、中国残疾人联合会关于促进残疾人就业政府采购政策的通知》（财库[2017]141 号）规定，在政府采购活动中，残疾⼈福利性单位视同小型、微型企业。</w:t>
      </w:r>
    </w:p>
    <w:p w14:paraId="38535D20">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b.若投标人提供的某项货物为监狱企业生产的，另须提供省级或以上监狱管理局、戒毒管理局（含新疆生产建设兵团）出具的属于监狱企业的证明文件。</w:t>
      </w:r>
    </w:p>
    <w:p w14:paraId="2CD6F94D">
      <w:pPr>
        <w:pStyle w:val="2"/>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sz w:val="24"/>
          <w:szCs w:val="24"/>
          <w:lang w:val="en-US" w:eastAsia="zh-CN"/>
        </w:rPr>
        <w:t>c.若投标人提供的某项货物为残疾⼈福利性单位生产的，另须提供《残疾人福利性单位声明函》，并对声明的真实性负责。</w:t>
      </w:r>
    </w:p>
    <w:p w14:paraId="5833942D">
      <w:pPr>
        <w:pStyle w:val="36"/>
        <w:tabs>
          <w:tab w:val="left" w:pos="1673"/>
        </w:tabs>
        <w:spacing w:line="360" w:lineRule="auto"/>
        <w:ind w:left="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val="en-US"/>
        </w:rPr>
        <w:t>报价</w:t>
      </w:r>
      <w:r>
        <w:rPr>
          <w:rFonts w:hint="eastAsia" w:ascii="仿宋" w:hAnsi="仿宋" w:eastAsia="仿宋" w:cs="仿宋"/>
          <w:color w:val="auto"/>
          <w:sz w:val="24"/>
        </w:rPr>
        <w:t>文件要求的或投标人认为需要的其它资料。</w:t>
      </w:r>
    </w:p>
    <w:p w14:paraId="05114AE3">
      <w:pPr>
        <w:pStyle w:val="36"/>
        <w:tabs>
          <w:tab w:val="left" w:pos="1673"/>
        </w:tabs>
        <w:spacing w:line="360" w:lineRule="auto"/>
        <w:ind w:left="0" w:firstLine="480" w:firstLineChars="200"/>
        <w:rPr>
          <w:color w:val="auto"/>
          <w:sz w:val="24"/>
          <w:lang w:val="en-US"/>
        </w:rPr>
      </w:pPr>
    </w:p>
    <w:p w14:paraId="0210F886">
      <w:pPr>
        <w:pStyle w:val="2"/>
        <w:rPr>
          <w:color w:val="auto"/>
        </w:rPr>
      </w:pPr>
    </w:p>
    <w:p w14:paraId="5F836255">
      <w:pPr>
        <w:pStyle w:val="2"/>
        <w:rPr>
          <w:color w:val="auto"/>
        </w:rPr>
      </w:pPr>
    </w:p>
    <w:p w14:paraId="475E1259">
      <w:pPr>
        <w:rPr>
          <w:color w:val="auto"/>
        </w:rPr>
      </w:pPr>
      <w:r>
        <w:rPr>
          <w:color w:val="auto"/>
        </w:rPr>
        <w:br w:type="page"/>
      </w:r>
    </w:p>
    <w:p w14:paraId="103DC02E">
      <w:pPr>
        <w:pStyle w:val="3"/>
        <w:rPr>
          <w:color w:val="auto"/>
        </w:rPr>
      </w:pPr>
    </w:p>
    <w:p w14:paraId="73470719">
      <w:pPr>
        <w:pStyle w:val="2"/>
        <w:rPr>
          <w:color w:val="auto"/>
          <w:sz w:val="21"/>
        </w:rPr>
      </w:pPr>
    </w:p>
    <w:p w14:paraId="2C935479">
      <w:pPr>
        <w:spacing w:before="1"/>
        <w:ind w:left="1217" w:right="1232"/>
        <w:jc w:val="center"/>
        <w:rPr>
          <w:rFonts w:ascii="仿宋" w:hAnsi="仿宋" w:eastAsia="仿宋" w:cs="仿宋"/>
          <w:b/>
          <w:color w:val="auto"/>
          <w:sz w:val="36"/>
        </w:rPr>
      </w:pPr>
      <w:r>
        <w:rPr>
          <w:rFonts w:hint="eastAsia" w:ascii="仿宋" w:hAnsi="仿宋" w:eastAsia="仿宋" w:cs="仿宋"/>
          <w:b/>
          <w:color w:val="auto"/>
          <w:sz w:val="36"/>
          <w:lang w:val="en-US"/>
        </w:rPr>
        <w:t>（1）开标</w:t>
      </w:r>
      <w:r>
        <w:rPr>
          <w:rFonts w:hint="eastAsia" w:ascii="仿宋" w:hAnsi="仿宋" w:eastAsia="仿宋" w:cs="仿宋"/>
          <w:b/>
          <w:color w:val="auto"/>
          <w:sz w:val="36"/>
        </w:rPr>
        <w:t>一览表</w:t>
      </w:r>
    </w:p>
    <w:p w14:paraId="13046E6A">
      <w:pPr>
        <w:pStyle w:val="2"/>
        <w:spacing w:before="130" w:line="360" w:lineRule="auto"/>
        <w:rPr>
          <w:rFonts w:hint="eastAsia" w:ascii="仿宋" w:hAnsi="仿宋" w:eastAsia="仿宋" w:cs="仿宋"/>
          <w:color w:val="auto"/>
          <w:lang w:val="en-US" w:eastAsia="zh-CN"/>
        </w:rPr>
      </w:pPr>
      <w:r>
        <w:rPr>
          <w:rFonts w:hint="eastAsia" w:ascii="仿宋" w:hAnsi="仿宋" w:eastAsia="仿宋" w:cs="仿宋"/>
          <w:color w:val="auto"/>
          <w:lang w:val="en-US"/>
        </w:rPr>
        <w:t>项目名称：</w:t>
      </w:r>
      <w:r>
        <w:rPr>
          <w:rFonts w:hint="eastAsia" w:ascii="仿宋" w:hAnsi="仿宋" w:eastAsia="仿宋" w:cs="仿宋"/>
          <w:color w:val="auto"/>
          <w:lang w:val="en-US" w:eastAsia="zh-CN"/>
        </w:rPr>
        <w:t>龙港市世纪中学功能教室设备仪器采购项目</w:t>
      </w:r>
    </w:p>
    <w:p w14:paraId="74DC67D9">
      <w:pPr>
        <w:pStyle w:val="3"/>
        <w:spacing w:line="360" w:lineRule="auto"/>
        <w:ind w:firstLine="0"/>
        <w:rPr>
          <w:rFonts w:hint="eastAsia" w:ascii="仿宋" w:hAnsi="仿宋" w:eastAsia="仿宋" w:cs="仿宋"/>
          <w:color w:val="auto"/>
          <w:szCs w:val="24"/>
          <w:lang w:val="en-US" w:eastAsia="zh-CN"/>
        </w:rPr>
      </w:pPr>
      <w:r>
        <w:rPr>
          <w:rFonts w:hint="eastAsia" w:ascii="仿宋" w:hAnsi="仿宋" w:eastAsia="仿宋" w:cs="仿宋"/>
          <w:color w:val="auto"/>
          <w:szCs w:val="24"/>
          <w:lang w:val="en-US"/>
        </w:rPr>
        <w:t>项目编号：</w:t>
      </w:r>
      <w:r>
        <w:rPr>
          <w:rFonts w:hint="eastAsia" w:ascii="仿宋" w:hAnsi="仿宋" w:eastAsia="仿宋" w:cs="仿宋"/>
          <w:color w:val="auto"/>
          <w:szCs w:val="24"/>
          <w:lang w:val="en-US" w:eastAsia="zh-CN"/>
        </w:rPr>
        <w:t>LGCG2025129</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8209"/>
      </w:tblGrid>
      <w:tr w14:paraId="17BB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14:paraId="095C9CE7">
            <w:pPr>
              <w:pStyle w:val="4"/>
              <w:spacing w:line="240" w:lineRule="auto"/>
              <w:ind w:left="0"/>
              <w:jc w:val="center"/>
              <w:rPr>
                <w:rFonts w:ascii="仿宋" w:hAnsi="仿宋" w:eastAsia="仿宋" w:cs="仿宋"/>
                <w:color w:val="auto"/>
                <w:sz w:val="24"/>
                <w:szCs w:val="24"/>
                <w:lang w:val="en-US"/>
              </w:rPr>
            </w:pPr>
            <w:r>
              <w:rPr>
                <w:rFonts w:hint="eastAsia" w:ascii="仿宋" w:hAnsi="仿宋" w:eastAsia="仿宋" w:cs="仿宋"/>
                <w:color w:val="auto"/>
                <w:sz w:val="24"/>
                <w:szCs w:val="24"/>
                <w:lang w:val="en-US" w:eastAsia="zh-CN"/>
              </w:rPr>
              <w:t>标项</w:t>
            </w:r>
            <w:r>
              <w:rPr>
                <w:rFonts w:hint="eastAsia" w:ascii="仿宋" w:hAnsi="仿宋" w:eastAsia="仿宋" w:cs="仿宋"/>
                <w:color w:val="auto"/>
                <w:sz w:val="24"/>
                <w:szCs w:val="24"/>
                <w:lang w:val="en-US"/>
              </w:rPr>
              <w:t>名称</w:t>
            </w:r>
          </w:p>
        </w:tc>
        <w:tc>
          <w:tcPr>
            <w:tcW w:w="8209" w:type="dxa"/>
            <w:vAlign w:val="center"/>
          </w:tcPr>
          <w:p w14:paraId="2F83765D">
            <w:pPr>
              <w:pStyle w:val="4"/>
              <w:spacing w:line="240" w:lineRule="auto"/>
              <w:ind w:left="0"/>
              <w:jc w:val="both"/>
              <w:rPr>
                <w:rFonts w:ascii="仿宋" w:hAnsi="仿宋" w:eastAsia="仿宋" w:cs="仿宋"/>
                <w:color w:val="auto"/>
                <w:sz w:val="24"/>
                <w:szCs w:val="24"/>
                <w:lang w:val="en-US"/>
              </w:rPr>
            </w:pPr>
          </w:p>
        </w:tc>
      </w:tr>
      <w:tr w14:paraId="41CD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Merge w:val="restart"/>
            <w:vAlign w:val="center"/>
          </w:tcPr>
          <w:p w14:paraId="503C1093">
            <w:pPr>
              <w:pStyle w:val="4"/>
              <w:spacing w:line="240" w:lineRule="auto"/>
              <w:ind w:left="0"/>
              <w:jc w:val="center"/>
              <w:rPr>
                <w:rFonts w:ascii="仿宋" w:hAnsi="仿宋" w:eastAsia="仿宋" w:cs="仿宋"/>
                <w:color w:val="auto"/>
                <w:sz w:val="24"/>
                <w:szCs w:val="24"/>
                <w:lang w:val="en-US"/>
              </w:rPr>
            </w:pPr>
            <w:r>
              <w:rPr>
                <w:rFonts w:hint="eastAsia" w:ascii="仿宋" w:hAnsi="仿宋" w:eastAsia="仿宋" w:cs="仿宋"/>
                <w:color w:val="auto"/>
                <w:sz w:val="24"/>
                <w:szCs w:val="24"/>
                <w:lang w:val="en-US"/>
              </w:rPr>
              <w:t>投标报价</w:t>
            </w:r>
          </w:p>
          <w:p w14:paraId="056C32E4">
            <w:pPr>
              <w:pStyle w:val="4"/>
              <w:spacing w:line="240" w:lineRule="auto"/>
              <w:ind w:left="0"/>
              <w:jc w:val="center"/>
              <w:rPr>
                <w:rFonts w:ascii="仿宋" w:hAnsi="仿宋" w:eastAsia="仿宋" w:cs="仿宋"/>
                <w:color w:val="auto"/>
                <w:sz w:val="24"/>
                <w:szCs w:val="24"/>
                <w:lang w:val="en-US"/>
              </w:rPr>
            </w:pPr>
            <w:r>
              <w:rPr>
                <w:rFonts w:hint="eastAsia" w:ascii="仿宋" w:hAnsi="仿宋" w:eastAsia="仿宋" w:cs="仿宋"/>
                <w:color w:val="auto"/>
                <w:sz w:val="24"/>
                <w:szCs w:val="24"/>
                <w:lang w:val="en-US"/>
              </w:rPr>
              <w:t>（总价，元）</w:t>
            </w:r>
          </w:p>
        </w:tc>
        <w:tc>
          <w:tcPr>
            <w:tcW w:w="8209" w:type="dxa"/>
            <w:vAlign w:val="center"/>
          </w:tcPr>
          <w:p w14:paraId="2A13CBBD">
            <w:pPr>
              <w:pStyle w:val="4"/>
              <w:spacing w:line="240" w:lineRule="auto"/>
              <w:ind w:left="0"/>
              <w:jc w:val="both"/>
              <w:rPr>
                <w:rFonts w:ascii="仿宋" w:hAnsi="仿宋" w:eastAsia="仿宋" w:cs="仿宋"/>
                <w:color w:val="auto"/>
                <w:sz w:val="24"/>
                <w:szCs w:val="24"/>
                <w:lang w:val="en-US"/>
              </w:rPr>
            </w:pPr>
            <w:r>
              <w:rPr>
                <w:rFonts w:hint="eastAsia" w:ascii="仿宋" w:hAnsi="仿宋" w:eastAsia="仿宋" w:cs="仿宋"/>
                <w:color w:val="auto"/>
                <w:sz w:val="24"/>
                <w:szCs w:val="24"/>
                <w:lang w:val="en-US"/>
              </w:rPr>
              <w:t>（人民币，小写）：</w:t>
            </w:r>
          </w:p>
        </w:tc>
      </w:tr>
      <w:tr w14:paraId="5364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Merge w:val="continue"/>
            <w:vAlign w:val="center"/>
          </w:tcPr>
          <w:p w14:paraId="54160D06">
            <w:pPr>
              <w:pStyle w:val="4"/>
              <w:spacing w:line="240" w:lineRule="auto"/>
              <w:ind w:left="0"/>
              <w:jc w:val="center"/>
              <w:rPr>
                <w:rFonts w:ascii="仿宋" w:hAnsi="仿宋" w:eastAsia="仿宋" w:cs="仿宋"/>
                <w:color w:val="auto"/>
                <w:sz w:val="24"/>
                <w:szCs w:val="24"/>
                <w:lang w:val="en-US"/>
              </w:rPr>
            </w:pPr>
          </w:p>
        </w:tc>
        <w:tc>
          <w:tcPr>
            <w:tcW w:w="8209" w:type="dxa"/>
            <w:vAlign w:val="center"/>
          </w:tcPr>
          <w:p w14:paraId="1A08BE3D">
            <w:pPr>
              <w:pStyle w:val="4"/>
              <w:spacing w:line="240" w:lineRule="auto"/>
              <w:ind w:left="0"/>
              <w:jc w:val="both"/>
              <w:rPr>
                <w:rFonts w:ascii="仿宋" w:hAnsi="仿宋" w:eastAsia="仿宋" w:cs="仿宋"/>
                <w:color w:val="auto"/>
                <w:sz w:val="24"/>
                <w:szCs w:val="24"/>
                <w:lang w:val="en-US"/>
              </w:rPr>
            </w:pPr>
            <w:r>
              <w:rPr>
                <w:rFonts w:hint="eastAsia" w:ascii="仿宋" w:hAnsi="仿宋" w:eastAsia="仿宋" w:cs="仿宋"/>
                <w:color w:val="auto"/>
                <w:sz w:val="24"/>
                <w:szCs w:val="24"/>
                <w:lang w:val="en-US"/>
              </w:rPr>
              <w:t>（人民币，大写）：</w:t>
            </w:r>
          </w:p>
        </w:tc>
      </w:tr>
      <w:tr w14:paraId="57D6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14:paraId="3D857B62">
            <w:pPr>
              <w:pStyle w:val="4"/>
              <w:spacing w:line="240" w:lineRule="auto"/>
              <w:ind w:left="0"/>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合同履约期限</w:t>
            </w:r>
          </w:p>
        </w:tc>
        <w:tc>
          <w:tcPr>
            <w:tcW w:w="8209" w:type="dxa"/>
            <w:vAlign w:val="center"/>
          </w:tcPr>
          <w:p w14:paraId="5E945FFF">
            <w:pPr>
              <w:pStyle w:val="4"/>
              <w:spacing w:line="240" w:lineRule="auto"/>
              <w:ind w:left="0"/>
              <w:jc w:val="both"/>
              <w:rPr>
                <w:rFonts w:ascii="仿宋" w:hAnsi="仿宋" w:eastAsia="仿宋" w:cs="仿宋"/>
                <w:color w:val="auto"/>
                <w:sz w:val="24"/>
                <w:szCs w:val="24"/>
                <w:lang w:val="en-US"/>
              </w:rPr>
            </w:pPr>
          </w:p>
        </w:tc>
      </w:tr>
      <w:tr w14:paraId="6F89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14:paraId="01C525CF">
            <w:pPr>
              <w:pStyle w:val="4"/>
              <w:spacing w:line="240" w:lineRule="auto"/>
              <w:ind w:lef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w:t>
            </w:r>
          </w:p>
        </w:tc>
        <w:tc>
          <w:tcPr>
            <w:tcW w:w="8209" w:type="dxa"/>
            <w:vAlign w:val="center"/>
          </w:tcPr>
          <w:p w14:paraId="15799E8E">
            <w:pPr>
              <w:pStyle w:val="4"/>
              <w:spacing w:line="240" w:lineRule="auto"/>
              <w:ind w:left="0"/>
              <w:jc w:val="both"/>
              <w:rPr>
                <w:rFonts w:hint="eastAsia" w:ascii="仿宋" w:hAnsi="仿宋" w:eastAsia="仿宋" w:cs="仿宋"/>
                <w:color w:val="auto"/>
                <w:sz w:val="24"/>
                <w:szCs w:val="24"/>
                <w:lang w:val="en-US" w:eastAsia="zh-CN"/>
              </w:rPr>
            </w:pPr>
          </w:p>
        </w:tc>
      </w:tr>
      <w:tr w14:paraId="02D0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14:paraId="3E58C96C">
            <w:pPr>
              <w:pStyle w:val="4"/>
              <w:spacing w:line="240" w:lineRule="auto"/>
              <w:ind w:left="0"/>
              <w:jc w:val="center"/>
              <w:rPr>
                <w:rFonts w:ascii="仿宋" w:hAnsi="仿宋" w:eastAsia="仿宋" w:cs="仿宋"/>
                <w:color w:val="auto"/>
                <w:sz w:val="24"/>
                <w:szCs w:val="24"/>
                <w:lang w:val="en-US"/>
              </w:rPr>
            </w:pPr>
            <w:r>
              <w:rPr>
                <w:rFonts w:hint="eastAsia" w:ascii="仿宋" w:hAnsi="仿宋" w:eastAsia="仿宋" w:cs="仿宋"/>
                <w:color w:val="auto"/>
                <w:sz w:val="24"/>
                <w:szCs w:val="24"/>
                <w:lang w:val="en-US"/>
              </w:rPr>
              <w:t>备注</w:t>
            </w:r>
          </w:p>
        </w:tc>
        <w:tc>
          <w:tcPr>
            <w:tcW w:w="8209" w:type="dxa"/>
            <w:vAlign w:val="center"/>
          </w:tcPr>
          <w:p w14:paraId="792FCD78">
            <w:pPr>
              <w:pStyle w:val="4"/>
              <w:spacing w:line="240" w:lineRule="auto"/>
              <w:ind w:left="0"/>
              <w:jc w:val="both"/>
              <w:rPr>
                <w:rFonts w:ascii="仿宋" w:hAnsi="仿宋" w:eastAsia="仿宋" w:cs="仿宋"/>
                <w:color w:val="auto"/>
                <w:sz w:val="24"/>
                <w:szCs w:val="24"/>
                <w:lang w:val="en-US"/>
              </w:rPr>
            </w:pPr>
          </w:p>
        </w:tc>
      </w:tr>
    </w:tbl>
    <w:p w14:paraId="2D3F78CD">
      <w:pPr>
        <w:pStyle w:val="2"/>
        <w:spacing w:line="360" w:lineRule="auto"/>
        <w:rPr>
          <w:rFonts w:ascii="仿宋" w:hAnsi="仿宋" w:eastAsia="仿宋" w:cs="仿宋"/>
          <w:color w:val="auto"/>
        </w:rPr>
      </w:pPr>
      <w:r>
        <w:rPr>
          <w:rFonts w:hint="eastAsia" w:ascii="仿宋" w:hAnsi="仿宋" w:eastAsia="仿宋" w:cs="仿宋"/>
          <w:color w:val="auto"/>
        </w:rPr>
        <w:t>注：1</w:t>
      </w:r>
      <w:r>
        <w:rPr>
          <w:rFonts w:hint="eastAsia" w:ascii="仿宋" w:hAnsi="仿宋" w:eastAsia="仿宋" w:cs="仿宋"/>
          <w:color w:val="auto"/>
          <w:lang w:val="en-US" w:eastAsia="zh-CN"/>
        </w:rPr>
        <w:t>.</w:t>
      </w:r>
      <w:r>
        <w:rPr>
          <w:rFonts w:hint="eastAsia" w:ascii="仿宋" w:hAnsi="仿宋" w:eastAsia="仿宋" w:cs="仿宋"/>
          <w:color w:val="auto"/>
        </w:rPr>
        <w:t>以上报价采用人民币报价，报价不得涂改，请按规定要求填报。</w:t>
      </w:r>
    </w:p>
    <w:p w14:paraId="515080EE">
      <w:pPr>
        <w:pStyle w:val="2"/>
        <w:spacing w:line="360" w:lineRule="auto"/>
        <w:ind w:firstLine="480" w:firstLineChars="200"/>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.投标</w:t>
      </w:r>
      <w:r>
        <w:rPr>
          <w:rFonts w:hint="eastAsia" w:ascii="仿宋" w:hAnsi="仿宋" w:eastAsia="仿宋" w:cs="仿宋"/>
          <w:color w:val="auto"/>
        </w:rPr>
        <w:t>报价应与对应标项“报价明细表”中的“合计”数相一致。</w:t>
      </w:r>
    </w:p>
    <w:p w14:paraId="4C381A5C">
      <w:pPr>
        <w:pStyle w:val="2"/>
        <w:spacing w:line="360" w:lineRule="auto"/>
        <w:ind w:firstLine="480" w:firstLineChars="200"/>
        <w:rPr>
          <w:rFonts w:ascii="仿宋" w:hAnsi="仿宋" w:eastAsia="仿宋" w:cs="仿宋"/>
          <w:color w:val="auto"/>
          <w:spacing w:val="-6"/>
        </w:rPr>
      </w:pPr>
      <w:r>
        <w:rPr>
          <w:rFonts w:hint="eastAsia" w:ascii="仿宋" w:hAnsi="仿宋" w:eastAsia="仿宋" w:cs="仿宋"/>
          <w:color w:val="auto"/>
        </w:rPr>
        <w:t>3</w:t>
      </w:r>
      <w:r>
        <w:rPr>
          <w:rFonts w:hint="eastAsia" w:ascii="仿宋" w:hAnsi="仿宋" w:eastAsia="仿宋" w:cs="仿宋"/>
          <w:color w:val="auto"/>
          <w:spacing w:val="-6"/>
          <w:lang w:val="en-US" w:eastAsia="zh-CN"/>
        </w:rPr>
        <w:t>.</w:t>
      </w:r>
      <w:r>
        <w:rPr>
          <w:rFonts w:hint="eastAsia" w:ascii="仿宋" w:hAnsi="仿宋" w:eastAsia="仿宋" w:cs="仿宋"/>
          <w:color w:val="auto"/>
          <w:spacing w:val="-6"/>
        </w:rPr>
        <w:t>报价应包含货物总价（含税、运保、货物附件等费用），同时包括货物技术服务费（含货物安装调试直至能够正常使用的费用）、材料费、税金、调试费、人工费、运杂费、装卸费、运输保险费、技术培训费、验收费、招标代理服务费等。属于完成本次项目所必需的但投标人未列入报价的费用将被视为投标人优惠，采购人均不予支付。</w:t>
      </w:r>
    </w:p>
    <w:p w14:paraId="7293D521">
      <w:pPr>
        <w:pStyle w:val="2"/>
        <w:spacing w:line="360" w:lineRule="auto"/>
        <w:ind w:firstLine="456" w:firstLineChars="200"/>
        <w:rPr>
          <w:rFonts w:ascii="仿宋" w:hAnsi="仿宋" w:eastAsia="仿宋" w:cs="仿宋"/>
          <w:color w:val="auto"/>
          <w:lang w:val="en-US"/>
        </w:rPr>
      </w:pPr>
      <w:r>
        <w:rPr>
          <w:rFonts w:hint="eastAsia" w:ascii="仿宋" w:hAnsi="仿宋" w:eastAsia="仿宋" w:cs="仿宋"/>
          <w:color w:val="auto"/>
          <w:spacing w:val="-6"/>
          <w:lang w:val="en-US"/>
        </w:rPr>
        <w:t>4</w:t>
      </w:r>
      <w:r>
        <w:rPr>
          <w:rFonts w:hint="eastAsia" w:ascii="仿宋" w:hAnsi="仿宋" w:eastAsia="仿宋" w:cs="仿宋"/>
          <w:color w:val="auto"/>
          <w:spacing w:val="-6"/>
          <w:lang w:val="en-US" w:eastAsia="zh-CN"/>
        </w:rPr>
        <w:t>.</w:t>
      </w:r>
      <w:r>
        <w:rPr>
          <w:rFonts w:hint="eastAsia" w:ascii="仿宋" w:hAnsi="仿宋" w:eastAsia="仿宋" w:cs="仿宋"/>
          <w:b/>
          <w:bCs/>
          <w:color w:val="auto"/>
          <w:lang w:val="en-US"/>
        </w:rPr>
        <w:t>▲未提供本表的投标视为未实质性响应招标要求，投标无效。</w:t>
      </w:r>
    </w:p>
    <w:p w14:paraId="417350C8">
      <w:pPr>
        <w:pStyle w:val="2"/>
        <w:rPr>
          <w:color w:val="auto"/>
        </w:rPr>
      </w:pPr>
    </w:p>
    <w:p w14:paraId="1BD25CE8">
      <w:pPr>
        <w:pStyle w:val="2"/>
        <w:rPr>
          <w:color w:val="auto"/>
        </w:rPr>
      </w:pPr>
    </w:p>
    <w:p w14:paraId="69805826">
      <w:pPr>
        <w:pStyle w:val="2"/>
        <w:rPr>
          <w:color w:val="auto"/>
        </w:rPr>
      </w:pPr>
    </w:p>
    <w:p w14:paraId="6F7BB7DE">
      <w:pPr>
        <w:pStyle w:val="2"/>
        <w:spacing w:before="1"/>
        <w:rPr>
          <w:rFonts w:ascii="仿宋" w:hAnsi="仿宋" w:eastAsia="仿宋" w:cs="仿宋"/>
          <w:color w:val="auto"/>
          <w:sz w:val="17"/>
        </w:rPr>
      </w:pPr>
    </w:p>
    <w:p w14:paraId="0CA72589">
      <w:pPr>
        <w:pStyle w:val="2"/>
        <w:tabs>
          <w:tab w:val="left" w:pos="6711"/>
          <w:tab w:val="left" w:pos="7191"/>
        </w:tabs>
        <w:spacing w:line="360" w:lineRule="auto"/>
        <w:ind w:firstLine="4320" w:firstLineChars="1800"/>
        <w:rPr>
          <w:rFonts w:ascii="仿宋" w:hAnsi="仿宋" w:eastAsia="仿宋" w:cs="仿宋"/>
          <w:color w:val="auto"/>
        </w:rPr>
      </w:pPr>
      <w:r>
        <w:rPr>
          <w:rFonts w:hint="eastAsia" w:ascii="仿宋" w:hAnsi="仿宋" w:eastAsia="仿宋" w:cs="仿宋"/>
          <w:color w:val="auto"/>
          <w:kern w:val="0"/>
          <w:sz w:val="24"/>
          <w:lang w:val="zh-CN"/>
        </w:rPr>
        <w:t>投标人名称(电子签名)</w:t>
      </w:r>
      <w:r>
        <w:rPr>
          <w:rFonts w:hint="eastAsia" w:ascii="仿宋" w:hAnsi="仿宋" w:eastAsia="仿宋" w:cs="仿宋"/>
          <w:color w:val="auto"/>
        </w:rPr>
        <w:t>：</w:t>
      </w:r>
    </w:p>
    <w:p w14:paraId="207F56CF">
      <w:pPr>
        <w:pStyle w:val="2"/>
        <w:tabs>
          <w:tab w:val="left" w:pos="6711"/>
          <w:tab w:val="left" w:pos="7191"/>
        </w:tabs>
        <w:spacing w:line="360" w:lineRule="auto"/>
        <w:ind w:firstLine="4320" w:firstLineChars="1800"/>
        <w:rPr>
          <w:rFonts w:ascii="仿宋" w:hAnsi="仿宋" w:eastAsia="仿宋" w:cs="仿宋"/>
          <w:color w:val="auto"/>
          <w:lang w:val="en-US"/>
        </w:rPr>
      </w:pPr>
      <w:r>
        <w:rPr>
          <w:rFonts w:hint="eastAsia" w:ascii="仿宋" w:hAnsi="仿宋" w:eastAsia="仿宋" w:cs="仿宋"/>
          <w:color w:val="auto"/>
        </w:rPr>
        <w:t>日期：</w:t>
      </w:r>
      <w:r>
        <w:rPr>
          <w:rFonts w:hint="eastAsia" w:ascii="仿宋" w:hAnsi="仿宋" w:eastAsia="仿宋" w:cs="仿宋"/>
          <w:color w:val="auto"/>
          <w:lang w:val="en-US"/>
        </w:rPr>
        <w:t xml:space="preserve">    年    月    日</w:t>
      </w:r>
    </w:p>
    <w:p w14:paraId="296FEC4C">
      <w:pPr>
        <w:rPr>
          <w:color w:val="auto"/>
          <w:lang w:val="en-US"/>
        </w:rPr>
      </w:pPr>
    </w:p>
    <w:p w14:paraId="5FA9D54F">
      <w:pPr>
        <w:pStyle w:val="6"/>
        <w:rPr>
          <w:color w:val="auto"/>
          <w:lang w:val="en-US"/>
        </w:rPr>
        <w:sectPr>
          <w:footerReference r:id="rId6" w:type="default"/>
          <w:pgSz w:w="11910" w:h="16840"/>
          <w:pgMar w:top="1134" w:right="1134" w:bottom="1134" w:left="1134" w:header="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pPr>
    </w:p>
    <w:p w14:paraId="182A7BA5">
      <w:pPr>
        <w:spacing w:before="1" w:line="360" w:lineRule="auto"/>
        <w:ind w:left="1217" w:right="1232"/>
        <w:jc w:val="center"/>
        <w:rPr>
          <w:rFonts w:ascii="仿宋" w:hAnsi="仿宋" w:eastAsia="仿宋" w:cs="仿宋"/>
          <w:b/>
          <w:color w:val="auto"/>
          <w:sz w:val="36"/>
          <w:lang w:val="en-US"/>
        </w:rPr>
      </w:pPr>
      <w:r>
        <w:rPr>
          <w:rFonts w:hint="eastAsia" w:ascii="仿宋" w:hAnsi="仿宋" w:eastAsia="仿宋" w:cs="仿宋"/>
          <w:b/>
          <w:color w:val="auto"/>
          <w:sz w:val="36"/>
          <w:lang w:val="en-US"/>
        </w:rPr>
        <w:t>（2）报价明细表</w:t>
      </w:r>
    </w:p>
    <w:p w14:paraId="71B101AE">
      <w:pPr>
        <w:snapToGrid w:val="0"/>
        <w:spacing w:line="360" w:lineRule="auto"/>
        <w:rPr>
          <w:rFonts w:ascii="仿宋" w:hAnsi="仿宋" w:eastAsia="仿宋" w:cs="仿宋_GB2312"/>
          <w:color w:val="auto"/>
          <w:kern w:val="0"/>
          <w:sz w:val="24"/>
        </w:rPr>
      </w:pPr>
      <w:bookmarkStart w:id="372" w:name="_Toc86217005"/>
      <w:r>
        <w:rPr>
          <w:rFonts w:hint="eastAsia" w:ascii="仿宋" w:hAnsi="仿宋" w:eastAsia="仿宋" w:cs="仿宋_GB2312"/>
          <w:color w:val="auto"/>
          <w:sz w:val="24"/>
          <w:lang w:val="en-US" w:eastAsia="zh-CN"/>
        </w:rPr>
        <w:t>龙港市世纪中学</w:t>
      </w:r>
      <w:r>
        <w:rPr>
          <w:rFonts w:hint="eastAsia" w:ascii="仿宋" w:hAnsi="仿宋" w:eastAsia="仿宋" w:cs="仿宋_GB2312"/>
          <w:color w:val="auto"/>
          <w:kern w:val="0"/>
          <w:sz w:val="24"/>
          <w:lang w:val="zh-CN"/>
        </w:rPr>
        <w:t>：</w:t>
      </w:r>
    </w:p>
    <w:p w14:paraId="501C8ACB">
      <w:pPr>
        <w:snapToGrid w:val="0"/>
        <w:spacing w:line="360" w:lineRule="auto"/>
        <w:ind w:firstLine="482"/>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按</w:t>
      </w:r>
      <w:r>
        <w:rPr>
          <w:rFonts w:hint="eastAsia" w:ascii="仿宋" w:hAnsi="仿宋" w:eastAsia="仿宋" w:cs="仿宋_GB2312"/>
          <w:color w:val="auto"/>
          <w:kern w:val="0"/>
          <w:sz w:val="24"/>
          <w:lang w:val="en-US" w:eastAsia="zh-CN"/>
        </w:rPr>
        <w:t>贵单位</w:t>
      </w:r>
      <w:r>
        <w:rPr>
          <w:rFonts w:hint="eastAsia" w:ascii="仿宋" w:hAnsi="仿宋" w:eastAsia="仿宋" w:cs="仿宋_GB2312"/>
          <w:color w:val="auto"/>
          <w:kern w:val="0"/>
          <w:sz w:val="24"/>
          <w:lang w:val="zh-CN"/>
        </w:rPr>
        <w:t>招标文件要求，我</w:t>
      </w:r>
      <w:r>
        <w:rPr>
          <w:rFonts w:hint="eastAsia" w:ascii="仿宋" w:hAnsi="仿宋" w:eastAsia="仿宋" w:cs="仿宋_GB2312"/>
          <w:color w:val="auto"/>
          <w:kern w:val="0"/>
          <w:sz w:val="24"/>
          <w:lang w:val="en-US" w:eastAsia="zh-CN"/>
        </w:rPr>
        <w:t>方</w:t>
      </w:r>
      <w:r>
        <w:rPr>
          <w:rFonts w:hint="eastAsia" w:ascii="仿宋" w:hAnsi="仿宋" w:eastAsia="仿宋" w:cs="仿宋_GB2312"/>
          <w:color w:val="auto"/>
          <w:kern w:val="0"/>
          <w:sz w:val="24"/>
          <w:lang w:val="zh-CN"/>
        </w:rPr>
        <w:t>谨此向你方发出要约如下：如你方接受本投标，我方承诺按照如下</w:t>
      </w:r>
      <w:r>
        <w:rPr>
          <w:rFonts w:hint="eastAsia" w:ascii="仿宋" w:hAnsi="仿宋" w:eastAsia="仿宋" w:cs="仿宋_GB2312"/>
          <w:color w:val="auto"/>
          <w:kern w:val="0"/>
          <w:sz w:val="24"/>
          <w:lang w:val="en-US" w:eastAsia="zh-CN"/>
        </w:rPr>
        <w:t>报价明细</w:t>
      </w:r>
      <w:r>
        <w:rPr>
          <w:rFonts w:hint="eastAsia" w:ascii="仿宋" w:hAnsi="仿宋" w:eastAsia="仿宋" w:cs="仿宋_GB2312"/>
          <w:color w:val="auto"/>
          <w:kern w:val="0"/>
          <w:sz w:val="24"/>
          <w:lang w:val="zh-CN"/>
        </w:rPr>
        <w:t>表的价格完成</w:t>
      </w:r>
      <w:r>
        <w:rPr>
          <w:rFonts w:hint="eastAsia" w:ascii="仿宋" w:hAnsi="仿宋" w:eastAsia="仿宋" w:cs="仿宋_GB2312"/>
          <w:color w:val="auto"/>
          <w:kern w:val="0"/>
          <w:sz w:val="24"/>
          <w:u w:val="single"/>
          <w:lang w:val="zh-CN"/>
        </w:rPr>
        <w:t>龙港市世纪中学功能教室设备仪器采购项目</w:t>
      </w:r>
      <w:r>
        <w:rPr>
          <w:rFonts w:hint="eastAsia" w:ascii="仿宋" w:hAnsi="仿宋" w:eastAsia="仿宋" w:cs="仿宋_GB2312"/>
          <w:color w:val="auto"/>
          <w:kern w:val="0"/>
          <w:sz w:val="24"/>
          <w:lang w:val="zh-CN"/>
        </w:rPr>
        <w:t>【</w:t>
      </w:r>
      <w:r>
        <w:rPr>
          <w:rFonts w:hint="eastAsia" w:ascii="仿宋" w:hAnsi="仿宋" w:eastAsia="仿宋" w:cs="仿宋_GB2312"/>
          <w:color w:val="auto"/>
          <w:kern w:val="0"/>
          <w:sz w:val="24"/>
          <w:lang w:val="en-US" w:eastAsia="zh-CN"/>
        </w:rPr>
        <w:t>项目</w:t>
      </w:r>
      <w:r>
        <w:rPr>
          <w:rFonts w:hint="eastAsia" w:ascii="仿宋" w:hAnsi="仿宋" w:eastAsia="仿宋" w:cs="仿宋_GB2312"/>
          <w:color w:val="auto"/>
          <w:kern w:val="0"/>
          <w:sz w:val="24"/>
          <w:lang w:val="zh-CN"/>
        </w:rPr>
        <w:t>编号：LGCG2025129</w:t>
      </w:r>
      <w:r>
        <w:rPr>
          <w:rFonts w:hint="eastAsia" w:ascii="仿宋" w:hAnsi="仿宋" w:eastAsia="仿宋" w:cs="仿宋_GB2312"/>
          <w:color w:val="auto"/>
          <w:sz w:val="24"/>
        </w:rPr>
        <w:t>】的实施</w:t>
      </w:r>
      <w:r>
        <w:rPr>
          <w:rFonts w:hint="eastAsia" w:ascii="仿宋" w:hAnsi="仿宋" w:eastAsia="仿宋" w:cs="仿宋_GB2312"/>
          <w:color w:val="auto"/>
          <w:kern w:val="0"/>
          <w:sz w:val="24"/>
          <w:lang w:val="zh-CN"/>
        </w:rPr>
        <w:t>。</w:t>
      </w:r>
    </w:p>
    <w:bookmarkEnd w:id="372"/>
    <w:p w14:paraId="718F2AC9">
      <w:pPr>
        <w:spacing w:line="360" w:lineRule="auto"/>
        <w:jc w:val="righ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en-US" w:eastAsia="zh-CN"/>
        </w:rPr>
        <w:t>报价单位为</w:t>
      </w:r>
      <w:r>
        <w:rPr>
          <w:rFonts w:hint="eastAsia" w:ascii="仿宋_GB2312" w:hAnsi="仿宋" w:eastAsia="仿宋_GB2312" w:cs="仿宋_GB2312"/>
          <w:b/>
          <w:color w:val="auto"/>
          <w:kern w:val="0"/>
          <w:sz w:val="24"/>
          <w:lang w:val="zh-CN"/>
        </w:rPr>
        <w:t>人民币元</w:t>
      </w:r>
    </w:p>
    <w:tbl>
      <w:tblPr>
        <w:tblStyle w:val="26"/>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5254"/>
        <w:gridCol w:w="1601"/>
        <w:gridCol w:w="1943"/>
        <w:gridCol w:w="1512"/>
        <w:gridCol w:w="1512"/>
        <w:gridCol w:w="1512"/>
      </w:tblGrid>
      <w:tr w14:paraId="6EC3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1" w:type="dxa"/>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tcPr>
          <w:p w14:paraId="118A5F2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 w:eastAsia="仿宋_GB2312"/>
                <w:b/>
                <w:bCs w:val="0"/>
                <w:color w:val="auto"/>
                <w:sz w:val="24"/>
              </w:rPr>
            </w:pPr>
            <w:r>
              <w:rPr>
                <w:rFonts w:hint="eastAsia" w:ascii="仿宋_GB2312" w:hAnsi="仿宋" w:eastAsia="仿宋_GB2312"/>
                <w:b/>
                <w:bCs w:val="0"/>
                <w:color w:val="auto"/>
                <w:sz w:val="24"/>
              </w:rPr>
              <w:t>序号</w:t>
            </w:r>
          </w:p>
          <w:p w14:paraId="4FA373C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 w:eastAsia="仿宋_GB2312" w:cs="仿宋_GB2312"/>
                <w:b/>
                <w:bCs w:val="0"/>
                <w:color w:val="auto"/>
                <w:sz w:val="24"/>
                <w:lang w:eastAsia="zh-CN"/>
              </w:rPr>
            </w:pPr>
            <w:r>
              <w:rPr>
                <w:rFonts w:hint="eastAsia" w:ascii="仿宋_GB2312" w:hAnsi="仿宋" w:eastAsia="仿宋_GB2312"/>
                <w:b/>
                <w:bCs w:val="0"/>
                <w:color w:val="auto"/>
                <w:sz w:val="24"/>
                <w:lang w:eastAsia="zh-CN"/>
              </w:rPr>
              <w:t>（</w:t>
            </w:r>
            <w:r>
              <w:rPr>
                <w:rFonts w:hint="eastAsia" w:ascii="仿宋_GB2312" w:hAnsi="仿宋" w:eastAsia="仿宋_GB2312"/>
                <w:b/>
                <w:bCs w:val="0"/>
                <w:color w:val="auto"/>
                <w:sz w:val="24"/>
                <w:lang w:val="en-US" w:eastAsia="zh-CN"/>
              </w:rPr>
              <w:t>编号</w:t>
            </w:r>
            <w:r>
              <w:rPr>
                <w:rFonts w:hint="eastAsia" w:ascii="仿宋_GB2312" w:hAnsi="仿宋" w:eastAsia="仿宋_GB2312"/>
                <w:b/>
                <w:bCs w:val="0"/>
                <w:color w:val="auto"/>
                <w:sz w:val="24"/>
                <w:lang w:eastAsia="zh-CN"/>
              </w:rPr>
              <w:t>）</w:t>
            </w:r>
          </w:p>
        </w:tc>
        <w:tc>
          <w:tcPr>
            <w:tcW w:w="5254" w:type="dxa"/>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tcPr>
          <w:p w14:paraId="34246E2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b/>
                <w:bCs w:val="0"/>
                <w:color w:val="auto"/>
                <w:sz w:val="24"/>
              </w:rPr>
            </w:pPr>
            <w:r>
              <w:rPr>
                <w:rFonts w:hint="eastAsia" w:ascii="仿宋_GB2312" w:hAnsi="仿宋" w:eastAsia="仿宋_GB2312"/>
                <w:b/>
                <w:bCs w:val="0"/>
                <w:color w:val="auto"/>
                <w:sz w:val="24"/>
              </w:rPr>
              <w:t>名称</w:t>
            </w:r>
          </w:p>
        </w:tc>
        <w:tc>
          <w:tcPr>
            <w:tcW w:w="1601" w:type="dxa"/>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tcPr>
          <w:p w14:paraId="7865215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 w:eastAsia="仿宋_GB2312"/>
                <w:b/>
                <w:bCs w:val="0"/>
                <w:color w:val="auto"/>
                <w:sz w:val="24"/>
              </w:rPr>
            </w:pPr>
            <w:r>
              <w:rPr>
                <w:rFonts w:hint="eastAsia" w:ascii="仿宋_GB2312" w:hAnsi="仿宋" w:eastAsia="仿宋_GB2312"/>
                <w:b/>
                <w:bCs w:val="0"/>
                <w:color w:val="auto"/>
                <w:sz w:val="24"/>
              </w:rPr>
              <w:t>品牌</w:t>
            </w:r>
          </w:p>
          <w:p w14:paraId="47B2084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b/>
                <w:bCs w:val="0"/>
                <w:color w:val="auto"/>
                <w:sz w:val="24"/>
              </w:rPr>
            </w:pPr>
            <w:r>
              <w:rPr>
                <w:rFonts w:hint="eastAsia" w:ascii="仿宋_GB2312" w:hAnsi="仿宋" w:eastAsia="仿宋_GB2312"/>
                <w:b/>
                <w:bCs w:val="0"/>
                <w:color w:val="auto"/>
                <w:sz w:val="24"/>
              </w:rPr>
              <w:t>（如有）</w:t>
            </w:r>
          </w:p>
        </w:tc>
        <w:tc>
          <w:tcPr>
            <w:tcW w:w="1943" w:type="dxa"/>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tcPr>
          <w:p w14:paraId="1AA9F6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 w:eastAsia="仿宋_GB2312"/>
                <w:b/>
                <w:bCs w:val="0"/>
                <w:color w:val="auto"/>
                <w:sz w:val="24"/>
              </w:rPr>
            </w:pPr>
            <w:r>
              <w:rPr>
                <w:rFonts w:hint="eastAsia" w:ascii="仿宋_GB2312" w:hAnsi="仿宋" w:eastAsia="仿宋_GB2312"/>
                <w:b/>
                <w:bCs w:val="0"/>
                <w:color w:val="auto"/>
                <w:sz w:val="24"/>
              </w:rPr>
              <w:t>规格型号</w:t>
            </w:r>
          </w:p>
          <w:p w14:paraId="60214F6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b/>
                <w:bCs w:val="0"/>
                <w:color w:val="auto"/>
                <w:sz w:val="24"/>
              </w:rPr>
            </w:pPr>
            <w:r>
              <w:rPr>
                <w:rFonts w:hint="eastAsia" w:ascii="仿宋_GB2312" w:hAnsi="仿宋" w:eastAsia="仿宋_GB2312"/>
                <w:b/>
                <w:bCs w:val="0"/>
                <w:color w:val="auto"/>
                <w:sz w:val="24"/>
              </w:rPr>
              <w:t>（或具体服务）</w:t>
            </w:r>
          </w:p>
        </w:tc>
        <w:tc>
          <w:tcPr>
            <w:tcW w:w="1512" w:type="dxa"/>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tcPr>
          <w:p w14:paraId="3BACFE3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b/>
                <w:bCs w:val="0"/>
                <w:color w:val="auto"/>
                <w:sz w:val="24"/>
              </w:rPr>
            </w:pPr>
            <w:r>
              <w:rPr>
                <w:rFonts w:hint="eastAsia" w:ascii="仿宋_GB2312" w:hAnsi="仿宋" w:eastAsia="仿宋_GB2312"/>
                <w:b/>
                <w:bCs w:val="0"/>
                <w:color w:val="auto"/>
                <w:sz w:val="24"/>
              </w:rPr>
              <w:t>数量</w:t>
            </w:r>
          </w:p>
        </w:tc>
        <w:tc>
          <w:tcPr>
            <w:tcW w:w="1512" w:type="dxa"/>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tcPr>
          <w:p w14:paraId="436B5A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b/>
                <w:bCs w:val="0"/>
                <w:color w:val="auto"/>
                <w:sz w:val="24"/>
              </w:rPr>
            </w:pPr>
            <w:r>
              <w:rPr>
                <w:rFonts w:hint="eastAsia" w:ascii="仿宋_GB2312" w:hAnsi="仿宋" w:eastAsia="仿宋_GB2312"/>
                <w:b/>
                <w:bCs w:val="0"/>
                <w:color w:val="auto"/>
                <w:sz w:val="24"/>
              </w:rPr>
              <w:t>单价</w:t>
            </w:r>
          </w:p>
        </w:tc>
        <w:tc>
          <w:tcPr>
            <w:tcW w:w="1512" w:type="dxa"/>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tcPr>
          <w:p w14:paraId="74590AD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b/>
                <w:bCs w:val="0"/>
                <w:color w:val="auto"/>
                <w:sz w:val="24"/>
              </w:rPr>
            </w:pPr>
            <w:r>
              <w:rPr>
                <w:rFonts w:hint="eastAsia" w:ascii="仿宋_GB2312" w:hAnsi="仿宋" w:eastAsia="仿宋_GB2312"/>
                <w:b/>
                <w:bCs w:val="0"/>
                <w:color w:val="auto"/>
                <w:sz w:val="24"/>
                <w:lang w:val="en-US" w:eastAsia="zh-CN"/>
              </w:rPr>
              <w:t>合</w:t>
            </w:r>
            <w:r>
              <w:rPr>
                <w:rFonts w:hint="eastAsia" w:ascii="仿宋_GB2312" w:hAnsi="仿宋" w:eastAsia="仿宋_GB2312"/>
                <w:b/>
                <w:bCs w:val="0"/>
                <w:color w:val="auto"/>
                <w:sz w:val="24"/>
              </w:rPr>
              <w:t>价</w:t>
            </w:r>
          </w:p>
        </w:tc>
      </w:tr>
      <w:tr w14:paraId="162A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67632F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1</w:t>
            </w:r>
          </w:p>
        </w:tc>
        <w:tc>
          <w:tcPr>
            <w:tcW w:w="5254" w:type="dxa"/>
            <w:tcBorders>
              <w:top w:val="single" w:color="auto" w:sz="4" w:space="0"/>
              <w:left w:val="single" w:color="auto" w:sz="4" w:space="0"/>
              <w:bottom w:val="single" w:color="auto" w:sz="4" w:space="0"/>
              <w:right w:val="single" w:color="auto" w:sz="4" w:space="0"/>
            </w:tcBorders>
            <w:vAlign w:val="center"/>
          </w:tcPr>
          <w:p w14:paraId="36690A6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2EEA1D5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6A0F16B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44A3B8F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7B3016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7F8D0C8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1CE0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1600C7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2</w:t>
            </w:r>
          </w:p>
        </w:tc>
        <w:tc>
          <w:tcPr>
            <w:tcW w:w="5254" w:type="dxa"/>
            <w:tcBorders>
              <w:top w:val="single" w:color="auto" w:sz="4" w:space="0"/>
              <w:left w:val="single" w:color="auto" w:sz="4" w:space="0"/>
              <w:bottom w:val="single" w:color="auto" w:sz="4" w:space="0"/>
              <w:right w:val="single" w:color="auto" w:sz="4" w:space="0"/>
            </w:tcBorders>
            <w:vAlign w:val="center"/>
          </w:tcPr>
          <w:p w14:paraId="5CDDF2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6D1D62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4B2E9D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2F41D9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2DD8B0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0E05EEC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1F9A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4BA9AD0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3</w:t>
            </w:r>
          </w:p>
        </w:tc>
        <w:tc>
          <w:tcPr>
            <w:tcW w:w="5254" w:type="dxa"/>
            <w:tcBorders>
              <w:top w:val="single" w:color="auto" w:sz="4" w:space="0"/>
              <w:left w:val="single" w:color="auto" w:sz="4" w:space="0"/>
              <w:bottom w:val="single" w:color="auto" w:sz="4" w:space="0"/>
              <w:right w:val="single" w:color="auto" w:sz="4" w:space="0"/>
            </w:tcBorders>
            <w:vAlign w:val="center"/>
          </w:tcPr>
          <w:p w14:paraId="7165836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1113218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72F94AC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52C41EF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6B25B7E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181D551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3DD3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3EAE79F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4</w:t>
            </w:r>
          </w:p>
        </w:tc>
        <w:tc>
          <w:tcPr>
            <w:tcW w:w="5254" w:type="dxa"/>
            <w:tcBorders>
              <w:top w:val="single" w:color="auto" w:sz="4" w:space="0"/>
              <w:left w:val="single" w:color="auto" w:sz="4" w:space="0"/>
              <w:bottom w:val="single" w:color="auto" w:sz="4" w:space="0"/>
              <w:right w:val="single" w:color="auto" w:sz="4" w:space="0"/>
            </w:tcBorders>
            <w:vAlign w:val="center"/>
          </w:tcPr>
          <w:p w14:paraId="68BD92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56C4C8E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07F08AA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2B1E64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6EC8EE9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19A0ABF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4D83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6778FD4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5</w:t>
            </w:r>
          </w:p>
        </w:tc>
        <w:tc>
          <w:tcPr>
            <w:tcW w:w="5254" w:type="dxa"/>
            <w:tcBorders>
              <w:top w:val="single" w:color="auto" w:sz="4" w:space="0"/>
              <w:left w:val="single" w:color="auto" w:sz="4" w:space="0"/>
              <w:bottom w:val="single" w:color="auto" w:sz="4" w:space="0"/>
              <w:right w:val="single" w:color="auto" w:sz="4" w:space="0"/>
            </w:tcBorders>
            <w:vAlign w:val="center"/>
          </w:tcPr>
          <w:p w14:paraId="6506032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宋体" w:eastAsia="仿宋_GB2312"/>
                <w:b/>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2709B7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6FC64EE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18E8DE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1568AA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50C473D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5AFD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385850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6</w:t>
            </w:r>
          </w:p>
        </w:tc>
        <w:tc>
          <w:tcPr>
            <w:tcW w:w="5254" w:type="dxa"/>
            <w:tcBorders>
              <w:top w:val="single" w:color="auto" w:sz="4" w:space="0"/>
              <w:left w:val="single" w:color="auto" w:sz="4" w:space="0"/>
              <w:bottom w:val="single" w:color="auto" w:sz="4" w:space="0"/>
              <w:right w:val="single" w:color="auto" w:sz="4" w:space="0"/>
            </w:tcBorders>
            <w:vAlign w:val="center"/>
          </w:tcPr>
          <w:p w14:paraId="67403FC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宋体" w:eastAsia="仿宋_GB2312"/>
                <w:b/>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386C3D0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2C18ABB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53C0D01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513EFF5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0D46B6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3749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591E4B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7</w:t>
            </w:r>
          </w:p>
        </w:tc>
        <w:tc>
          <w:tcPr>
            <w:tcW w:w="5254" w:type="dxa"/>
            <w:tcBorders>
              <w:top w:val="single" w:color="auto" w:sz="4" w:space="0"/>
              <w:left w:val="single" w:color="auto" w:sz="4" w:space="0"/>
              <w:bottom w:val="single" w:color="auto" w:sz="4" w:space="0"/>
              <w:right w:val="single" w:color="auto" w:sz="4" w:space="0"/>
            </w:tcBorders>
            <w:vAlign w:val="center"/>
          </w:tcPr>
          <w:p w14:paraId="006B84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宋体" w:eastAsia="仿宋_GB2312"/>
                <w:b/>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0AA53BE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5BE9EA0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135DD37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46AB2E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725D880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448A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46DBF8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8</w:t>
            </w:r>
          </w:p>
        </w:tc>
        <w:tc>
          <w:tcPr>
            <w:tcW w:w="5254" w:type="dxa"/>
            <w:tcBorders>
              <w:top w:val="single" w:color="auto" w:sz="4" w:space="0"/>
              <w:left w:val="single" w:color="auto" w:sz="4" w:space="0"/>
              <w:bottom w:val="single" w:color="auto" w:sz="4" w:space="0"/>
              <w:right w:val="single" w:color="auto" w:sz="4" w:space="0"/>
            </w:tcBorders>
            <w:vAlign w:val="center"/>
          </w:tcPr>
          <w:p w14:paraId="3BE6FDB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宋体" w:eastAsia="仿宋_GB2312"/>
                <w:b/>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649A46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7EDF9C3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233E3A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53B2B1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54A3D38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3BD6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6AE38D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9</w:t>
            </w:r>
          </w:p>
        </w:tc>
        <w:tc>
          <w:tcPr>
            <w:tcW w:w="5254" w:type="dxa"/>
            <w:tcBorders>
              <w:top w:val="single" w:color="auto" w:sz="4" w:space="0"/>
              <w:left w:val="single" w:color="auto" w:sz="4" w:space="0"/>
              <w:bottom w:val="single" w:color="auto" w:sz="4" w:space="0"/>
              <w:right w:val="single" w:color="auto" w:sz="4" w:space="0"/>
            </w:tcBorders>
            <w:vAlign w:val="center"/>
          </w:tcPr>
          <w:p w14:paraId="40DD0B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宋体" w:eastAsia="仿宋_GB2312"/>
                <w:b/>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41AB224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4EEE5B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1FB23F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2C86A50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5767A8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4999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59A2F38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10</w:t>
            </w:r>
          </w:p>
        </w:tc>
        <w:tc>
          <w:tcPr>
            <w:tcW w:w="5254" w:type="dxa"/>
            <w:tcBorders>
              <w:top w:val="single" w:color="auto" w:sz="4" w:space="0"/>
              <w:left w:val="single" w:color="auto" w:sz="4" w:space="0"/>
              <w:bottom w:val="single" w:color="auto" w:sz="4" w:space="0"/>
              <w:right w:val="single" w:color="auto" w:sz="4" w:space="0"/>
            </w:tcBorders>
            <w:vAlign w:val="center"/>
          </w:tcPr>
          <w:p w14:paraId="4B1948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宋体" w:eastAsia="仿宋_GB2312"/>
                <w:b/>
                <w:color w:val="auto"/>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7634721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7001BF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700B6F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7B42F6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6B25B2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267D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14:paraId="183C2D2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w:t>
            </w:r>
          </w:p>
        </w:tc>
        <w:tc>
          <w:tcPr>
            <w:tcW w:w="5254" w:type="dxa"/>
            <w:tcBorders>
              <w:top w:val="single" w:color="auto" w:sz="4" w:space="0"/>
              <w:left w:val="single" w:color="auto" w:sz="4" w:space="0"/>
              <w:bottom w:val="single" w:color="auto" w:sz="4" w:space="0"/>
              <w:right w:val="single" w:color="auto" w:sz="4" w:space="0"/>
            </w:tcBorders>
            <w:vAlign w:val="center"/>
          </w:tcPr>
          <w:p w14:paraId="2879FD7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宋体" w:eastAsia="仿宋_GB2312"/>
                <w:b/>
                <w:color w:val="auto"/>
                <w:sz w:val="24"/>
              </w:rPr>
            </w:pPr>
            <w:r>
              <w:rPr>
                <w:rFonts w:hint="eastAsia" w:ascii="仿宋_GB2312" w:hAnsi="宋体" w:eastAsia="仿宋_GB2312"/>
                <w:b/>
                <w:color w:val="auto"/>
                <w:sz w:val="24"/>
              </w:rPr>
              <w:t>…</w:t>
            </w:r>
          </w:p>
        </w:tc>
        <w:tc>
          <w:tcPr>
            <w:tcW w:w="1601" w:type="dxa"/>
            <w:tcBorders>
              <w:top w:val="single" w:color="auto" w:sz="4" w:space="0"/>
              <w:left w:val="single" w:color="auto" w:sz="4" w:space="0"/>
              <w:bottom w:val="single" w:color="auto" w:sz="4" w:space="0"/>
              <w:right w:val="single" w:color="auto" w:sz="4" w:space="0"/>
            </w:tcBorders>
            <w:vAlign w:val="center"/>
          </w:tcPr>
          <w:p w14:paraId="1F6E24C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宋体" w:eastAsia="仿宋_GB2312"/>
                <w:b/>
                <w:color w:val="auto"/>
                <w:sz w:val="24"/>
              </w:rPr>
              <w:t>…</w:t>
            </w:r>
          </w:p>
        </w:tc>
        <w:tc>
          <w:tcPr>
            <w:tcW w:w="1943" w:type="dxa"/>
            <w:tcBorders>
              <w:top w:val="single" w:color="auto" w:sz="4" w:space="0"/>
              <w:left w:val="single" w:color="auto" w:sz="4" w:space="0"/>
              <w:bottom w:val="single" w:color="auto" w:sz="4" w:space="0"/>
              <w:right w:val="single" w:color="auto" w:sz="4" w:space="0"/>
            </w:tcBorders>
            <w:vAlign w:val="center"/>
          </w:tcPr>
          <w:p w14:paraId="392828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宋体" w:eastAsia="仿宋_GB2312"/>
                <w:b/>
                <w:color w:val="auto"/>
                <w:sz w:val="24"/>
              </w:rPr>
              <w:t>…</w:t>
            </w:r>
          </w:p>
        </w:tc>
        <w:tc>
          <w:tcPr>
            <w:tcW w:w="1512" w:type="dxa"/>
            <w:tcBorders>
              <w:top w:val="single" w:color="auto" w:sz="4" w:space="0"/>
              <w:left w:val="single" w:color="auto" w:sz="4" w:space="0"/>
              <w:bottom w:val="single" w:color="auto" w:sz="4" w:space="0"/>
              <w:right w:val="single" w:color="auto" w:sz="4" w:space="0"/>
            </w:tcBorders>
            <w:vAlign w:val="center"/>
          </w:tcPr>
          <w:p w14:paraId="03CC4E3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宋体" w:eastAsia="仿宋_GB2312"/>
                <w:b/>
                <w:color w:val="auto"/>
                <w:sz w:val="24"/>
              </w:rPr>
              <w:t>…</w:t>
            </w:r>
          </w:p>
        </w:tc>
        <w:tc>
          <w:tcPr>
            <w:tcW w:w="1512" w:type="dxa"/>
            <w:tcBorders>
              <w:top w:val="single" w:color="auto" w:sz="4" w:space="0"/>
              <w:left w:val="single" w:color="auto" w:sz="4" w:space="0"/>
              <w:bottom w:val="single" w:color="auto" w:sz="4" w:space="0"/>
              <w:right w:val="single" w:color="auto" w:sz="4" w:space="0"/>
            </w:tcBorders>
            <w:vAlign w:val="center"/>
          </w:tcPr>
          <w:p w14:paraId="02661A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宋体" w:eastAsia="仿宋_GB2312"/>
                <w:b/>
                <w:color w:val="auto"/>
                <w:sz w:val="24"/>
              </w:rPr>
              <w:t>…</w:t>
            </w:r>
          </w:p>
        </w:tc>
        <w:tc>
          <w:tcPr>
            <w:tcW w:w="1512" w:type="dxa"/>
            <w:tcBorders>
              <w:top w:val="single" w:color="auto" w:sz="4" w:space="0"/>
              <w:left w:val="single" w:color="auto" w:sz="4" w:space="0"/>
              <w:bottom w:val="single" w:color="auto" w:sz="4" w:space="0"/>
              <w:right w:val="single" w:color="auto" w:sz="4" w:space="0"/>
            </w:tcBorders>
            <w:vAlign w:val="center"/>
          </w:tcPr>
          <w:p w14:paraId="33A53AC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r>
              <w:rPr>
                <w:rFonts w:hint="eastAsia" w:ascii="仿宋_GB2312" w:hAnsi="宋体" w:eastAsia="仿宋_GB2312"/>
                <w:b/>
                <w:color w:val="auto"/>
                <w:sz w:val="24"/>
              </w:rPr>
              <w:t>…</w:t>
            </w:r>
          </w:p>
        </w:tc>
      </w:tr>
      <w:tr w14:paraId="424E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724F510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lang w:val="en-US" w:eastAsia="zh-CN"/>
              </w:rPr>
              <w:t>总价</w:t>
            </w:r>
            <w:r>
              <w:rPr>
                <w:rFonts w:hint="eastAsia" w:ascii="仿宋_GB2312" w:hAnsi="仿宋" w:eastAsia="仿宋_GB2312" w:cs="仿宋_GB2312"/>
                <w:b/>
                <w:color w:val="auto"/>
                <w:sz w:val="24"/>
              </w:rPr>
              <w:t>（小写）</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378613A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r w14:paraId="3388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7C7A8D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lang w:val="en-US" w:eastAsia="zh-CN"/>
              </w:rPr>
              <w:t>总价（</w:t>
            </w:r>
            <w:r>
              <w:rPr>
                <w:rFonts w:hint="eastAsia" w:ascii="仿宋_GB2312" w:hAnsi="仿宋" w:eastAsia="仿宋_GB2312" w:cs="仿宋_GB2312"/>
                <w:b/>
                <w:color w:val="auto"/>
                <w:sz w:val="24"/>
              </w:rPr>
              <w:t>大写）</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6438FE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仿宋_GB2312" w:hAnsi="仿宋" w:eastAsia="仿宋_GB2312" w:cs="仿宋_GB2312"/>
                <w:color w:val="auto"/>
                <w:sz w:val="24"/>
              </w:rPr>
            </w:pPr>
          </w:p>
        </w:tc>
      </w:tr>
    </w:tbl>
    <w:p w14:paraId="64E4E960">
      <w:pPr>
        <w:snapToGrid w:val="0"/>
        <w:spacing w:line="360" w:lineRule="auto"/>
        <w:ind w:left="480"/>
        <w:rPr>
          <w:rFonts w:ascii="仿宋_GB2312" w:hAnsi="仿宋" w:eastAsia="仿宋_GB2312" w:cs="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r>
        <w:rPr>
          <w:rFonts w:hint="eastAsia"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en-US" w:eastAsia="zh-CN"/>
        </w:rPr>
        <w:t>.</w:t>
      </w:r>
      <w:r>
        <w:rPr>
          <w:rFonts w:hint="eastAsia" w:ascii="仿宋" w:hAnsi="仿宋" w:eastAsia="仿宋" w:cs="仿宋"/>
          <w:bCs/>
          <w:color w:val="auto"/>
          <w:sz w:val="24"/>
          <w:szCs w:val="24"/>
        </w:rPr>
        <w:t>不提供此表格的将视为没有实质性响应招标文件</w:t>
      </w:r>
      <w:r>
        <w:rPr>
          <w:rFonts w:hint="eastAsia" w:ascii="仿宋_GB2312" w:hAnsi="仿宋" w:eastAsia="仿宋_GB2312" w:cs="仿宋_GB2312"/>
          <w:color w:val="auto"/>
          <w:kern w:val="0"/>
          <w:sz w:val="24"/>
          <w:highlight w:val="none"/>
          <w:lang w:val="zh-CN"/>
        </w:rPr>
        <w:t>。</w:t>
      </w:r>
    </w:p>
    <w:p w14:paraId="4C6232F4">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各项明细费用请按实填写（不得出现“0元”“免费赠送”等形式的无偿报价）；采购内容未包含在《</w:t>
      </w:r>
      <w:r>
        <w:rPr>
          <w:rFonts w:hint="eastAsia" w:ascii="仿宋_GB2312" w:hAnsi="仿宋" w:eastAsia="仿宋_GB2312" w:cs="仿宋_GB2312"/>
          <w:b/>
          <w:color w:val="auto"/>
          <w:kern w:val="0"/>
          <w:sz w:val="24"/>
          <w:highlight w:val="none"/>
          <w:lang w:val="en-US" w:eastAsia="zh-CN"/>
        </w:rPr>
        <w:t>报价明细</w:t>
      </w:r>
      <w:r>
        <w:rPr>
          <w:rFonts w:hint="eastAsia" w:ascii="仿宋_GB2312" w:hAnsi="仿宋" w:eastAsia="仿宋_GB2312" w:cs="仿宋_GB2312"/>
          <w:b/>
          <w:color w:val="auto"/>
          <w:kern w:val="0"/>
          <w:sz w:val="24"/>
          <w:highlight w:val="none"/>
          <w:lang w:val="zh-CN"/>
        </w:rPr>
        <w:t>表》报价内容（报价名称）中，投标人不能作出合理解释的，采购人将不接受该报价。</w:t>
      </w:r>
    </w:p>
    <w:p w14:paraId="6A28FB7D">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rPr>
        <w:t>以上表格要求细分项目及报价，在“规格型号（或具体服务）”一栏中，货物类项目填写规格型号，服务类项目填写具体服务。</w:t>
      </w:r>
    </w:p>
    <w:p w14:paraId="68DDF098">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rPr>
        <w:t>特别提示：根据《中华人民共和国政府采购法实施条例》第四十三条规定，在中标或者成交公告的内容中增加本表，请各供应商认真填写，确保相关数据的真实性、完整性和合理性。</w:t>
      </w:r>
    </w:p>
    <w:p w14:paraId="7DF8278D">
      <w:pPr>
        <w:pStyle w:val="15"/>
        <w:adjustRightInd w:val="0"/>
        <w:snapToGrid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szCs w:val="22"/>
          <w:highlight w:val="none"/>
          <w:lang w:val="en-US" w:eastAsia="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3A21E33D">
      <w:pPr>
        <w:pStyle w:val="15"/>
        <w:adjustRightInd w:val="0"/>
        <w:snapToGrid w:val="0"/>
        <w:spacing w:line="360" w:lineRule="auto"/>
        <w:ind w:firstLine="480" w:firstLineChars="200"/>
        <w:rPr>
          <w:rFonts w:hint="default" w:ascii="仿宋" w:hAnsi="仿宋" w:eastAsia="仿宋_GB2312" w:cs="仿宋"/>
          <w:bCs/>
          <w:color w:val="auto"/>
          <w:sz w:val="24"/>
          <w:szCs w:val="24"/>
          <w:lang w:val="en-US" w:eastAsia="zh-CN"/>
        </w:rPr>
      </w:pPr>
      <w:r>
        <w:rPr>
          <w:rFonts w:hint="eastAsia" w:ascii="仿宋_GB2312" w:hAnsi="仿宋" w:eastAsia="仿宋_GB2312" w:cs="仿宋_GB2312"/>
          <w:color w:val="auto"/>
          <w:kern w:val="0"/>
          <w:sz w:val="24"/>
          <w:highlight w:val="none"/>
          <w:lang w:val="en-US" w:eastAsia="zh-CN"/>
        </w:rPr>
        <w:t>6.本表可延续，投标人不得更改本表基本格式。</w:t>
      </w:r>
    </w:p>
    <w:p w14:paraId="057C8564">
      <w:pPr>
        <w:tabs>
          <w:tab w:val="left" w:pos="1079"/>
        </w:tabs>
        <w:ind w:left="0"/>
        <w:outlineLvl w:val="9"/>
        <w:rPr>
          <w:rFonts w:ascii="仿宋" w:hAnsi="仿宋" w:eastAsia="仿宋" w:cs="仿宋"/>
          <w:color w:val="auto"/>
          <w:sz w:val="32"/>
          <w:szCs w:val="32"/>
        </w:rPr>
      </w:pPr>
    </w:p>
    <w:p w14:paraId="4FB93246">
      <w:pPr>
        <w:pStyle w:val="15"/>
        <w:adjustRightInd w:val="0"/>
        <w:snapToGrid w:val="0"/>
        <w:spacing w:line="480" w:lineRule="auto"/>
        <w:rPr>
          <w:rFonts w:ascii="仿宋" w:hAnsi="仿宋" w:eastAsia="仿宋" w:cs="仿宋"/>
          <w:color w:val="auto"/>
          <w:sz w:val="24"/>
          <w:szCs w:val="24"/>
        </w:rPr>
      </w:pP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szCs w:val="24"/>
        </w:rPr>
        <w:t>：</w:t>
      </w:r>
    </w:p>
    <w:p w14:paraId="6FA32B81">
      <w:pPr>
        <w:pStyle w:val="15"/>
        <w:adjustRightInd w:val="0"/>
        <w:snapToGrid w:val="0"/>
        <w:spacing w:line="480" w:lineRule="auto"/>
        <w:rPr>
          <w:rFonts w:ascii="仿宋" w:hAnsi="仿宋" w:eastAsia="仿宋" w:cs="仿宋"/>
          <w:color w:val="auto"/>
          <w:sz w:val="24"/>
          <w:szCs w:val="24"/>
        </w:rPr>
      </w:pPr>
      <w:r>
        <w:rPr>
          <w:rFonts w:hint="eastAsia" w:ascii="仿宋" w:hAnsi="仿宋" w:eastAsia="仿宋" w:cs="仿宋"/>
          <w:color w:val="auto"/>
          <w:sz w:val="24"/>
          <w:szCs w:val="24"/>
        </w:rPr>
        <w:t>法定代表人或授权代表(签字</w:t>
      </w:r>
      <w:r>
        <w:rPr>
          <w:rFonts w:hint="eastAsia" w:ascii="仿宋" w:hAnsi="仿宋" w:eastAsia="仿宋" w:cs="仿宋"/>
          <w:color w:val="auto"/>
          <w:sz w:val="24"/>
          <w:szCs w:val="24"/>
          <w:lang w:val="en-US" w:eastAsia="zh-CN"/>
        </w:rPr>
        <w:t>或盖章</w:t>
      </w:r>
      <w:r>
        <w:rPr>
          <w:rFonts w:hint="eastAsia" w:ascii="仿宋" w:hAnsi="仿宋" w:eastAsia="仿宋" w:cs="仿宋"/>
          <w:color w:val="auto"/>
          <w:sz w:val="24"/>
          <w:szCs w:val="24"/>
        </w:rPr>
        <w:t>)：</w:t>
      </w:r>
    </w:p>
    <w:p w14:paraId="0BE33AB8">
      <w:pPr>
        <w:rPr>
          <w:rFonts w:hint="eastAsia" w:ascii="仿宋" w:hAnsi="仿宋" w:eastAsia="仿宋" w:cs="仿宋"/>
          <w:color w:val="auto"/>
          <w:sz w:val="24"/>
          <w:szCs w:val="24"/>
          <w:lang w:val="en-US"/>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rPr>
        <w:t xml:space="preserve">    年  月  日</w:t>
      </w:r>
    </w:p>
    <w:p w14:paraId="5300F306">
      <w:pPr>
        <w:rPr>
          <w:color w:val="auto"/>
        </w:rPr>
      </w:pPr>
    </w:p>
    <w:p w14:paraId="76D99403">
      <w:pPr>
        <w:pStyle w:val="6"/>
        <w:rPr>
          <w:color w:val="auto"/>
        </w:rPr>
        <w:sectPr>
          <w:pgSz w:w="16840" w:h="11910" w:orient="landscape"/>
          <w:pgMar w:top="1134" w:right="1134" w:bottom="1134" w:left="1134" w:header="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pPr>
    </w:p>
    <w:p w14:paraId="4F0EEF83">
      <w:pPr>
        <w:keepNext w:val="0"/>
        <w:keepLines w:val="0"/>
        <w:pageBreakBefore w:val="0"/>
        <w:kinsoku/>
        <w:wordWrap/>
        <w:overflowPunct/>
        <w:topLinePunct w:val="0"/>
        <w:autoSpaceDE w:val="0"/>
        <w:autoSpaceDN w:val="0"/>
        <w:bidi w:val="0"/>
        <w:snapToGrid/>
        <w:spacing w:before="49" w:line="400" w:lineRule="exact"/>
        <w:ind w:left="1217" w:right="1232"/>
        <w:jc w:val="center"/>
        <w:rPr>
          <w:rFonts w:hint="eastAsia" w:ascii="仿宋" w:hAnsi="仿宋" w:eastAsia="仿宋" w:cs="仿宋"/>
          <w:b/>
          <w:color w:val="auto"/>
          <w:sz w:val="36"/>
        </w:rPr>
      </w:pPr>
      <w:r>
        <w:rPr>
          <w:rFonts w:hint="eastAsia" w:ascii="仿宋" w:hAnsi="仿宋" w:eastAsia="仿宋" w:cs="仿宋"/>
          <w:b/>
          <w:color w:val="auto"/>
          <w:sz w:val="32"/>
          <w:szCs w:val="21"/>
        </w:rPr>
        <w:t>（</w:t>
      </w:r>
      <w:r>
        <w:rPr>
          <w:rFonts w:hint="eastAsia" w:ascii="仿宋" w:hAnsi="仿宋" w:eastAsia="仿宋" w:cs="仿宋"/>
          <w:b/>
          <w:color w:val="auto"/>
          <w:sz w:val="32"/>
          <w:szCs w:val="21"/>
          <w:lang w:val="en-US"/>
        </w:rPr>
        <w:t>3</w:t>
      </w:r>
      <w:r>
        <w:rPr>
          <w:rFonts w:hint="eastAsia" w:ascii="仿宋" w:hAnsi="仿宋" w:eastAsia="仿宋" w:cs="仿宋"/>
          <w:b/>
          <w:color w:val="auto"/>
          <w:sz w:val="32"/>
          <w:szCs w:val="21"/>
        </w:rPr>
        <w:t>）</w:t>
      </w:r>
      <w:r>
        <w:rPr>
          <w:rFonts w:hint="eastAsia" w:ascii="仿宋" w:hAnsi="仿宋" w:eastAsia="仿宋" w:cs="仿宋"/>
          <w:b/>
          <w:color w:val="auto"/>
          <w:sz w:val="32"/>
          <w:szCs w:val="21"/>
          <w:lang w:val="en-US" w:eastAsia="zh-CN"/>
        </w:rPr>
        <w:t>中小</w:t>
      </w:r>
      <w:r>
        <w:rPr>
          <w:rFonts w:hint="eastAsia" w:ascii="仿宋" w:hAnsi="仿宋" w:eastAsia="仿宋" w:cs="仿宋"/>
          <w:b/>
          <w:color w:val="auto"/>
          <w:sz w:val="32"/>
          <w:szCs w:val="21"/>
        </w:rPr>
        <w:t>企业声明函（</w:t>
      </w:r>
      <w:r>
        <w:rPr>
          <w:rFonts w:hint="eastAsia" w:ascii="仿宋" w:hAnsi="仿宋" w:eastAsia="仿宋" w:cs="仿宋"/>
          <w:b/>
          <w:color w:val="auto"/>
          <w:sz w:val="32"/>
          <w:szCs w:val="21"/>
          <w:lang w:val="en-US" w:eastAsia="zh-CN"/>
        </w:rPr>
        <w:t>货物</w:t>
      </w:r>
      <w:r>
        <w:rPr>
          <w:rFonts w:hint="eastAsia" w:ascii="仿宋" w:hAnsi="仿宋" w:eastAsia="仿宋" w:cs="仿宋"/>
          <w:b/>
          <w:color w:val="auto"/>
          <w:sz w:val="32"/>
          <w:szCs w:val="21"/>
        </w:rPr>
        <w:t>）</w:t>
      </w:r>
    </w:p>
    <w:p w14:paraId="55D05957">
      <w:pPr>
        <w:pStyle w:val="2"/>
        <w:keepNext w:val="0"/>
        <w:keepLines w:val="0"/>
        <w:pageBreakBefore w:val="0"/>
        <w:kinsoku/>
        <w:wordWrap/>
        <w:overflowPunct/>
        <w:topLinePunct w:val="0"/>
        <w:autoSpaceDE w:val="0"/>
        <w:autoSpaceDN w:val="0"/>
        <w:bidi w:val="0"/>
        <w:snapToGrid/>
        <w:spacing w:before="6" w:line="400" w:lineRule="exact"/>
        <w:rPr>
          <w:rFonts w:hint="eastAsia" w:ascii="仿宋" w:hAnsi="仿宋" w:eastAsia="仿宋" w:cs="仿宋"/>
          <w:b/>
          <w:color w:val="auto"/>
          <w:sz w:val="51"/>
        </w:rPr>
      </w:pPr>
    </w:p>
    <w:p w14:paraId="70BAD0FC">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本公司（联合体）郑重声明，根据《政府采购促进中小企业发展管理办法》（财库﹝2020﹞46 号）的规定，本公司（联合体）参加</w:t>
      </w:r>
      <w:r>
        <w:rPr>
          <w:rFonts w:hint="eastAsia" w:ascii="仿宋" w:hAnsi="仿宋" w:eastAsia="仿宋" w:cs="仿宋"/>
          <w:b w:val="0"/>
          <w:bCs/>
          <w:color w:val="auto"/>
          <w:sz w:val="24"/>
          <w:u w:val="single"/>
          <w:lang w:val="en-US" w:eastAsia="zh-CN"/>
        </w:rPr>
        <w:t>龙港市世纪中学</w:t>
      </w:r>
      <w:r>
        <w:rPr>
          <w:rFonts w:hint="eastAsia" w:ascii="仿宋" w:hAnsi="仿宋" w:eastAsia="仿宋" w:cs="仿宋"/>
          <w:b w:val="0"/>
          <w:bCs/>
          <w:color w:val="auto"/>
          <w:sz w:val="24"/>
        </w:rPr>
        <w:t>的</w:t>
      </w:r>
      <w:r>
        <w:rPr>
          <w:rFonts w:hint="eastAsia" w:ascii="仿宋" w:hAnsi="仿宋" w:eastAsia="仿宋" w:cs="仿宋"/>
          <w:b w:val="0"/>
          <w:bCs/>
          <w:color w:val="auto"/>
          <w:sz w:val="24"/>
          <w:u w:val="single"/>
          <w:lang w:eastAsia="zh-CN"/>
        </w:rPr>
        <w:t>龙港市世纪中学功能教室设备仪器采购项目</w:t>
      </w:r>
      <w:r>
        <w:rPr>
          <w:rFonts w:hint="eastAsia" w:ascii="仿宋" w:hAnsi="仿宋" w:eastAsia="仿宋" w:cs="仿宋"/>
          <w:b w:val="0"/>
          <w:bCs/>
          <w:color w:val="auto"/>
          <w:sz w:val="24"/>
        </w:rPr>
        <w:t>采购活动，</w:t>
      </w:r>
      <w:r>
        <w:rPr>
          <w:rFonts w:hint="eastAsia" w:ascii="仿宋" w:hAnsi="仿宋" w:eastAsia="仿宋" w:cs="仿宋"/>
          <w:b w:val="0"/>
          <w:bCs/>
          <w:color w:val="auto"/>
          <w:sz w:val="24"/>
          <w:lang w:val="en-US" w:eastAsia="zh-CN"/>
        </w:rPr>
        <w:t>提供的货物全部由符合政策要求的中小企业制造</w:t>
      </w:r>
      <w:r>
        <w:rPr>
          <w:rFonts w:hint="eastAsia" w:ascii="仿宋" w:hAnsi="仿宋" w:eastAsia="仿宋" w:cs="仿宋"/>
          <w:b w:val="0"/>
          <w:bCs/>
          <w:color w:val="auto"/>
          <w:sz w:val="24"/>
        </w:rPr>
        <w:t>。相关企业（含联合体中的中小企业、签订分包意向协议的中小企业）的具体情况如下：</w:t>
      </w:r>
    </w:p>
    <w:p w14:paraId="007418C3">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 xml:space="preserve">1. </w:t>
      </w:r>
      <w:r>
        <w:rPr>
          <w:rFonts w:hint="eastAsia" w:ascii="仿宋" w:hAnsi="仿宋" w:eastAsia="仿宋" w:cs="仿宋"/>
          <w:b w:val="0"/>
          <w:bCs/>
          <w:color w:val="auto"/>
          <w:sz w:val="24"/>
          <w:u w:val="single"/>
        </w:rPr>
        <w:t xml:space="preserve">（标的名称） </w:t>
      </w:r>
      <w:r>
        <w:rPr>
          <w:rFonts w:hint="eastAsia" w:ascii="仿宋" w:hAnsi="仿宋" w:eastAsia="仿宋" w:cs="仿宋"/>
          <w:b w:val="0"/>
          <w:bCs/>
          <w:color w:val="auto"/>
          <w:sz w:val="24"/>
        </w:rPr>
        <w:t>，属于</w:t>
      </w:r>
      <w:r>
        <w:rPr>
          <w:rFonts w:hint="eastAsia" w:ascii="仿宋" w:hAnsi="仿宋" w:eastAsia="仿宋" w:cs="仿宋"/>
          <w:b w:val="0"/>
          <w:bCs/>
          <w:color w:val="auto"/>
          <w:sz w:val="24"/>
          <w:u w:val="single"/>
          <w:lang w:val="en-US" w:eastAsia="zh-CN"/>
        </w:rPr>
        <w:t xml:space="preserve"> 工业 </w:t>
      </w:r>
      <w:r>
        <w:rPr>
          <w:rFonts w:hint="eastAsia" w:ascii="仿宋" w:hAnsi="仿宋" w:eastAsia="仿宋" w:cs="仿宋"/>
          <w:b w:val="0"/>
          <w:bCs/>
          <w:color w:val="auto"/>
          <w:sz w:val="24"/>
        </w:rPr>
        <w:t>；</w:t>
      </w:r>
      <w:r>
        <w:rPr>
          <w:rFonts w:hint="eastAsia" w:ascii="仿宋" w:hAnsi="仿宋" w:eastAsia="仿宋" w:cs="仿宋"/>
          <w:b w:val="0"/>
          <w:bCs/>
          <w:color w:val="auto"/>
          <w:sz w:val="24"/>
          <w:lang w:val="en-US" w:eastAsia="zh-CN"/>
        </w:rPr>
        <w:t>制造商</w:t>
      </w:r>
      <w:r>
        <w:rPr>
          <w:rFonts w:hint="eastAsia" w:ascii="仿宋" w:hAnsi="仿宋" w:eastAsia="仿宋" w:cs="仿宋"/>
          <w:b w:val="0"/>
          <w:bCs/>
          <w:color w:val="auto"/>
          <w:sz w:val="24"/>
        </w:rPr>
        <w:t>为</w:t>
      </w:r>
      <w:r>
        <w:rPr>
          <w:rFonts w:hint="eastAsia" w:ascii="仿宋" w:hAnsi="仿宋" w:eastAsia="仿宋" w:cs="仿宋"/>
          <w:b w:val="0"/>
          <w:bCs/>
          <w:color w:val="auto"/>
          <w:sz w:val="24"/>
          <w:u w:val="single"/>
        </w:rPr>
        <w:t>（企业名称）</w:t>
      </w:r>
      <w:r>
        <w:rPr>
          <w:rFonts w:hint="eastAsia" w:ascii="仿宋" w:hAnsi="仿宋" w:eastAsia="仿宋" w:cs="仿宋"/>
          <w:b w:val="0"/>
          <w:bCs/>
          <w:color w:val="auto"/>
          <w:sz w:val="24"/>
        </w:rPr>
        <w:t>，从业人员</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人，营业收入为</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万元，资产总额为</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万元</w:t>
      </w:r>
      <w:r>
        <w:rPr>
          <w:rFonts w:hint="eastAsia" w:ascii="仿宋" w:hAnsi="仿宋" w:eastAsia="仿宋" w:cs="仿宋"/>
          <w:b w:val="0"/>
          <w:bCs/>
          <w:color w:val="auto"/>
          <w:sz w:val="32"/>
          <w:szCs w:val="28"/>
          <w:vertAlign w:val="superscript"/>
          <w:lang w:val="en-US"/>
        </w:rPr>
        <w:t>1</w:t>
      </w:r>
      <w:r>
        <w:rPr>
          <w:rFonts w:hint="eastAsia" w:ascii="仿宋" w:hAnsi="仿宋" w:eastAsia="仿宋" w:cs="仿宋"/>
          <w:b w:val="0"/>
          <w:bCs/>
          <w:color w:val="auto"/>
          <w:sz w:val="24"/>
        </w:rPr>
        <w:t>，属于</w:t>
      </w:r>
      <w:r>
        <w:rPr>
          <w:rFonts w:hint="eastAsia" w:ascii="仿宋" w:hAnsi="仿宋" w:eastAsia="仿宋" w:cs="仿宋"/>
          <w:b w:val="0"/>
          <w:bCs/>
          <w:color w:val="auto"/>
          <w:sz w:val="24"/>
          <w:u w:val="single"/>
        </w:rPr>
        <w:t>（中型企业、小型企业、微型企业）</w:t>
      </w:r>
      <w:r>
        <w:rPr>
          <w:rFonts w:hint="eastAsia" w:ascii="仿宋" w:hAnsi="仿宋" w:eastAsia="仿宋" w:cs="仿宋"/>
          <w:b w:val="0"/>
          <w:bCs/>
          <w:color w:val="auto"/>
          <w:sz w:val="24"/>
        </w:rPr>
        <w:t>；</w:t>
      </w:r>
    </w:p>
    <w:p w14:paraId="5EC9318B">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 xml:space="preserve">2. </w:t>
      </w:r>
      <w:r>
        <w:rPr>
          <w:rFonts w:hint="eastAsia" w:ascii="仿宋" w:hAnsi="仿宋" w:eastAsia="仿宋" w:cs="仿宋"/>
          <w:b w:val="0"/>
          <w:bCs/>
          <w:color w:val="auto"/>
          <w:sz w:val="24"/>
          <w:u w:val="single"/>
        </w:rPr>
        <w:t xml:space="preserve">（标的名称） </w:t>
      </w:r>
      <w:r>
        <w:rPr>
          <w:rFonts w:hint="eastAsia" w:ascii="仿宋" w:hAnsi="仿宋" w:eastAsia="仿宋" w:cs="仿宋"/>
          <w:b w:val="0"/>
          <w:bCs/>
          <w:color w:val="auto"/>
          <w:sz w:val="24"/>
        </w:rPr>
        <w:t>，属于</w:t>
      </w:r>
      <w:r>
        <w:rPr>
          <w:rFonts w:hint="eastAsia" w:ascii="仿宋" w:hAnsi="仿宋" w:eastAsia="仿宋" w:cs="仿宋"/>
          <w:b w:val="0"/>
          <w:bCs/>
          <w:color w:val="auto"/>
          <w:sz w:val="24"/>
          <w:u w:val="single"/>
          <w:lang w:val="en-US" w:eastAsia="zh-CN"/>
        </w:rPr>
        <w:t xml:space="preserve"> 工业 </w:t>
      </w:r>
      <w:r>
        <w:rPr>
          <w:rFonts w:hint="eastAsia" w:ascii="仿宋" w:hAnsi="仿宋" w:eastAsia="仿宋" w:cs="仿宋"/>
          <w:b w:val="0"/>
          <w:bCs/>
          <w:color w:val="auto"/>
          <w:sz w:val="24"/>
        </w:rPr>
        <w:t>；</w:t>
      </w:r>
      <w:r>
        <w:rPr>
          <w:rFonts w:hint="eastAsia" w:ascii="仿宋" w:hAnsi="仿宋" w:eastAsia="仿宋" w:cs="仿宋"/>
          <w:b w:val="0"/>
          <w:bCs/>
          <w:color w:val="auto"/>
          <w:sz w:val="24"/>
          <w:lang w:val="en-US" w:eastAsia="zh-CN"/>
        </w:rPr>
        <w:t>制造商</w:t>
      </w:r>
      <w:r>
        <w:rPr>
          <w:rFonts w:hint="eastAsia" w:ascii="仿宋" w:hAnsi="仿宋" w:eastAsia="仿宋" w:cs="仿宋"/>
          <w:b w:val="0"/>
          <w:bCs/>
          <w:color w:val="auto"/>
          <w:sz w:val="24"/>
        </w:rPr>
        <w:t>为</w:t>
      </w:r>
      <w:r>
        <w:rPr>
          <w:rFonts w:hint="eastAsia" w:ascii="仿宋" w:hAnsi="仿宋" w:eastAsia="仿宋" w:cs="仿宋"/>
          <w:b w:val="0"/>
          <w:bCs/>
          <w:color w:val="auto"/>
          <w:sz w:val="24"/>
          <w:u w:val="single"/>
        </w:rPr>
        <w:t>（企业名称）</w:t>
      </w:r>
      <w:r>
        <w:rPr>
          <w:rFonts w:hint="eastAsia" w:ascii="仿宋" w:hAnsi="仿宋" w:eastAsia="仿宋" w:cs="仿宋"/>
          <w:b w:val="0"/>
          <w:bCs/>
          <w:color w:val="auto"/>
          <w:sz w:val="24"/>
        </w:rPr>
        <w:t>，从业人员</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人，营业收入为</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万元，资产总额为</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万元，属于</w:t>
      </w:r>
      <w:r>
        <w:rPr>
          <w:rFonts w:hint="eastAsia" w:ascii="仿宋" w:hAnsi="仿宋" w:eastAsia="仿宋" w:cs="仿宋"/>
          <w:b w:val="0"/>
          <w:bCs/>
          <w:color w:val="auto"/>
          <w:sz w:val="24"/>
          <w:u w:val="single"/>
        </w:rPr>
        <w:t>（中型企业、小型企业、微型企业）</w:t>
      </w:r>
      <w:r>
        <w:rPr>
          <w:rFonts w:hint="eastAsia" w:ascii="仿宋" w:hAnsi="仿宋" w:eastAsia="仿宋" w:cs="仿宋"/>
          <w:b w:val="0"/>
          <w:bCs/>
          <w:color w:val="auto"/>
          <w:sz w:val="24"/>
        </w:rPr>
        <w:t>；</w:t>
      </w:r>
    </w:p>
    <w:p w14:paraId="4F904AC3">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w:t>
      </w:r>
    </w:p>
    <w:p w14:paraId="53DCEEE3">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以上企业，不属于大企业的分支机构，不存在控股股东为大企业的情形，也不存在与大企业的负责人为同一人的情形。</w:t>
      </w:r>
    </w:p>
    <w:p w14:paraId="4A784836">
      <w:pPr>
        <w:keepNext w:val="0"/>
        <w:keepLines w:val="0"/>
        <w:pageBreakBefore w:val="0"/>
        <w:kinsoku/>
        <w:wordWrap/>
        <w:overflowPunct/>
        <w:topLinePunct w:val="0"/>
        <w:autoSpaceDE w:val="0"/>
        <w:autoSpaceDN w:val="0"/>
        <w:bidi w:val="0"/>
        <w:adjustRightInd w:val="0"/>
        <w:snapToGrid/>
        <w:spacing w:line="400" w:lineRule="exact"/>
        <w:ind w:firstLine="482" w:firstLineChars="200"/>
        <w:rPr>
          <w:rFonts w:hint="eastAsia" w:ascii="仿宋" w:hAnsi="仿宋" w:eastAsia="仿宋" w:cs="仿宋"/>
          <w:b w:val="0"/>
          <w:bCs/>
          <w:color w:val="auto"/>
          <w:sz w:val="24"/>
        </w:rPr>
      </w:pPr>
      <w:r>
        <w:rPr>
          <w:rFonts w:hint="eastAsia" w:ascii="仿宋" w:hAnsi="仿宋" w:eastAsia="仿宋" w:cs="仿宋"/>
          <w:b/>
          <w:bCs w:val="0"/>
          <w:color w:val="auto"/>
          <w:sz w:val="24"/>
        </w:rPr>
        <w:t>本企业对上述声明内容的真实性负责。如有虚假，将依法承担相应责任。</w:t>
      </w:r>
    </w:p>
    <w:p w14:paraId="3F9290C2">
      <w:pPr>
        <w:pStyle w:val="33"/>
        <w:keepNext w:val="0"/>
        <w:keepLines w:val="0"/>
        <w:pageBreakBefore w:val="0"/>
        <w:kinsoku/>
        <w:wordWrap/>
        <w:overflowPunct/>
        <w:topLinePunct w:val="0"/>
        <w:autoSpaceDE w:val="0"/>
        <w:autoSpaceDN w:val="0"/>
        <w:bidi w:val="0"/>
        <w:snapToGrid/>
        <w:spacing w:line="400" w:lineRule="exact"/>
        <w:rPr>
          <w:rFonts w:hint="eastAsia" w:ascii="仿宋" w:hAnsi="仿宋" w:eastAsia="仿宋" w:cs="仿宋"/>
          <w:b w:val="0"/>
          <w:bCs/>
          <w:color w:val="auto"/>
          <w:lang w:val="en-US"/>
        </w:rPr>
      </w:pPr>
    </w:p>
    <w:p w14:paraId="52092AE4">
      <w:pPr>
        <w:keepNext w:val="0"/>
        <w:keepLines w:val="0"/>
        <w:pageBreakBefore w:val="0"/>
        <w:widowControl/>
        <w:kinsoku/>
        <w:wordWrap/>
        <w:overflowPunct/>
        <w:topLinePunct w:val="0"/>
        <w:autoSpaceDE w:val="0"/>
        <w:autoSpaceDN w:val="0"/>
        <w:bidi w:val="0"/>
        <w:snapToGrid/>
        <w:spacing w:before="100" w:beforeAutospacing="1" w:after="100" w:afterAutospacing="1" w:line="400" w:lineRule="exact"/>
        <w:ind w:firstLine="5280" w:firstLineChars="2200"/>
        <w:jc w:val="both"/>
        <w:rPr>
          <w:rFonts w:hint="eastAsia" w:ascii="仿宋" w:hAnsi="仿宋" w:eastAsia="仿宋" w:cs="仿宋"/>
          <w:b w:val="0"/>
          <w:bCs/>
          <w:color w:val="auto"/>
          <w:sz w:val="24"/>
        </w:rPr>
      </w:pPr>
      <w:r>
        <w:rPr>
          <w:rFonts w:hint="eastAsia" w:ascii="仿宋" w:hAnsi="仿宋" w:eastAsia="仿宋" w:cs="仿宋"/>
          <w:b w:val="0"/>
          <w:bCs/>
          <w:color w:val="auto"/>
          <w:sz w:val="24"/>
          <w:lang w:val="en-US"/>
        </w:rPr>
        <w:t>投标人</w:t>
      </w:r>
      <w:r>
        <w:rPr>
          <w:rFonts w:hint="eastAsia" w:ascii="仿宋" w:hAnsi="仿宋" w:eastAsia="仿宋" w:cs="仿宋"/>
          <w:b w:val="0"/>
          <w:bCs/>
          <w:color w:val="auto"/>
          <w:sz w:val="24"/>
        </w:rPr>
        <w:t>名称（盖章）：</w:t>
      </w:r>
    </w:p>
    <w:p w14:paraId="7DD73A9E">
      <w:pPr>
        <w:keepNext w:val="0"/>
        <w:keepLines w:val="0"/>
        <w:pageBreakBefore w:val="0"/>
        <w:widowControl/>
        <w:kinsoku/>
        <w:wordWrap/>
        <w:overflowPunct/>
        <w:topLinePunct w:val="0"/>
        <w:autoSpaceDE w:val="0"/>
        <w:autoSpaceDN w:val="0"/>
        <w:bidi w:val="0"/>
        <w:snapToGrid/>
        <w:spacing w:before="100" w:beforeAutospacing="1" w:after="100" w:afterAutospacing="1" w:line="400" w:lineRule="exact"/>
        <w:ind w:firstLine="5280" w:firstLineChars="2200"/>
        <w:jc w:val="both"/>
        <w:rPr>
          <w:rFonts w:hint="eastAsia" w:ascii="仿宋" w:hAnsi="仿宋" w:eastAsia="仿宋" w:cs="仿宋"/>
          <w:b w:val="0"/>
          <w:bCs/>
          <w:color w:val="auto"/>
          <w:sz w:val="24"/>
          <w:lang w:val="en-US"/>
        </w:rPr>
      </w:pPr>
      <w:r>
        <w:rPr>
          <w:rFonts w:hint="eastAsia" w:ascii="仿宋" w:hAnsi="仿宋" w:eastAsia="仿宋" w:cs="仿宋"/>
          <w:b w:val="0"/>
          <w:bCs/>
          <w:color w:val="auto"/>
          <w:sz w:val="24"/>
        </w:rPr>
        <w:t>日</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rPr>
        <w:t>期：</w:t>
      </w:r>
      <w:r>
        <w:rPr>
          <w:rFonts w:hint="eastAsia" w:ascii="仿宋" w:hAnsi="仿宋" w:eastAsia="仿宋" w:cs="仿宋"/>
          <w:b w:val="0"/>
          <w:bCs/>
          <w:color w:val="auto"/>
          <w:sz w:val="24"/>
          <w:lang w:val="en-US"/>
        </w:rPr>
        <w:t xml:space="preserve">    年  月  日</w:t>
      </w:r>
    </w:p>
    <w:p w14:paraId="3CE36627">
      <w:pPr>
        <w:pStyle w:val="2"/>
        <w:keepNext w:val="0"/>
        <w:keepLines w:val="0"/>
        <w:pageBreakBefore w:val="0"/>
        <w:kinsoku/>
        <w:wordWrap/>
        <w:overflowPunct/>
        <w:topLinePunct w:val="0"/>
        <w:autoSpaceDE w:val="0"/>
        <w:autoSpaceDN w:val="0"/>
        <w:bidi w:val="0"/>
        <w:snapToGrid/>
        <w:spacing w:line="400" w:lineRule="exact"/>
        <w:rPr>
          <w:rFonts w:hint="eastAsia" w:ascii="仿宋" w:hAnsi="仿宋" w:eastAsia="仿宋" w:cs="仿宋"/>
          <w:b w:val="0"/>
          <w:bCs/>
          <w:color w:val="auto"/>
          <w:sz w:val="32"/>
          <w:szCs w:val="28"/>
          <w:vertAlign w:val="superscript"/>
          <w:lang w:val="en-US"/>
        </w:rPr>
      </w:pPr>
    </w:p>
    <w:p w14:paraId="3330625B">
      <w:pPr>
        <w:keepNext w:val="0"/>
        <w:keepLines w:val="0"/>
        <w:pageBreakBefore w:val="0"/>
        <w:widowControl w:val="0"/>
        <w:tabs>
          <w:tab w:val="left" w:pos="7457"/>
        </w:tabs>
        <w:kinsoku/>
        <w:wordWrap/>
        <w:overflowPunct/>
        <w:topLinePunct w:val="0"/>
        <w:autoSpaceDE w:val="0"/>
        <w:autoSpaceDN w:val="0"/>
        <w:bidi w:val="0"/>
        <w:adjustRightInd w:val="0"/>
        <w:snapToGrid/>
        <w:spacing w:line="360" w:lineRule="exact"/>
        <w:ind w:firstLine="440" w:firstLineChars="200"/>
        <w:jc w:val="left"/>
        <w:textAlignment w:val="auto"/>
        <w:rPr>
          <w:rFonts w:hint="eastAsia" w:ascii="仿宋" w:hAnsi="仿宋" w:eastAsia="仿宋" w:cs="仿宋"/>
          <w:b w:val="0"/>
          <w:bCs/>
          <w:color w:val="auto"/>
          <w:kern w:val="0"/>
          <w:sz w:val="22"/>
          <w:szCs w:val="22"/>
          <w:lang w:val="en-US" w:eastAsia="zh-CN" w:bidi="ar-SA"/>
        </w:rPr>
      </w:pPr>
      <w:r>
        <w:rPr>
          <w:rFonts w:hint="eastAsia" w:ascii="仿宋" w:hAnsi="仿宋" w:eastAsia="仿宋" w:cs="仿宋"/>
          <w:b w:val="0"/>
          <w:bCs/>
          <w:color w:val="auto"/>
          <w:kern w:val="0"/>
          <w:sz w:val="22"/>
          <w:szCs w:val="22"/>
          <w:lang w:val="en-US" w:eastAsia="zh-CN" w:bidi="ar-SA"/>
        </w:rPr>
        <w:t>填写要求：1.“标的名称”、“采购文件中明确的所属行业”依据招标文件第二部分投标人须知前附表中“采购标的及其对应的中小企业划分标准所属行业”的指引，逐一填写，不得缺漏；</w:t>
      </w:r>
    </w:p>
    <w:p w14:paraId="1A122946">
      <w:pPr>
        <w:keepNext w:val="0"/>
        <w:keepLines w:val="0"/>
        <w:pageBreakBefore w:val="0"/>
        <w:widowControl w:val="0"/>
        <w:tabs>
          <w:tab w:val="left" w:pos="7457"/>
        </w:tabs>
        <w:kinsoku/>
        <w:wordWrap/>
        <w:overflowPunct/>
        <w:topLinePunct w:val="0"/>
        <w:autoSpaceDE w:val="0"/>
        <w:autoSpaceDN w:val="0"/>
        <w:bidi w:val="0"/>
        <w:adjustRightInd w:val="0"/>
        <w:snapToGrid/>
        <w:spacing w:line="360" w:lineRule="exact"/>
        <w:ind w:firstLine="440" w:firstLineChars="200"/>
        <w:jc w:val="left"/>
        <w:textAlignment w:val="auto"/>
        <w:rPr>
          <w:rFonts w:hint="eastAsia" w:ascii="仿宋" w:hAnsi="仿宋" w:eastAsia="仿宋" w:cs="仿宋"/>
          <w:b w:val="0"/>
          <w:bCs/>
          <w:color w:val="auto"/>
          <w:kern w:val="0"/>
          <w:sz w:val="22"/>
          <w:szCs w:val="22"/>
          <w:lang w:val="en-US" w:eastAsia="zh-CN" w:bidi="ar-SA"/>
        </w:rPr>
      </w:pPr>
      <w:r>
        <w:rPr>
          <w:rFonts w:hint="eastAsia" w:ascii="仿宋" w:hAnsi="仿宋" w:eastAsia="仿宋" w:cs="仿宋"/>
          <w:b w:val="0"/>
          <w:bCs/>
          <w:color w:val="auto"/>
          <w:kern w:val="0"/>
          <w:sz w:val="22"/>
          <w:szCs w:val="22"/>
          <w:lang w:val="en-US" w:eastAsia="zh-CN" w:bidi="ar-SA"/>
        </w:rPr>
        <w:t>2.中型企业、小型企业、微型企业等3种企业类型，结合以上数据，依据《中小企业划型标准规定》（工信部联企业〔2011〕300号）确定；</w:t>
      </w:r>
    </w:p>
    <w:p w14:paraId="6F521DB7">
      <w:pPr>
        <w:keepNext w:val="0"/>
        <w:keepLines w:val="0"/>
        <w:pageBreakBefore w:val="0"/>
        <w:widowControl w:val="0"/>
        <w:tabs>
          <w:tab w:val="left" w:pos="7457"/>
        </w:tabs>
        <w:kinsoku/>
        <w:wordWrap/>
        <w:overflowPunct/>
        <w:topLinePunct w:val="0"/>
        <w:autoSpaceDE w:val="0"/>
        <w:autoSpaceDN w:val="0"/>
        <w:bidi w:val="0"/>
        <w:adjustRightInd w:val="0"/>
        <w:snapToGrid/>
        <w:spacing w:line="360" w:lineRule="exact"/>
        <w:ind w:firstLine="440" w:firstLineChars="200"/>
        <w:jc w:val="left"/>
        <w:textAlignment w:val="auto"/>
        <w:rPr>
          <w:rFonts w:hint="eastAsia" w:ascii="仿宋" w:hAnsi="仿宋" w:eastAsia="仿宋" w:cs="仿宋"/>
          <w:b w:val="0"/>
          <w:bCs/>
          <w:color w:val="auto"/>
          <w:kern w:val="0"/>
          <w:sz w:val="22"/>
          <w:szCs w:val="22"/>
          <w:lang w:val="en-US" w:eastAsia="zh-CN" w:bidi="ar-SA"/>
        </w:rPr>
      </w:pPr>
      <w:r>
        <w:rPr>
          <w:rFonts w:hint="eastAsia" w:ascii="仿宋" w:hAnsi="仿宋" w:eastAsia="仿宋" w:cs="仿宋"/>
          <w:b w:val="0"/>
          <w:bCs/>
          <w:color w:val="auto"/>
          <w:kern w:val="0"/>
          <w:sz w:val="22"/>
          <w:szCs w:val="22"/>
          <w:lang w:val="en-US" w:eastAsia="zh-CN" w:bidi="ar-SA"/>
        </w:rPr>
        <w:t>3.从业人员、营业收入、资产总额填报上一年度数据，无上一年度数据的新成立企业可不填报，其他企业数据未填写的视为未提供《中小企业声明函》。</w:t>
      </w:r>
    </w:p>
    <w:p w14:paraId="798469B2">
      <w:pPr>
        <w:keepNext w:val="0"/>
        <w:keepLines w:val="0"/>
        <w:pageBreakBefore w:val="0"/>
        <w:widowControl w:val="0"/>
        <w:tabs>
          <w:tab w:val="left" w:pos="7457"/>
        </w:tabs>
        <w:kinsoku/>
        <w:wordWrap/>
        <w:overflowPunct/>
        <w:topLinePunct w:val="0"/>
        <w:autoSpaceDE w:val="0"/>
        <w:autoSpaceDN w:val="0"/>
        <w:bidi w:val="0"/>
        <w:adjustRightInd w:val="0"/>
        <w:snapToGrid/>
        <w:spacing w:line="360" w:lineRule="exact"/>
        <w:ind w:firstLine="440" w:firstLineChars="200"/>
        <w:jc w:val="left"/>
        <w:textAlignment w:val="auto"/>
        <w:rPr>
          <w:rFonts w:hint="eastAsia" w:ascii="仿宋" w:hAnsi="仿宋" w:eastAsia="仿宋" w:cs="仿宋"/>
          <w:b w:val="0"/>
          <w:bCs/>
          <w:color w:val="auto"/>
          <w:kern w:val="0"/>
          <w:sz w:val="22"/>
          <w:szCs w:val="22"/>
          <w:lang w:val="en-US" w:eastAsia="zh-CN" w:bidi="ar-SA"/>
        </w:rPr>
      </w:pPr>
      <w:r>
        <w:rPr>
          <w:rFonts w:hint="eastAsia" w:ascii="仿宋" w:hAnsi="仿宋" w:eastAsia="仿宋" w:cs="仿宋"/>
          <w:b w:val="0"/>
          <w:bCs/>
          <w:color w:val="auto"/>
          <w:kern w:val="0"/>
          <w:sz w:val="22"/>
          <w:szCs w:val="22"/>
          <w:lang w:val="en-US" w:eastAsia="zh-CN" w:bidi="ar-SA"/>
        </w:rPr>
        <w:t>4.《中小企业声明函》随中标结果同时公告。</w:t>
      </w:r>
    </w:p>
    <w:p w14:paraId="3A0C8BF4">
      <w:pPr>
        <w:keepNext w:val="0"/>
        <w:keepLines w:val="0"/>
        <w:pageBreakBefore w:val="0"/>
        <w:widowControl w:val="0"/>
        <w:tabs>
          <w:tab w:val="left" w:pos="7457"/>
        </w:tabs>
        <w:kinsoku/>
        <w:wordWrap/>
        <w:overflowPunct/>
        <w:topLinePunct w:val="0"/>
        <w:autoSpaceDE w:val="0"/>
        <w:autoSpaceDN w:val="0"/>
        <w:bidi w:val="0"/>
        <w:adjustRightInd w:val="0"/>
        <w:snapToGrid/>
        <w:spacing w:line="360" w:lineRule="exact"/>
        <w:ind w:firstLine="440" w:firstLineChars="200"/>
        <w:jc w:val="left"/>
        <w:textAlignment w:val="auto"/>
        <w:rPr>
          <w:rFonts w:hint="eastAsia" w:ascii="仿宋" w:hAnsi="仿宋" w:eastAsia="仿宋" w:cs="仿宋"/>
          <w:b w:val="0"/>
          <w:bCs/>
          <w:color w:val="auto"/>
          <w:kern w:val="0"/>
          <w:sz w:val="22"/>
          <w:szCs w:val="22"/>
          <w:lang w:val="en-US" w:eastAsia="zh-CN" w:bidi="ar-SA"/>
        </w:rPr>
      </w:pPr>
      <w:r>
        <w:rPr>
          <w:rFonts w:hint="eastAsia" w:ascii="仿宋" w:hAnsi="仿宋" w:eastAsia="仿宋" w:cs="仿宋"/>
          <w:b w:val="0"/>
          <w:bCs/>
          <w:color w:val="auto"/>
          <w:kern w:val="0"/>
          <w:sz w:val="22"/>
          <w:szCs w:val="22"/>
          <w:lang w:val="en-US" w:eastAsia="zh-CN" w:bidi="ar-SA"/>
        </w:rPr>
        <w:t>5.投标人提供的《中小企业声明函》与实际情况不符的或者未按以上要求填写的，中小企业声明函无效，不享受中小企业扶持政策。声明内容不实的，属于提供虚假材料谋取中标、成交的，依法承担法律责任。</w:t>
      </w:r>
    </w:p>
    <w:p w14:paraId="08A13A04">
      <w:pPr>
        <w:keepNext w:val="0"/>
        <w:keepLines w:val="0"/>
        <w:pageBreakBefore w:val="0"/>
        <w:widowControl w:val="0"/>
        <w:tabs>
          <w:tab w:val="left" w:pos="7457"/>
        </w:tabs>
        <w:kinsoku/>
        <w:wordWrap/>
        <w:overflowPunct/>
        <w:topLinePunct w:val="0"/>
        <w:autoSpaceDE w:val="0"/>
        <w:autoSpaceDN w:val="0"/>
        <w:bidi w:val="0"/>
        <w:adjustRightInd w:val="0"/>
        <w:snapToGrid/>
        <w:spacing w:line="360" w:lineRule="exact"/>
        <w:ind w:firstLine="440" w:firstLineChars="200"/>
        <w:jc w:val="left"/>
        <w:textAlignment w:val="auto"/>
        <w:rPr>
          <w:rFonts w:hint="eastAsia" w:ascii="仿宋" w:hAnsi="仿宋" w:eastAsia="仿宋" w:cs="仿宋"/>
          <w:b w:val="0"/>
          <w:bCs/>
          <w:color w:val="auto"/>
          <w:kern w:val="0"/>
          <w:sz w:val="22"/>
          <w:szCs w:val="22"/>
          <w:lang w:val="en-US" w:eastAsia="zh-CN" w:bidi="ar-SA"/>
        </w:rPr>
      </w:pPr>
      <w:r>
        <w:rPr>
          <w:rFonts w:hint="eastAsia" w:ascii="仿宋" w:hAnsi="仿宋" w:eastAsia="仿宋" w:cs="仿宋"/>
          <w:b w:val="0"/>
          <w:bCs/>
          <w:color w:val="auto"/>
          <w:kern w:val="0"/>
          <w:sz w:val="22"/>
          <w:szCs w:val="22"/>
          <w:lang w:val="en-US" w:eastAsia="zh-CN" w:bidi="ar-SA"/>
        </w:rPr>
        <w:t>6.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03F3CC">
      <w:pPr>
        <w:pStyle w:val="22"/>
        <w:keepNext w:val="0"/>
        <w:keepLines w:val="0"/>
        <w:pageBreakBefore w:val="0"/>
        <w:kinsoku/>
        <w:wordWrap/>
        <w:overflowPunct/>
        <w:topLinePunct w:val="0"/>
        <w:autoSpaceDE w:val="0"/>
        <w:autoSpaceDN w:val="0"/>
        <w:bidi w:val="0"/>
        <w:snapToGrid/>
        <w:spacing w:line="400" w:lineRule="exact"/>
        <w:ind w:left="0" w:leftChars="0" w:firstLine="440" w:firstLineChars="200"/>
        <w:rPr>
          <w:rFonts w:hint="eastAsia" w:ascii="仿宋" w:hAnsi="仿宋" w:eastAsia="仿宋" w:cs="仿宋"/>
          <w:color w:val="auto"/>
          <w:lang w:val="en-US" w:eastAsia="zh-CN"/>
        </w:rPr>
      </w:pPr>
    </w:p>
    <w:p w14:paraId="4BA5AA3A">
      <w:pPr>
        <w:rPr>
          <w:rFonts w:cs="Arial"/>
          <w:color w:val="auto"/>
          <w:sz w:val="24"/>
        </w:rPr>
      </w:pPr>
      <w:r>
        <w:rPr>
          <w:rFonts w:cs="Arial"/>
          <w:color w:val="auto"/>
          <w:sz w:val="24"/>
        </w:rPr>
        <w:br w:type="page"/>
      </w:r>
    </w:p>
    <w:p w14:paraId="63058F38">
      <w:pPr>
        <w:pStyle w:val="3"/>
        <w:spacing w:line="480" w:lineRule="auto"/>
        <w:ind w:firstLine="0"/>
        <w:rPr>
          <w:rFonts w:cs="Arial"/>
          <w:color w:val="auto"/>
        </w:rPr>
      </w:pPr>
    </w:p>
    <w:p w14:paraId="01E9B84B">
      <w:pPr>
        <w:spacing w:before="49" w:line="480" w:lineRule="auto"/>
        <w:ind w:left="1217" w:right="1232"/>
        <w:jc w:val="center"/>
        <w:rPr>
          <w:rFonts w:ascii="仿宋" w:hAnsi="仿宋" w:eastAsia="仿宋" w:cs="仿宋"/>
          <w:b/>
          <w:color w:val="auto"/>
          <w:sz w:val="32"/>
          <w:szCs w:val="21"/>
        </w:rPr>
      </w:pPr>
      <w:r>
        <w:rPr>
          <w:rFonts w:hint="eastAsia" w:ascii="仿宋" w:hAnsi="仿宋" w:eastAsia="仿宋" w:cs="仿宋"/>
          <w:b/>
          <w:color w:val="auto"/>
          <w:sz w:val="32"/>
          <w:szCs w:val="21"/>
        </w:rPr>
        <w:t>监狱企业证明文件（</w:t>
      </w:r>
      <w:r>
        <w:rPr>
          <w:rFonts w:hint="eastAsia" w:ascii="仿宋" w:hAnsi="仿宋" w:eastAsia="仿宋" w:cs="仿宋"/>
          <w:b/>
          <w:color w:val="auto"/>
          <w:sz w:val="32"/>
          <w:szCs w:val="21"/>
          <w:lang w:val="en-US"/>
        </w:rPr>
        <w:t>如有</w:t>
      </w:r>
      <w:r>
        <w:rPr>
          <w:rFonts w:hint="eastAsia" w:ascii="仿宋" w:hAnsi="仿宋" w:eastAsia="仿宋" w:cs="仿宋"/>
          <w:b/>
          <w:color w:val="auto"/>
          <w:sz w:val="32"/>
          <w:szCs w:val="21"/>
        </w:rPr>
        <w:t>）</w:t>
      </w:r>
    </w:p>
    <w:p w14:paraId="1C0EA257">
      <w:pPr>
        <w:pStyle w:val="4"/>
        <w:spacing w:line="480" w:lineRule="auto"/>
        <w:ind w:left="0" w:firstLine="480" w:firstLineChars="200"/>
        <w:rPr>
          <w:rFonts w:ascii="仿宋" w:hAnsi="仿宋" w:eastAsia="仿宋" w:cs="仿宋"/>
          <w:color w:val="auto"/>
          <w:kern w:val="0"/>
          <w:sz w:val="24"/>
          <w:szCs w:val="22"/>
          <w:lang w:bidi="zh-CN"/>
        </w:rPr>
      </w:pPr>
      <w:r>
        <w:rPr>
          <w:rFonts w:hint="eastAsia" w:ascii="仿宋" w:hAnsi="仿宋" w:eastAsia="仿宋" w:cs="仿宋"/>
          <w:color w:val="auto"/>
          <w:kern w:val="0"/>
          <w:sz w:val="24"/>
          <w:szCs w:val="22"/>
          <w:lang w:bidi="zh-CN"/>
        </w:rPr>
        <w:t>监狱企业证明文件：省级或以上监狱管理局、戒毒管理局（含新疆生产建设兵团）出具的属于监狱企业的证明文件。（2）如果提供其他监狱企业制造的货物，还须同时提供该企业为监狱企业的证明文件。</w:t>
      </w:r>
    </w:p>
    <w:p w14:paraId="4367F35D">
      <w:pPr>
        <w:rPr>
          <w:rFonts w:cs="Arial"/>
          <w:color w:val="auto"/>
          <w:sz w:val="24"/>
        </w:rPr>
      </w:pPr>
    </w:p>
    <w:p w14:paraId="3E02DAC5">
      <w:pPr>
        <w:pStyle w:val="33"/>
        <w:rPr>
          <w:rFonts w:cs="Arial"/>
          <w:color w:val="auto"/>
          <w:sz w:val="24"/>
        </w:rPr>
      </w:pPr>
    </w:p>
    <w:p w14:paraId="39DDF365">
      <w:pPr>
        <w:pStyle w:val="2"/>
        <w:rPr>
          <w:rFonts w:cs="Arial"/>
          <w:color w:val="auto"/>
          <w:szCs w:val="22"/>
        </w:rPr>
      </w:pPr>
    </w:p>
    <w:p w14:paraId="2CD3E912">
      <w:pPr>
        <w:pStyle w:val="3"/>
        <w:ind w:firstLine="0"/>
        <w:rPr>
          <w:color w:val="auto"/>
        </w:rPr>
      </w:pPr>
    </w:p>
    <w:p w14:paraId="7E6F8CE2">
      <w:pPr>
        <w:spacing w:before="49" w:line="480" w:lineRule="auto"/>
        <w:ind w:left="1217" w:right="1232"/>
        <w:jc w:val="center"/>
        <w:rPr>
          <w:rFonts w:ascii="仿宋" w:hAnsi="仿宋" w:eastAsia="仿宋" w:cs="仿宋"/>
          <w:b/>
          <w:color w:val="auto"/>
          <w:sz w:val="32"/>
          <w:szCs w:val="21"/>
        </w:rPr>
      </w:pPr>
      <w:r>
        <w:rPr>
          <w:rFonts w:hint="eastAsia" w:ascii="仿宋" w:hAnsi="仿宋" w:eastAsia="仿宋" w:cs="仿宋"/>
          <w:b/>
          <w:color w:val="auto"/>
          <w:sz w:val="32"/>
          <w:szCs w:val="21"/>
        </w:rPr>
        <w:t>残疾人福利性单位声明函（</w:t>
      </w:r>
      <w:r>
        <w:rPr>
          <w:rFonts w:hint="eastAsia" w:ascii="仿宋" w:hAnsi="仿宋" w:eastAsia="仿宋" w:cs="仿宋"/>
          <w:b/>
          <w:color w:val="auto"/>
          <w:sz w:val="32"/>
          <w:szCs w:val="21"/>
          <w:lang w:val="en-US"/>
        </w:rPr>
        <w:t>如有</w:t>
      </w:r>
      <w:r>
        <w:rPr>
          <w:rFonts w:hint="eastAsia" w:ascii="仿宋" w:hAnsi="仿宋" w:eastAsia="仿宋" w:cs="仿宋"/>
          <w:b/>
          <w:color w:val="auto"/>
          <w:sz w:val="32"/>
          <w:szCs w:val="21"/>
        </w:rPr>
        <w:t>）</w:t>
      </w:r>
    </w:p>
    <w:p w14:paraId="667770DF">
      <w:pPr>
        <w:widowControl/>
        <w:spacing w:before="100" w:beforeAutospacing="1" w:after="100" w:afterAutospacing="1"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color w:val="auto"/>
          <w:sz w:val="24"/>
          <w:u w:val="single"/>
          <w:lang w:val="en-US"/>
        </w:rPr>
        <w:t xml:space="preserve">              </w:t>
      </w:r>
      <w:r>
        <w:rPr>
          <w:rFonts w:hint="eastAsia" w:ascii="仿宋" w:hAnsi="仿宋" w:eastAsia="仿宋" w:cs="仿宋"/>
          <w:color w:val="auto"/>
          <w:sz w:val="24"/>
          <w:lang w:val="en-US"/>
        </w:rPr>
        <w:t>单位的</w:t>
      </w:r>
      <w:r>
        <w:rPr>
          <w:rFonts w:hint="eastAsia" w:ascii="仿宋" w:hAnsi="仿宋" w:eastAsia="仿宋" w:cs="仿宋"/>
          <w:color w:val="auto"/>
          <w:sz w:val="24"/>
          <w:u w:val="single"/>
          <w:lang w:val="en-US"/>
        </w:rPr>
        <w:t xml:space="preserve"> </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（项目编号）采购活动提供本单位制造的货物（由本单位承担工程/提供服务），或者提供其他残疾人福利性单位制造的货物（不包括使用非残疾人福利性单位注册商标的货物）。</w:t>
      </w:r>
    </w:p>
    <w:p w14:paraId="108733E8">
      <w:pPr>
        <w:widowControl/>
        <w:spacing w:before="100" w:beforeAutospacing="1" w:after="100" w:afterAutospacing="1" w:line="480" w:lineRule="auto"/>
        <w:ind w:firstLine="360" w:firstLineChars="15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40B4A92F">
      <w:pPr>
        <w:snapToGrid w:val="0"/>
        <w:spacing w:line="360" w:lineRule="atLeast"/>
        <w:ind w:firstLine="570"/>
        <w:rPr>
          <w:rFonts w:ascii="仿宋" w:hAnsi="仿宋" w:eastAsia="仿宋" w:cs="仿宋"/>
          <w:color w:val="auto"/>
          <w:sz w:val="24"/>
        </w:rPr>
      </w:pPr>
    </w:p>
    <w:p w14:paraId="5ECCB377">
      <w:pPr>
        <w:widowControl/>
        <w:spacing w:before="100" w:beforeAutospacing="1" w:after="100" w:afterAutospacing="1" w:line="480" w:lineRule="auto"/>
        <w:ind w:firstLine="5160" w:firstLineChars="2150"/>
        <w:rPr>
          <w:rFonts w:ascii="仿宋" w:hAnsi="仿宋" w:eastAsia="仿宋" w:cs="仿宋"/>
          <w:color w:val="auto"/>
          <w:sz w:val="24"/>
        </w:rPr>
      </w:pPr>
      <w:r>
        <w:rPr>
          <w:rFonts w:hint="eastAsia" w:ascii="仿宋" w:hAnsi="仿宋" w:eastAsia="仿宋" w:cs="仿宋"/>
          <w:color w:val="auto"/>
          <w:sz w:val="24"/>
          <w:lang w:val="en-US" w:eastAsia="zh-CN"/>
        </w:rPr>
        <w:t>单位</w:t>
      </w:r>
      <w:r>
        <w:rPr>
          <w:rFonts w:hint="eastAsia" w:ascii="仿宋" w:hAnsi="仿宋" w:eastAsia="仿宋" w:cs="仿宋"/>
          <w:color w:val="auto"/>
          <w:sz w:val="24"/>
        </w:rPr>
        <w:t>名称（盖章）：</w:t>
      </w:r>
    </w:p>
    <w:p w14:paraId="27C1315F">
      <w:pPr>
        <w:widowControl/>
        <w:spacing w:before="100" w:beforeAutospacing="1" w:after="100" w:afterAutospacing="1" w:line="480" w:lineRule="auto"/>
        <w:ind w:firstLine="5160" w:firstLineChars="2150"/>
        <w:rPr>
          <w:rFonts w:ascii="仿宋" w:hAnsi="仿宋" w:eastAsia="仿宋" w:cs="仿宋"/>
          <w:color w:val="auto"/>
          <w:sz w:val="24"/>
          <w:lang w:val="en-US"/>
        </w:rPr>
      </w:pPr>
      <w:r>
        <w:rPr>
          <w:rFonts w:hint="eastAsia" w:ascii="仿宋" w:hAnsi="仿宋" w:eastAsia="仿宋" w:cs="仿宋"/>
          <w:color w:val="auto"/>
          <w:sz w:val="24"/>
        </w:rPr>
        <w:t>日期：</w:t>
      </w:r>
      <w:r>
        <w:rPr>
          <w:rFonts w:hint="eastAsia" w:ascii="仿宋" w:hAnsi="仿宋" w:eastAsia="仿宋" w:cs="仿宋"/>
          <w:color w:val="auto"/>
          <w:sz w:val="24"/>
          <w:lang w:val="en-US"/>
        </w:rPr>
        <w:t xml:space="preserve">    年  月  日</w:t>
      </w:r>
    </w:p>
    <w:p w14:paraId="274643F8">
      <w:pPr>
        <w:rPr>
          <w:color w:val="auto"/>
          <w:lang w:val="en-US"/>
        </w:rPr>
      </w:pPr>
      <w:r>
        <w:rPr>
          <w:color w:val="auto"/>
          <w:lang w:val="en-US"/>
        </w:rPr>
        <w:br w:type="page"/>
      </w:r>
    </w:p>
    <w:p w14:paraId="29F458EE">
      <w:pPr>
        <w:pStyle w:val="3"/>
        <w:ind w:firstLine="0"/>
        <w:rPr>
          <w:color w:val="auto"/>
          <w:lang w:val="en-US"/>
        </w:rPr>
      </w:pPr>
    </w:p>
    <w:p w14:paraId="0070F485">
      <w:pPr>
        <w:pStyle w:val="4"/>
        <w:ind w:left="0"/>
        <w:rPr>
          <w:color w:val="auto"/>
          <w:lang w:val="en-US"/>
        </w:rPr>
      </w:pPr>
    </w:p>
    <w:p w14:paraId="40C2205B">
      <w:pPr>
        <w:rPr>
          <w:color w:val="auto"/>
          <w:lang w:val="en-US"/>
        </w:rPr>
      </w:pPr>
    </w:p>
    <w:p w14:paraId="5761A682">
      <w:pPr>
        <w:pStyle w:val="33"/>
        <w:rPr>
          <w:color w:val="auto"/>
          <w:lang w:val="en-US"/>
        </w:rPr>
      </w:pPr>
    </w:p>
    <w:p w14:paraId="5B176F4D">
      <w:pPr>
        <w:pStyle w:val="2"/>
        <w:rPr>
          <w:color w:val="auto"/>
          <w:lang w:val="en-US"/>
        </w:rPr>
      </w:pPr>
    </w:p>
    <w:p w14:paraId="099716A7">
      <w:pPr>
        <w:pStyle w:val="3"/>
        <w:ind w:firstLine="0"/>
        <w:rPr>
          <w:color w:val="auto"/>
          <w:lang w:val="en-US"/>
        </w:rPr>
      </w:pPr>
    </w:p>
    <w:p w14:paraId="103744B7">
      <w:pPr>
        <w:pStyle w:val="4"/>
        <w:ind w:left="0"/>
        <w:rPr>
          <w:color w:val="auto"/>
          <w:lang w:val="en-US"/>
        </w:rPr>
      </w:pPr>
    </w:p>
    <w:p w14:paraId="18098171">
      <w:pPr>
        <w:rPr>
          <w:color w:val="auto"/>
          <w:lang w:val="en-US"/>
        </w:rPr>
      </w:pPr>
    </w:p>
    <w:p w14:paraId="7BFECBD3">
      <w:pPr>
        <w:pStyle w:val="33"/>
        <w:rPr>
          <w:color w:val="auto"/>
          <w:lang w:val="en-US"/>
        </w:rPr>
      </w:pPr>
    </w:p>
    <w:p w14:paraId="4E1E97C9">
      <w:pPr>
        <w:pStyle w:val="2"/>
        <w:rPr>
          <w:color w:val="auto"/>
          <w:lang w:val="en-US"/>
        </w:rPr>
      </w:pPr>
    </w:p>
    <w:p w14:paraId="76422D54">
      <w:pPr>
        <w:pStyle w:val="3"/>
        <w:ind w:firstLine="0"/>
        <w:rPr>
          <w:color w:val="auto"/>
          <w:lang w:val="en-US"/>
        </w:rPr>
      </w:pPr>
    </w:p>
    <w:p w14:paraId="3387986D">
      <w:pPr>
        <w:pStyle w:val="4"/>
        <w:ind w:left="0"/>
        <w:rPr>
          <w:color w:val="auto"/>
          <w:lang w:val="en-US"/>
        </w:rPr>
      </w:pPr>
    </w:p>
    <w:p w14:paraId="09D57321">
      <w:pPr>
        <w:rPr>
          <w:color w:val="auto"/>
          <w:lang w:val="en-US"/>
        </w:rPr>
      </w:pPr>
    </w:p>
    <w:p w14:paraId="2F86E733">
      <w:pPr>
        <w:pStyle w:val="33"/>
        <w:rPr>
          <w:color w:val="auto"/>
          <w:lang w:val="en-US"/>
        </w:rPr>
      </w:pPr>
    </w:p>
    <w:p w14:paraId="4BA03DBA">
      <w:pPr>
        <w:pStyle w:val="2"/>
        <w:rPr>
          <w:color w:val="auto"/>
          <w:lang w:val="en-US"/>
        </w:rPr>
      </w:pPr>
    </w:p>
    <w:p w14:paraId="4AF08298">
      <w:pPr>
        <w:pStyle w:val="3"/>
        <w:ind w:firstLine="0"/>
        <w:rPr>
          <w:color w:val="auto"/>
          <w:lang w:val="en-US"/>
        </w:rPr>
      </w:pPr>
    </w:p>
    <w:p w14:paraId="3396FD34">
      <w:pPr>
        <w:pStyle w:val="4"/>
        <w:ind w:left="0"/>
        <w:rPr>
          <w:color w:val="auto"/>
          <w:lang w:val="en-US"/>
        </w:rPr>
      </w:pPr>
    </w:p>
    <w:p w14:paraId="05BE0D2F">
      <w:pPr>
        <w:pStyle w:val="33"/>
        <w:rPr>
          <w:color w:val="auto"/>
          <w:lang w:val="en-US"/>
        </w:rPr>
      </w:pPr>
    </w:p>
    <w:p w14:paraId="49C455D8">
      <w:pPr>
        <w:pStyle w:val="3"/>
        <w:numPr>
          <w:ilvl w:val="0"/>
          <w:numId w:val="0"/>
        </w:numPr>
        <w:ind w:leftChars="0"/>
        <w:jc w:val="center"/>
        <w:rPr>
          <w:rFonts w:hint="eastAsia" w:ascii="仿宋" w:hAnsi="仿宋" w:eastAsia="仿宋" w:cs="仿宋"/>
          <w:b/>
          <w:bCs/>
          <w:color w:val="auto"/>
          <w:sz w:val="36"/>
          <w:szCs w:val="24"/>
        </w:rPr>
      </w:pPr>
      <w:r>
        <w:rPr>
          <w:rFonts w:hint="eastAsia" w:ascii="仿宋" w:hAnsi="仿宋" w:eastAsia="仿宋" w:cs="仿宋"/>
          <w:b/>
          <w:bCs/>
          <w:color w:val="auto"/>
          <w:sz w:val="36"/>
          <w:szCs w:val="24"/>
          <w:lang w:val="en-US" w:eastAsia="zh-CN"/>
        </w:rPr>
        <w:t>（4）</w:t>
      </w:r>
      <w:r>
        <w:rPr>
          <w:rFonts w:hint="eastAsia" w:ascii="仿宋" w:hAnsi="仿宋" w:eastAsia="仿宋" w:cs="仿宋"/>
          <w:b/>
          <w:bCs/>
          <w:color w:val="auto"/>
          <w:sz w:val="36"/>
          <w:szCs w:val="24"/>
          <w:lang w:val="en-US"/>
        </w:rPr>
        <w:t>报价</w:t>
      </w:r>
      <w:r>
        <w:rPr>
          <w:rFonts w:hint="eastAsia" w:ascii="仿宋" w:hAnsi="仿宋" w:eastAsia="仿宋" w:cs="仿宋"/>
          <w:b/>
          <w:bCs/>
          <w:color w:val="auto"/>
          <w:sz w:val="36"/>
          <w:szCs w:val="24"/>
        </w:rPr>
        <w:t>文件要求的或投标人认为需要的其它资料</w:t>
      </w:r>
    </w:p>
    <w:p w14:paraId="40AA4716">
      <w:pPr>
        <w:pStyle w:val="4"/>
        <w:widowControl w:val="0"/>
        <w:numPr>
          <w:ilvl w:val="0"/>
          <w:numId w:val="0"/>
        </w:numPr>
        <w:autoSpaceDE w:val="0"/>
        <w:autoSpaceDN w:val="0"/>
        <w:rPr>
          <w:color w:val="auto"/>
          <w:lang w:val="en-US"/>
        </w:rPr>
      </w:pPr>
    </w:p>
    <w:p w14:paraId="55D11C44">
      <w:pPr>
        <w:rPr>
          <w:color w:val="auto"/>
          <w:lang w:val="en-US"/>
        </w:rPr>
      </w:pPr>
      <w:r>
        <w:rPr>
          <w:color w:val="auto"/>
          <w:lang w:val="en-US"/>
        </w:rPr>
        <w:br w:type="page"/>
      </w:r>
    </w:p>
    <w:p w14:paraId="4CE57F5E">
      <w:pPr>
        <w:jc w:val="center"/>
        <w:rPr>
          <w:b/>
          <w:bCs/>
          <w:color w:val="auto"/>
          <w:sz w:val="48"/>
          <w:szCs w:val="48"/>
        </w:rPr>
      </w:pPr>
      <w:bookmarkStart w:id="373" w:name="_Toc465665161"/>
      <w:r>
        <w:rPr>
          <w:rFonts w:hint="eastAsia"/>
          <w:b/>
          <w:bCs/>
          <w:color w:val="auto"/>
          <w:sz w:val="48"/>
          <w:szCs w:val="48"/>
        </w:rPr>
        <w:t>附件</w:t>
      </w:r>
      <w:bookmarkEnd w:id="373"/>
    </w:p>
    <w:p w14:paraId="662BD43D">
      <w:pPr>
        <w:spacing w:line="360" w:lineRule="auto"/>
        <w:rPr>
          <w:rFonts w:hint="eastAsia" w:ascii="宋体" w:hAnsi="宋体" w:cs="宋体"/>
          <w:b/>
          <w:color w:val="auto"/>
          <w:spacing w:val="6"/>
          <w:sz w:val="32"/>
          <w:szCs w:val="32"/>
        </w:rPr>
      </w:pPr>
    </w:p>
    <w:p w14:paraId="398CB7B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1</w:t>
      </w:r>
      <w:r>
        <w:rPr>
          <w:rFonts w:hint="eastAsia" w:ascii="宋体" w:hAnsi="宋体" w:cs="宋体"/>
          <w:b/>
          <w:color w:val="auto"/>
          <w:spacing w:val="6"/>
          <w:sz w:val="32"/>
          <w:szCs w:val="32"/>
        </w:rPr>
        <w:t>：质疑函范本及制作说明</w:t>
      </w:r>
    </w:p>
    <w:p w14:paraId="5CDD77D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148B5BA">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E65AAA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005682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983B265">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27575AF">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20C4B5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BADDEC2">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75ADB7E">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84F192A">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80C9DA0">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40B00B7">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66517B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EAB21F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D55E08E">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DB520C7">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4DED63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21C397D">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B06FB48">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82ECA12">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900CD84">
      <w:pPr>
        <w:snapToGrid w:val="0"/>
        <w:spacing w:line="360" w:lineRule="auto"/>
        <w:rPr>
          <w:rFonts w:ascii="宋体" w:hAnsi="宋体" w:cs="宋体"/>
          <w:color w:val="auto"/>
          <w:sz w:val="24"/>
        </w:rPr>
      </w:pPr>
      <w:r>
        <w:rPr>
          <w:rFonts w:hint="eastAsia" w:ascii="宋体" w:hAnsi="宋体" w:cs="宋体"/>
          <w:color w:val="auto"/>
          <w:sz w:val="24"/>
        </w:rPr>
        <w:t>……</w:t>
      </w:r>
    </w:p>
    <w:p w14:paraId="1F160E79">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1AC4729">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108B1C6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7B66DAD">
      <w:pPr>
        <w:spacing w:line="360" w:lineRule="auto"/>
        <w:rPr>
          <w:rFonts w:ascii="宋体" w:hAnsi="宋体" w:cs="宋体"/>
          <w:color w:val="auto"/>
          <w:sz w:val="24"/>
        </w:rPr>
      </w:pPr>
      <w:r>
        <w:rPr>
          <w:rFonts w:hint="eastAsia" w:ascii="宋体" w:hAnsi="宋体" w:cs="宋体"/>
          <w:color w:val="auto"/>
          <w:sz w:val="24"/>
        </w:rPr>
        <w:t xml:space="preserve">日期：    </w:t>
      </w:r>
    </w:p>
    <w:p w14:paraId="659975A4">
      <w:pPr>
        <w:spacing w:line="360" w:lineRule="auto"/>
        <w:jc w:val="center"/>
        <w:rPr>
          <w:rFonts w:ascii="宋体" w:hAnsi="宋体" w:cs="宋体"/>
          <w:b/>
          <w:bCs/>
          <w:color w:val="auto"/>
          <w:sz w:val="24"/>
        </w:rPr>
      </w:pPr>
    </w:p>
    <w:p w14:paraId="7B87A41D">
      <w:pPr>
        <w:spacing w:line="360" w:lineRule="auto"/>
        <w:rPr>
          <w:rFonts w:hint="eastAsia" w:ascii="宋体" w:hAnsi="宋体" w:eastAsia="宋体" w:cs="宋体"/>
          <w:b/>
          <w:color w:val="auto"/>
          <w:sz w:val="24"/>
          <w:lang w:eastAsia="zh-CN"/>
        </w:rPr>
      </w:pPr>
    </w:p>
    <w:p w14:paraId="1F6750D1">
      <w:pPr>
        <w:spacing w:line="360" w:lineRule="auto"/>
        <w:rPr>
          <w:rFonts w:ascii="宋体" w:hAnsi="宋体" w:cs="宋体"/>
          <w:b/>
          <w:color w:val="auto"/>
          <w:sz w:val="24"/>
        </w:rPr>
      </w:pPr>
      <w:r>
        <w:rPr>
          <w:rFonts w:hint="eastAsia" w:ascii="宋体" w:hAnsi="宋体" w:cs="宋体"/>
          <w:b/>
          <w:color w:val="auto"/>
          <w:sz w:val="24"/>
        </w:rPr>
        <w:t>质疑函制作说明：</w:t>
      </w:r>
    </w:p>
    <w:p w14:paraId="552BF68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A4DE35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C8376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0CAD0E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E13747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E4BA2F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7475831">
      <w:pPr>
        <w:widowControl/>
        <w:spacing w:line="360" w:lineRule="auto"/>
        <w:ind w:firstLine="600" w:firstLineChars="200"/>
        <w:jc w:val="left"/>
        <w:rPr>
          <w:rFonts w:ascii="宋体" w:hAnsi="宋体" w:cs="宋体"/>
          <w:color w:val="auto"/>
          <w:sz w:val="30"/>
          <w:szCs w:val="30"/>
        </w:rPr>
      </w:pPr>
    </w:p>
    <w:p w14:paraId="7D486514">
      <w:pPr>
        <w:spacing w:line="360" w:lineRule="auto"/>
        <w:jc w:val="center"/>
        <w:rPr>
          <w:rFonts w:ascii="宋体" w:hAnsi="宋体" w:cs="宋体"/>
          <w:b/>
          <w:color w:val="auto"/>
          <w:spacing w:val="6"/>
          <w:sz w:val="32"/>
          <w:szCs w:val="32"/>
        </w:rPr>
      </w:pPr>
    </w:p>
    <w:p w14:paraId="19623AB8">
      <w:pPr>
        <w:spacing w:line="360" w:lineRule="auto"/>
        <w:jc w:val="center"/>
        <w:rPr>
          <w:rFonts w:ascii="宋体" w:hAnsi="宋体" w:cs="宋体"/>
          <w:b/>
          <w:color w:val="auto"/>
          <w:spacing w:val="6"/>
          <w:sz w:val="32"/>
          <w:szCs w:val="32"/>
        </w:rPr>
      </w:pPr>
    </w:p>
    <w:p w14:paraId="6B854385">
      <w:pPr>
        <w:spacing w:line="360" w:lineRule="auto"/>
        <w:jc w:val="center"/>
        <w:rPr>
          <w:rFonts w:ascii="宋体" w:hAnsi="宋体" w:cs="宋体"/>
          <w:b/>
          <w:color w:val="auto"/>
          <w:spacing w:val="6"/>
          <w:sz w:val="32"/>
          <w:szCs w:val="32"/>
        </w:rPr>
      </w:pPr>
    </w:p>
    <w:p w14:paraId="3898D193">
      <w:pPr>
        <w:spacing w:line="360" w:lineRule="auto"/>
        <w:jc w:val="center"/>
        <w:rPr>
          <w:rFonts w:ascii="宋体" w:hAnsi="宋体" w:cs="宋体"/>
          <w:b/>
          <w:color w:val="auto"/>
          <w:spacing w:val="6"/>
          <w:sz w:val="32"/>
          <w:szCs w:val="32"/>
        </w:rPr>
      </w:pPr>
    </w:p>
    <w:p w14:paraId="184B01F6">
      <w:pPr>
        <w:spacing w:line="360" w:lineRule="auto"/>
        <w:jc w:val="center"/>
        <w:rPr>
          <w:rFonts w:ascii="宋体" w:hAnsi="宋体" w:cs="宋体"/>
          <w:b/>
          <w:color w:val="auto"/>
          <w:spacing w:val="6"/>
          <w:sz w:val="32"/>
          <w:szCs w:val="32"/>
        </w:rPr>
      </w:pPr>
    </w:p>
    <w:p w14:paraId="172EE8F8">
      <w:pPr>
        <w:spacing w:line="360" w:lineRule="auto"/>
        <w:jc w:val="center"/>
        <w:rPr>
          <w:rFonts w:ascii="宋体" w:hAnsi="宋体" w:cs="宋体"/>
          <w:b/>
          <w:color w:val="auto"/>
          <w:spacing w:val="6"/>
          <w:sz w:val="32"/>
          <w:szCs w:val="32"/>
        </w:rPr>
      </w:pPr>
    </w:p>
    <w:p w14:paraId="591D9F33">
      <w:pPr>
        <w:spacing w:line="360" w:lineRule="auto"/>
        <w:jc w:val="center"/>
        <w:rPr>
          <w:rFonts w:ascii="宋体" w:hAnsi="宋体" w:cs="宋体"/>
          <w:b/>
          <w:color w:val="auto"/>
          <w:spacing w:val="6"/>
          <w:sz w:val="32"/>
          <w:szCs w:val="32"/>
        </w:rPr>
      </w:pPr>
    </w:p>
    <w:p w14:paraId="37B45B5C">
      <w:pPr>
        <w:spacing w:line="360" w:lineRule="auto"/>
        <w:jc w:val="center"/>
        <w:rPr>
          <w:rFonts w:ascii="宋体" w:hAnsi="宋体" w:cs="宋体"/>
          <w:b/>
          <w:color w:val="auto"/>
          <w:spacing w:val="6"/>
          <w:sz w:val="32"/>
          <w:szCs w:val="32"/>
        </w:rPr>
      </w:pPr>
    </w:p>
    <w:p w14:paraId="25397D4D">
      <w:pPr>
        <w:spacing w:line="360" w:lineRule="auto"/>
        <w:jc w:val="center"/>
        <w:rPr>
          <w:rFonts w:ascii="宋体" w:hAnsi="宋体" w:cs="宋体"/>
          <w:b/>
          <w:color w:val="auto"/>
          <w:spacing w:val="6"/>
          <w:sz w:val="32"/>
          <w:szCs w:val="32"/>
        </w:rPr>
      </w:pPr>
    </w:p>
    <w:p w14:paraId="6B0F9634">
      <w:pPr>
        <w:spacing w:line="360" w:lineRule="auto"/>
        <w:jc w:val="center"/>
        <w:rPr>
          <w:rFonts w:ascii="宋体" w:hAnsi="宋体" w:cs="宋体"/>
          <w:b/>
          <w:color w:val="auto"/>
          <w:spacing w:val="6"/>
          <w:sz w:val="32"/>
          <w:szCs w:val="32"/>
        </w:rPr>
      </w:pPr>
    </w:p>
    <w:p w14:paraId="73F5CCE5">
      <w:pPr>
        <w:spacing w:line="360" w:lineRule="auto"/>
        <w:jc w:val="center"/>
        <w:rPr>
          <w:rFonts w:ascii="宋体" w:hAnsi="宋体" w:cs="宋体"/>
          <w:b/>
          <w:color w:val="auto"/>
          <w:spacing w:val="6"/>
          <w:sz w:val="32"/>
          <w:szCs w:val="32"/>
        </w:rPr>
      </w:pPr>
    </w:p>
    <w:p w14:paraId="4F225056">
      <w:pPr>
        <w:spacing w:line="360" w:lineRule="auto"/>
        <w:jc w:val="center"/>
        <w:rPr>
          <w:rFonts w:ascii="宋体" w:hAnsi="宋体" w:cs="宋体"/>
          <w:b/>
          <w:color w:val="auto"/>
          <w:spacing w:val="6"/>
          <w:sz w:val="32"/>
          <w:szCs w:val="32"/>
        </w:rPr>
      </w:pPr>
    </w:p>
    <w:p w14:paraId="04A114C5">
      <w:pPr>
        <w:spacing w:line="360" w:lineRule="auto"/>
        <w:jc w:val="left"/>
        <w:rPr>
          <w:rFonts w:ascii="宋体" w:hAnsi="宋体" w:cs="宋体"/>
          <w:b/>
          <w:color w:val="auto"/>
          <w:spacing w:val="6"/>
          <w:sz w:val="32"/>
          <w:szCs w:val="32"/>
        </w:rPr>
      </w:pPr>
    </w:p>
    <w:p w14:paraId="75EA6707">
      <w:pPr>
        <w:spacing w:line="360" w:lineRule="auto"/>
        <w:jc w:val="left"/>
        <w:rPr>
          <w:rFonts w:ascii="宋体" w:hAnsi="宋体" w:cs="宋体"/>
          <w:b/>
          <w:color w:val="auto"/>
          <w:spacing w:val="6"/>
          <w:sz w:val="32"/>
          <w:szCs w:val="32"/>
        </w:rPr>
      </w:pPr>
    </w:p>
    <w:p w14:paraId="6B44DC3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2</w:t>
      </w:r>
      <w:r>
        <w:rPr>
          <w:rFonts w:hint="eastAsia" w:ascii="宋体" w:hAnsi="宋体" w:cs="宋体"/>
          <w:b/>
          <w:color w:val="auto"/>
          <w:spacing w:val="6"/>
          <w:sz w:val="32"/>
          <w:szCs w:val="32"/>
        </w:rPr>
        <w:t>：投诉书范本及制作说明</w:t>
      </w:r>
    </w:p>
    <w:p w14:paraId="095787CB">
      <w:pPr>
        <w:spacing w:line="360" w:lineRule="auto"/>
        <w:jc w:val="center"/>
        <w:rPr>
          <w:rFonts w:ascii="宋体" w:hAnsi="宋体" w:cs="宋体"/>
          <w:b/>
          <w:color w:val="auto"/>
          <w:sz w:val="24"/>
        </w:rPr>
      </w:pPr>
    </w:p>
    <w:p w14:paraId="7CB909C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B96E74F">
      <w:pPr>
        <w:spacing w:line="360" w:lineRule="auto"/>
        <w:rPr>
          <w:rFonts w:ascii="宋体" w:hAnsi="宋体" w:cs="宋体"/>
          <w:color w:val="auto"/>
          <w:sz w:val="24"/>
        </w:rPr>
      </w:pPr>
      <w:r>
        <w:rPr>
          <w:rFonts w:hint="eastAsia" w:ascii="宋体" w:hAnsi="宋体" w:cs="宋体"/>
          <w:color w:val="auto"/>
          <w:sz w:val="24"/>
        </w:rPr>
        <w:t>一、投诉相关主体基本情况</w:t>
      </w:r>
    </w:p>
    <w:p w14:paraId="3FCF7C1C">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DCDC07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E3D01E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1AF75B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9930B8A">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ABF37AA">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6CD05B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p>
    <w:p w14:paraId="09B2B95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cs="宋体"/>
          <w:color w:val="auto"/>
          <w:sz w:val="24"/>
          <w:u w:val="dotted"/>
          <w:lang w:val="en-US" w:eastAsia="zh-CN"/>
        </w:rPr>
        <w:t xml:space="preserve"> </w:t>
      </w:r>
      <w:r>
        <w:rPr>
          <w:rFonts w:hint="eastAsia" w:ascii="宋体" w:hAnsi="宋体" w:cs="宋体"/>
          <w:color w:val="auto"/>
          <w:sz w:val="24"/>
          <w:u w:val="dotted"/>
        </w:rPr>
        <w:t xml:space="preserve"> </w:t>
      </w:r>
      <w:r>
        <w:rPr>
          <w:rFonts w:hint="eastAsia" w:cs="宋体"/>
          <w:color w:val="auto"/>
          <w:sz w:val="24"/>
          <w:u w:val="dotted"/>
          <w:lang w:val="en-US" w:eastAsia="zh-CN"/>
        </w:rPr>
        <w:t xml:space="preserve"> </w:t>
      </w:r>
      <w:r>
        <w:rPr>
          <w:rFonts w:hint="eastAsia" w:ascii="宋体" w:hAnsi="宋体" w:cs="宋体"/>
          <w:color w:val="auto"/>
          <w:sz w:val="24"/>
          <w:u w:val="dotted"/>
        </w:rPr>
        <w:t xml:space="preserve"> </w:t>
      </w:r>
    </w:p>
    <w:p w14:paraId="0340E4F8">
      <w:pPr>
        <w:spacing w:line="360" w:lineRule="auto"/>
        <w:rPr>
          <w:rFonts w:hint="default" w:ascii="宋体" w:hAnsi="宋体" w:eastAsia="宋体" w:cs="宋体"/>
          <w:color w:val="auto"/>
          <w:sz w:val="24"/>
          <w:u w:val="single"/>
          <w:lang w:val="en-US" w:eastAsia="zh-CN"/>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cs="宋体"/>
          <w:color w:val="auto"/>
          <w:sz w:val="24"/>
          <w:u w:val="dotted"/>
          <w:lang w:val="en-US" w:eastAsia="zh-CN"/>
        </w:rPr>
        <w:t xml:space="preserve">   </w:t>
      </w:r>
    </w:p>
    <w:p w14:paraId="3056D3CC">
      <w:pPr>
        <w:spacing w:line="360" w:lineRule="auto"/>
        <w:rPr>
          <w:rFonts w:ascii="宋体" w:hAnsi="宋体" w:cs="宋体"/>
          <w:color w:val="auto"/>
          <w:sz w:val="24"/>
        </w:rPr>
      </w:pPr>
      <w:r>
        <w:rPr>
          <w:rFonts w:hint="eastAsia" w:ascii="宋体" w:hAnsi="宋体" w:cs="宋体"/>
          <w:color w:val="auto"/>
          <w:sz w:val="24"/>
        </w:rPr>
        <w:t>被投诉人2</w:t>
      </w:r>
    </w:p>
    <w:p w14:paraId="1CCD3DE1">
      <w:pPr>
        <w:spacing w:line="360" w:lineRule="auto"/>
        <w:rPr>
          <w:rFonts w:ascii="宋体" w:hAnsi="宋体" w:cs="宋体"/>
          <w:color w:val="auto"/>
          <w:sz w:val="24"/>
          <w:u w:val="dotted"/>
        </w:rPr>
      </w:pPr>
      <w:r>
        <w:rPr>
          <w:rFonts w:hint="eastAsia" w:ascii="宋体" w:hAnsi="宋体" w:cs="宋体"/>
          <w:color w:val="auto"/>
          <w:sz w:val="24"/>
        </w:rPr>
        <w:t>……</w:t>
      </w:r>
    </w:p>
    <w:p w14:paraId="797A5E6D">
      <w:pPr>
        <w:spacing w:line="360" w:lineRule="auto"/>
        <w:rPr>
          <w:rFonts w:hint="default" w:ascii="宋体" w:hAnsi="宋体" w:eastAsia="宋体" w:cs="宋体"/>
          <w:color w:val="auto"/>
          <w:sz w:val="24"/>
          <w:u w:val="single"/>
          <w:lang w:val="en-US" w:eastAsia="zh-CN"/>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cs="宋体"/>
          <w:color w:val="auto"/>
          <w:sz w:val="24"/>
          <w:u w:val="dotted"/>
          <w:lang w:val="en-US" w:eastAsia="zh-CN"/>
        </w:rPr>
        <w:t xml:space="preserve">  </w:t>
      </w:r>
    </w:p>
    <w:p w14:paraId="04933498">
      <w:pPr>
        <w:spacing w:line="360" w:lineRule="auto"/>
        <w:rPr>
          <w:rFonts w:hint="eastAsia" w:ascii="宋体" w:hAnsi="宋体" w:eastAsia="宋体" w:cs="宋体"/>
          <w:color w:val="auto"/>
          <w:sz w:val="24"/>
          <w:u w:val="single"/>
          <w:lang w:val="en-US" w:eastAsia="zh-CN"/>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cs="宋体"/>
          <w:color w:val="auto"/>
          <w:sz w:val="24"/>
          <w:u w:val="dotted"/>
          <w:lang w:val="en-US" w:eastAsia="zh-CN"/>
        </w:rPr>
        <w:t xml:space="preserve"> </w:t>
      </w:r>
    </w:p>
    <w:p w14:paraId="460776F3">
      <w:pPr>
        <w:spacing w:line="360" w:lineRule="auto"/>
        <w:rPr>
          <w:rFonts w:hint="default" w:ascii="宋体" w:hAnsi="宋体" w:eastAsia="宋体" w:cs="宋体"/>
          <w:color w:val="auto"/>
          <w:sz w:val="24"/>
          <w:u w:val="single"/>
          <w:lang w:val="en-US" w:eastAsia="zh-CN"/>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cs="宋体"/>
          <w:color w:val="auto"/>
          <w:sz w:val="24"/>
          <w:u w:val="dotted"/>
          <w:lang w:val="en-US" w:eastAsia="zh-CN"/>
        </w:rPr>
        <w:t xml:space="preserve">  </w:t>
      </w:r>
    </w:p>
    <w:p w14:paraId="43174F66">
      <w:pPr>
        <w:spacing w:line="360" w:lineRule="auto"/>
        <w:rPr>
          <w:rFonts w:ascii="宋体" w:hAnsi="宋体" w:cs="宋体"/>
          <w:color w:val="auto"/>
          <w:sz w:val="24"/>
        </w:rPr>
      </w:pPr>
      <w:r>
        <w:rPr>
          <w:rFonts w:hint="eastAsia" w:ascii="宋体" w:hAnsi="宋体" w:cs="宋体"/>
          <w:color w:val="auto"/>
          <w:sz w:val="24"/>
        </w:rPr>
        <w:t>二、投诉项目基本情况</w:t>
      </w:r>
    </w:p>
    <w:p w14:paraId="02B38E7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B86D35F">
      <w:pPr>
        <w:spacing w:line="360" w:lineRule="auto"/>
        <w:rPr>
          <w:rFonts w:hint="default" w:ascii="宋体" w:hAnsi="宋体" w:eastAsia="宋体" w:cs="宋体"/>
          <w:color w:val="auto"/>
          <w:sz w:val="24"/>
          <w:u w:val="single"/>
          <w:lang w:val="en-US" w:eastAsia="zh-CN"/>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r>
        <w:rPr>
          <w:rFonts w:hint="eastAsia" w:cs="宋体"/>
          <w:color w:val="auto"/>
          <w:sz w:val="24"/>
          <w:u w:val="dotted"/>
          <w:lang w:val="en-US" w:eastAsia="zh-CN"/>
        </w:rPr>
        <w:t xml:space="preserve">   </w:t>
      </w:r>
    </w:p>
    <w:p w14:paraId="7D2EBF64">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3BDDDAC">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D5CA838">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94B2D6B">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E331897">
      <w:pPr>
        <w:spacing w:line="360" w:lineRule="auto"/>
        <w:rPr>
          <w:rFonts w:ascii="宋体" w:hAnsi="宋体" w:cs="宋体"/>
          <w:color w:val="auto"/>
          <w:sz w:val="24"/>
        </w:rPr>
      </w:pPr>
      <w:r>
        <w:rPr>
          <w:rFonts w:hint="eastAsia" w:ascii="宋体" w:hAnsi="宋体" w:cs="宋体"/>
          <w:color w:val="auto"/>
          <w:sz w:val="24"/>
        </w:rPr>
        <w:t>三、质疑基本情况</w:t>
      </w:r>
    </w:p>
    <w:p w14:paraId="7DD6825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6734BA1">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3BE348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A822F91">
      <w:pPr>
        <w:spacing w:line="360" w:lineRule="auto"/>
        <w:rPr>
          <w:rFonts w:ascii="宋体" w:hAnsi="宋体" w:cs="宋体"/>
          <w:color w:val="auto"/>
          <w:sz w:val="24"/>
        </w:rPr>
      </w:pPr>
      <w:r>
        <w:rPr>
          <w:rFonts w:hint="eastAsia" w:ascii="宋体" w:hAnsi="宋体" w:cs="宋体"/>
          <w:color w:val="auto"/>
          <w:sz w:val="24"/>
        </w:rPr>
        <w:t>四、投诉事项具体内容</w:t>
      </w:r>
    </w:p>
    <w:p w14:paraId="725893E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5572BF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2C37AD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B0C984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BD1BCF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BBD855B">
      <w:pPr>
        <w:spacing w:line="360" w:lineRule="auto"/>
        <w:rPr>
          <w:rFonts w:ascii="宋体" w:hAnsi="宋体" w:cs="宋体"/>
          <w:color w:val="auto"/>
          <w:sz w:val="24"/>
        </w:rPr>
      </w:pPr>
      <w:r>
        <w:rPr>
          <w:rFonts w:hint="eastAsia" w:ascii="宋体" w:hAnsi="宋体" w:cs="宋体"/>
          <w:color w:val="auto"/>
          <w:sz w:val="24"/>
        </w:rPr>
        <w:t>投诉事项2</w:t>
      </w:r>
    </w:p>
    <w:p w14:paraId="03BD1B94">
      <w:pPr>
        <w:spacing w:line="360" w:lineRule="auto"/>
        <w:rPr>
          <w:rFonts w:ascii="宋体" w:hAnsi="宋体" w:cs="宋体"/>
          <w:color w:val="auto"/>
          <w:sz w:val="24"/>
          <w:u w:val="dotted"/>
        </w:rPr>
      </w:pPr>
      <w:r>
        <w:rPr>
          <w:rFonts w:hint="eastAsia" w:ascii="宋体" w:hAnsi="宋体" w:cs="宋体"/>
          <w:color w:val="auto"/>
          <w:sz w:val="24"/>
        </w:rPr>
        <w:t>……</w:t>
      </w:r>
    </w:p>
    <w:p w14:paraId="031F25C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D7155E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05A8A35">
      <w:pPr>
        <w:spacing w:line="360" w:lineRule="auto"/>
        <w:rPr>
          <w:rFonts w:ascii="宋体" w:hAnsi="宋体" w:cs="宋体"/>
          <w:color w:val="auto"/>
          <w:sz w:val="24"/>
          <w:u w:val="single"/>
        </w:rPr>
      </w:pPr>
      <w:r>
        <w:rPr>
          <w:rFonts w:hint="eastAsia" w:ascii="宋体" w:hAnsi="宋体" w:cs="宋体"/>
          <w:color w:val="auto"/>
          <w:sz w:val="24"/>
        </w:rPr>
        <w:t xml:space="preserve">                                                           </w:t>
      </w:r>
    </w:p>
    <w:p w14:paraId="030F45C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2B66BF1">
      <w:pPr>
        <w:spacing w:line="360" w:lineRule="auto"/>
        <w:rPr>
          <w:rFonts w:ascii="宋体" w:hAnsi="宋体" w:cs="宋体"/>
          <w:color w:val="auto"/>
          <w:sz w:val="24"/>
        </w:rPr>
      </w:pPr>
      <w:r>
        <w:rPr>
          <w:rFonts w:hint="eastAsia" w:ascii="宋体" w:hAnsi="宋体" w:cs="宋体"/>
          <w:color w:val="auto"/>
          <w:sz w:val="24"/>
        </w:rPr>
        <w:t xml:space="preserve">日期：    </w:t>
      </w:r>
    </w:p>
    <w:p w14:paraId="7DF1178E">
      <w:pPr>
        <w:spacing w:line="360" w:lineRule="auto"/>
        <w:rPr>
          <w:rFonts w:ascii="宋体" w:hAnsi="宋体" w:cs="宋体"/>
          <w:b/>
          <w:color w:val="auto"/>
          <w:sz w:val="24"/>
        </w:rPr>
      </w:pPr>
    </w:p>
    <w:p w14:paraId="382CEA7C">
      <w:pPr>
        <w:spacing w:line="360" w:lineRule="auto"/>
        <w:rPr>
          <w:rFonts w:ascii="宋体" w:hAnsi="宋体" w:cs="宋体"/>
          <w:b/>
          <w:color w:val="auto"/>
          <w:sz w:val="24"/>
        </w:rPr>
      </w:pPr>
    </w:p>
    <w:p w14:paraId="14EF61DF">
      <w:pPr>
        <w:spacing w:line="360" w:lineRule="auto"/>
        <w:rPr>
          <w:rFonts w:ascii="宋体" w:hAnsi="宋体" w:cs="宋体"/>
          <w:b/>
          <w:color w:val="auto"/>
          <w:sz w:val="24"/>
        </w:rPr>
      </w:pPr>
      <w:r>
        <w:rPr>
          <w:rFonts w:hint="eastAsia" w:ascii="宋体" w:hAnsi="宋体" w:cs="宋体"/>
          <w:b/>
          <w:color w:val="auto"/>
          <w:sz w:val="24"/>
        </w:rPr>
        <w:t>投诉书制作说明：</w:t>
      </w:r>
    </w:p>
    <w:p w14:paraId="5E24A89D">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C19C18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EFBB8F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F0D108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63CC5E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805BED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3B6148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AB98FC8">
      <w:pPr>
        <w:spacing w:line="360" w:lineRule="auto"/>
        <w:rPr>
          <w:rFonts w:ascii="宋体" w:hAnsi="宋体" w:cs="宋体"/>
          <w:b/>
          <w:color w:val="auto"/>
          <w:sz w:val="24"/>
        </w:rPr>
      </w:pPr>
    </w:p>
    <w:p w14:paraId="2F98F9D2">
      <w:pPr>
        <w:autoSpaceDE w:val="0"/>
        <w:autoSpaceDN w:val="0"/>
        <w:jc w:val="center"/>
        <w:rPr>
          <w:rFonts w:ascii="宋体" w:hAnsi="宋体" w:cs="宋体"/>
          <w:b/>
          <w:color w:val="auto"/>
          <w:spacing w:val="6"/>
          <w:sz w:val="32"/>
          <w:szCs w:val="32"/>
        </w:rPr>
      </w:pPr>
    </w:p>
    <w:p w14:paraId="120D2A12">
      <w:pPr>
        <w:autoSpaceDE w:val="0"/>
        <w:autoSpaceDN w:val="0"/>
        <w:jc w:val="center"/>
        <w:rPr>
          <w:rFonts w:ascii="宋体" w:hAnsi="宋体" w:cs="宋体"/>
          <w:b/>
          <w:color w:val="auto"/>
          <w:spacing w:val="6"/>
          <w:sz w:val="32"/>
          <w:szCs w:val="32"/>
        </w:rPr>
      </w:pPr>
    </w:p>
    <w:p w14:paraId="6AA727C0">
      <w:pPr>
        <w:autoSpaceDE w:val="0"/>
        <w:autoSpaceDN w:val="0"/>
        <w:jc w:val="center"/>
        <w:rPr>
          <w:rFonts w:hint="eastAsia" w:ascii="宋体" w:hAnsi="宋体" w:cs="宋体"/>
          <w:b/>
          <w:color w:val="auto"/>
          <w:spacing w:val="6"/>
          <w:sz w:val="32"/>
          <w:szCs w:val="32"/>
        </w:rPr>
      </w:pPr>
    </w:p>
    <w:p w14:paraId="0DE7ADF4">
      <w:pPr>
        <w:autoSpaceDE w:val="0"/>
        <w:autoSpaceDN w:val="0"/>
        <w:jc w:val="both"/>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3</w:t>
      </w:r>
      <w:r>
        <w:rPr>
          <w:rFonts w:hint="eastAsia" w:ascii="宋体" w:hAnsi="宋体" w:cs="宋体"/>
          <w:b/>
          <w:color w:val="auto"/>
          <w:spacing w:val="6"/>
          <w:sz w:val="32"/>
          <w:szCs w:val="32"/>
        </w:rPr>
        <w:t>：</w:t>
      </w:r>
      <w:r>
        <w:rPr>
          <w:rFonts w:hint="eastAsia" w:ascii="宋体" w:hAnsi="宋体" w:cs="宋体"/>
          <w:b/>
          <w:bCs/>
          <w:color w:val="auto"/>
          <w:sz w:val="32"/>
          <w:szCs w:val="32"/>
        </w:rPr>
        <w:t>业务专用章使用说明函</w:t>
      </w:r>
    </w:p>
    <w:p w14:paraId="3220F878">
      <w:pPr>
        <w:spacing w:line="360" w:lineRule="auto"/>
        <w:rPr>
          <w:rFonts w:ascii="宋体" w:hAnsi="宋体" w:cs="宋体"/>
          <w:color w:val="auto"/>
          <w:sz w:val="24"/>
          <w:u w:val="single"/>
        </w:rPr>
      </w:pPr>
    </w:p>
    <w:p w14:paraId="106092A2">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9BB340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EBA3448">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9C64897">
      <w:pPr>
        <w:spacing w:line="360" w:lineRule="auto"/>
        <w:ind w:firstLine="494"/>
        <w:rPr>
          <w:rFonts w:ascii="宋体" w:hAnsi="宋体" w:cs="宋体"/>
          <w:color w:val="auto"/>
          <w:sz w:val="24"/>
        </w:rPr>
      </w:pPr>
    </w:p>
    <w:p w14:paraId="52993CF3">
      <w:pPr>
        <w:spacing w:line="360" w:lineRule="auto"/>
        <w:ind w:firstLine="494"/>
        <w:rPr>
          <w:rFonts w:ascii="宋体" w:hAnsi="宋体" w:cs="宋体"/>
          <w:color w:val="auto"/>
          <w:sz w:val="24"/>
        </w:rPr>
      </w:pPr>
    </w:p>
    <w:p w14:paraId="2CF4C7EF">
      <w:pPr>
        <w:spacing w:line="360" w:lineRule="auto"/>
        <w:ind w:firstLine="494"/>
        <w:rPr>
          <w:rFonts w:ascii="宋体" w:hAnsi="宋体" w:cs="宋体"/>
          <w:color w:val="auto"/>
          <w:sz w:val="24"/>
        </w:rPr>
      </w:pPr>
    </w:p>
    <w:p w14:paraId="546D297C">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B038D4D">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9ECED53">
      <w:pPr>
        <w:rPr>
          <w:rFonts w:ascii="宋体" w:hAnsi="宋体" w:cs="宋体"/>
          <w:color w:val="auto"/>
          <w:sz w:val="24"/>
        </w:rPr>
      </w:pPr>
      <w:r>
        <w:rPr>
          <w:rFonts w:hint="eastAsia" w:ascii="宋体" w:hAnsi="宋体" w:cs="宋体"/>
          <w:b/>
          <w:bCs/>
          <w:color w:val="auto"/>
          <w:sz w:val="24"/>
        </w:rPr>
        <w:t>附：</w:t>
      </w:r>
    </w:p>
    <w:p w14:paraId="1637023F">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Q/s5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P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CQ/s5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C6F61B8">
      <w:pPr>
        <w:autoSpaceDE w:val="0"/>
        <w:autoSpaceDN w:val="0"/>
        <w:jc w:val="center"/>
        <w:rPr>
          <w:rFonts w:ascii="宋体" w:hAnsi="宋体" w:cs="宋体"/>
          <w:b/>
          <w:color w:val="auto"/>
          <w:spacing w:val="6"/>
          <w:sz w:val="32"/>
          <w:szCs w:val="32"/>
        </w:rPr>
      </w:pPr>
    </w:p>
    <w:p w14:paraId="2AEA3E3E">
      <w:pPr>
        <w:autoSpaceDE w:val="0"/>
        <w:autoSpaceDN w:val="0"/>
        <w:jc w:val="center"/>
        <w:rPr>
          <w:rFonts w:ascii="宋体" w:hAnsi="宋体" w:cs="宋体"/>
          <w:b/>
          <w:color w:val="auto"/>
          <w:spacing w:val="6"/>
          <w:sz w:val="32"/>
          <w:szCs w:val="32"/>
        </w:rPr>
      </w:pPr>
    </w:p>
    <w:p w14:paraId="312AF3A1">
      <w:pPr>
        <w:autoSpaceDE w:val="0"/>
        <w:autoSpaceDN w:val="0"/>
        <w:jc w:val="center"/>
        <w:rPr>
          <w:rFonts w:ascii="宋体" w:hAnsi="宋体" w:cs="宋体"/>
          <w:b/>
          <w:color w:val="auto"/>
          <w:spacing w:val="6"/>
          <w:sz w:val="32"/>
          <w:szCs w:val="32"/>
        </w:rPr>
      </w:pPr>
    </w:p>
    <w:p w14:paraId="28D4AB8F">
      <w:pPr>
        <w:autoSpaceDE w:val="0"/>
        <w:autoSpaceDN w:val="0"/>
        <w:jc w:val="center"/>
        <w:rPr>
          <w:rFonts w:ascii="宋体" w:hAnsi="宋体" w:cs="宋体"/>
          <w:b/>
          <w:color w:val="auto"/>
          <w:spacing w:val="6"/>
          <w:sz w:val="32"/>
          <w:szCs w:val="32"/>
        </w:rPr>
      </w:pPr>
    </w:p>
    <w:p w14:paraId="48C14A33">
      <w:pPr>
        <w:autoSpaceDE w:val="0"/>
        <w:autoSpaceDN w:val="0"/>
        <w:jc w:val="center"/>
        <w:rPr>
          <w:rFonts w:ascii="宋体" w:hAnsi="宋体" w:cs="宋体"/>
          <w:b/>
          <w:color w:val="auto"/>
          <w:spacing w:val="6"/>
          <w:sz w:val="32"/>
          <w:szCs w:val="32"/>
        </w:rPr>
      </w:pPr>
    </w:p>
    <w:p w14:paraId="7B092FD0">
      <w:pPr>
        <w:autoSpaceDE w:val="0"/>
        <w:autoSpaceDN w:val="0"/>
        <w:jc w:val="center"/>
        <w:rPr>
          <w:rFonts w:ascii="宋体" w:hAnsi="宋体" w:cs="宋体"/>
          <w:b/>
          <w:color w:val="auto"/>
          <w:spacing w:val="6"/>
          <w:sz w:val="32"/>
          <w:szCs w:val="32"/>
        </w:rPr>
      </w:pPr>
    </w:p>
    <w:p w14:paraId="0A403F08">
      <w:pPr>
        <w:autoSpaceDE w:val="0"/>
        <w:autoSpaceDN w:val="0"/>
        <w:jc w:val="center"/>
        <w:rPr>
          <w:rFonts w:ascii="宋体" w:hAnsi="宋体" w:cs="宋体"/>
          <w:b/>
          <w:color w:val="auto"/>
          <w:spacing w:val="6"/>
          <w:sz w:val="32"/>
          <w:szCs w:val="32"/>
        </w:rPr>
      </w:pPr>
    </w:p>
    <w:p w14:paraId="299AEAEE">
      <w:pPr>
        <w:autoSpaceDE w:val="0"/>
        <w:autoSpaceDN w:val="0"/>
        <w:jc w:val="center"/>
        <w:rPr>
          <w:rFonts w:ascii="宋体" w:hAnsi="宋体" w:cs="宋体"/>
          <w:b/>
          <w:color w:val="auto"/>
          <w:spacing w:val="6"/>
          <w:sz w:val="32"/>
          <w:szCs w:val="32"/>
        </w:rPr>
      </w:pPr>
    </w:p>
    <w:p w14:paraId="77C37E0E">
      <w:pPr>
        <w:autoSpaceDE w:val="0"/>
        <w:autoSpaceDN w:val="0"/>
        <w:jc w:val="center"/>
        <w:rPr>
          <w:rFonts w:ascii="宋体" w:hAnsi="宋体" w:cs="宋体"/>
          <w:b/>
          <w:color w:val="auto"/>
          <w:spacing w:val="6"/>
          <w:sz w:val="32"/>
          <w:szCs w:val="32"/>
        </w:rPr>
      </w:pPr>
    </w:p>
    <w:p w14:paraId="11F49700">
      <w:pPr>
        <w:autoSpaceDE w:val="0"/>
        <w:autoSpaceDN w:val="0"/>
        <w:jc w:val="center"/>
        <w:rPr>
          <w:rFonts w:ascii="宋体" w:hAnsi="宋体" w:cs="宋体"/>
          <w:b/>
          <w:color w:val="auto"/>
          <w:spacing w:val="6"/>
          <w:sz w:val="32"/>
          <w:szCs w:val="32"/>
        </w:rPr>
      </w:pPr>
    </w:p>
    <w:p w14:paraId="6616C892">
      <w:pPr>
        <w:autoSpaceDE w:val="0"/>
        <w:autoSpaceDN w:val="0"/>
        <w:jc w:val="center"/>
        <w:rPr>
          <w:rFonts w:ascii="宋体" w:hAnsi="宋体" w:cs="宋体"/>
          <w:b/>
          <w:color w:val="auto"/>
          <w:spacing w:val="6"/>
          <w:sz w:val="32"/>
          <w:szCs w:val="32"/>
        </w:rPr>
      </w:pPr>
    </w:p>
    <w:p w14:paraId="06CC09DF">
      <w:pPr>
        <w:autoSpaceDE w:val="0"/>
        <w:autoSpaceDN w:val="0"/>
        <w:jc w:val="center"/>
        <w:rPr>
          <w:rFonts w:ascii="宋体" w:hAnsi="宋体" w:cs="宋体"/>
          <w:b/>
          <w:color w:val="auto"/>
          <w:spacing w:val="6"/>
          <w:sz w:val="32"/>
          <w:szCs w:val="32"/>
        </w:rPr>
      </w:pPr>
    </w:p>
    <w:p w14:paraId="53CEA1BC">
      <w:pPr>
        <w:autoSpaceDE w:val="0"/>
        <w:autoSpaceDN w:val="0"/>
        <w:jc w:val="center"/>
        <w:rPr>
          <w:rFonts w:ascii="宋体" w:hAnsi="宋体" w:cs="宋体"/>
          <w:b/>
          <w:color w:val="auto"/>
          <w:spacing w:val="6"/>
          <w:sz w:val="32"/>
          <w:szCs w:val="32"/>
        </w:rPr>
      </w:pPr>
    </w:p>
    <w:p w14:paraId="25349DE8">
      <w:pPr>
        <w:autoSpaceDE w:val="0"/>
        <w:autoSpaceDN w:val="0"/>
        <w:jc w:val="center"/>
        <w:rPr>
          <w:rFonts w:ascii="宋体" w:hAnsi="宋体" w:cs="宋体"/>
          <w:b/>
          <w:color w:val="auto"/>
          <w:spacing w:val="6"/>
          <w:sz w:val="32"/>
          <w:szCs w:val="32"/>
        </w:rPr>
      </w:pPr>
    </w:p>
    <w:p w14:paraId="1A263ADD">
      <w:pPr>
        <w:pStyle w:val="6"/>
        <w:ind w:left="0" w:leftChars="0" w:firstLine="0" w:firstLineChars="0"/>
        <w:rPr>
          <w:color w:val="auto"/>
          <w:lang w:val="en-US"/>
        </w:rPr>
      </w:pPr>
    </w:p>
    <w:sectPr>
      <w:pgSz w:w="11910" w:h="16840"/>
      <w:pgMar w:top="1134" w:right="1134" w:bottom="1134" w:left="1134" w:header="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FHUJLC + ArialM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DEE4">
    <w:pPr>
      <w:pStyle w:val="2"/>
      <w:spacing w:line="14" w:lineRule="auto"/>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63FB">
    <w:pPr>
      <w:pStyle w:val="2"/>
      <w:spacing w:line="14" w:lineRule="auto"/>
      <w:rPr>
        <w:sz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4596A">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74596A">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135</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6266">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041E3">
                          <w:pPr>
                            <w:pStyle w:val="17"/>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135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9041E3">
                    <w:pPr>
                      <w:pStyle w:val="17"/>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135</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4BDF8">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102A">
                          <w:pPr>
                            <w:pStyle w:val="17"/>
                          </w:pPr>
                          <w:r>
                            <w:t xml:space="preserve">第 </w:t>
                          </w:r>
                          <w:r>
                            <w:fldChar w:fldCharType="begin"/>
                          </w:r>
                          <w:r>
                            <w:instrText xml:space="preserve"> PAGE  \* MERGEFORMAT </w:instrText>
                          </w:r>
                          <w:r>
                            <w:fldChar w:fldCharType="separate"/>
                          </w:r>
                          <w:r>
                            <w:t>88</w:t>
                          </w:r>
                          <w:r>
                            <w:fldChar w:fldCharType="end"/>
                          </w:r>
                          <w:r>
                            <w:t xml:space="preserve"> 页 共 </w:t>
                          </w:r>
                          <w:r>
                            <w:rPr>
                              <w:rFonts w:hint="eastAsia"/>
                              <w:lang w:val="en-US" w:eastAsia="zh-CN"/>
                            </w:rPr>
                            <w:t>135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1B102A">
                    <w:pPr>
                      <w:pStyle w:val="17"/>
                    </w:pPr>
                    <w:r>
                      <w:t xml:space="preserve">第 </w:t>
                    </w:r>
                    <w:r>
                      <w:fldChar w:fldCharType="begin"/>
                    </w:r>
                    <w:r>
                      <w:instrText xml:space="preserve"> PAGE  \* MERGEFORMAT </w:instrText>
                    </w:r>
                    <w:r>
                      <w:fldChar w:fldCharType="separate"/>
                    </w:r>
                    <w:r>
                      <w:t>88</w:t>
                    </w:r>
                    <w:r>
                      <w:fldChar w:fldCharType="end"/>
                    </w:r>
                    <w:r>
                      <w:t xml:space="preserve"> 页 共 </w:t>
                    </w:r>
                    <w:r>
                      <w:rPr>
                        <w:rFonts w:hint="eastAsia"/>
                        <w:lang w:val="en-US" w:eastAsia="zh-CN"/>
                      </w:rPr>
                      <w:t>135</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73F00"/>
    <w:multiLevelType w:val="singleLevel"/>
    <w:tmpl w:val="A4173F00"/>
    <w:lvl w:ilvl="0" w:tentative="0">
      <w:start w:val="1"/>
      <w:numFmt w:val="decimal"/>
      <w:suff w:val="nothing"/>
      <w:lvlText w:val="%1、"/>
      <w:lvlJc w:val="left"/>
    </w:lvl>
  </w:abstractNum>
  <w:abstractNum w:abstractNumId="1">
    <w:nsid w:val="A421D8C5"/>
    <w:multiLevelType w:val="singleLevel"/>
    <w:tmpl w:val="A421D8C5"/>
    <w:lvl w:ilvl="0" w:tentative="0">
      <w:start w:val="1"/>
      <w:numFmt w:val="decimal"/>
      <w:suff w:val="nothing"/>
      <w:lvlText w:val="（%1）"/>
      <w:lvlJc w:val="left"/>
    </w:lvl>
  </w:abstractNum>
  <w:abstractNum w:abstractNumId="2">
    <w:nsid w:val="BD935446"/>
    <w:multiLevelType w:val="singleLevel"/>
    <w:tmpl w:val="BD935446"/>
    <w:lvl w:ilvl="0" w:tentative="0">
      <w:start w:val="6"/>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lvlText w:val="%1."/>
      <w:lvlJc w:val="left"/>
      <w:pPr>
        <w:tabs>
          <w:tab w:val="left" w:pos="1200"/>
        </w:tabs>
        <w:ind w:left="1200" w:hanging="360"/>
      </w:pPr>
    </w:lvl>
  </w:abstractNum>
  <w:abstractNum w:abstractNumId="4">
    <w:nsid w:val="3E98CF64"/>
    <w:multiLevelType w:val="singleLevel"/>
    <w:tmpl w:val="3E98CF64"/>
    <w:lvl w:ilvl="0" w:tentative="0">
      <w:start w:val="1"/>
      <w:numFmt w:val="chineseCounting"/>
      <w:suff w:val="space"/>
      <w:lvlText w:val="第%1章"/>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GVlN2M4ZDk0NDkxOGNmYzllOWQyNTVmMzUxOTYifQ=="/>
    <w:docVar w:name="KSO_WPS_MARK_KEY" w:val="8d050f58-ea5e-4f6f-9ce5-5a460c2eba39"/>
  </w:docVars>
  <w:rsids>
    <w:rsidRoot w:val="001D6729"/>
    <w:rsid w:val="00151E59"/>
    <w:rsid w:val="001D11CB"/>
    <w:rsid w:val="001D6729"/>
    <w:rsid w:val="009B0393"/>
    <w:rsid w:val="009E086F"/>
    <w:rsid w:val="00BD3E8D"/>
    <w:rsid w:val="00CB2EE4"/>
    <w:rsid w:val="00FA5223"/>
    <w:rsid w:val="01937116"/>
    <w:rsid w:val="01B630F3"/>
    <w:rsid w:val="01C30E19"/>
    <w:rsid w:val="01DA226F"/>
    <w:rsid w:val="023849E6"/>
    <w:rsid w:val="033A0C2B"/>
    <w:rsid w:val="036B07B1"/>
    <w:rsid w:val="03AA5AC2"/>
    <w:rsid w:val="045A77D7"/>
    <w:rsid w:val="04811B9C"/>
    <w:rsid w:val="04A0781B"/>
    <w:rsid w:val="04A73A95"/>
    <w:rsid w:val="04AC1D58"/>
    <w:rsid w:val="04D525FF"/>
    <w:rsid w:val="050C20F5"/>
    <w:rsid w:val="054242C2"/>
    <w:rsid w:val="05A10E9C"/>
    <w:rsid w:val="05F21EE7"/>
    <w:rsid w:val="05F61781"/>
    <w:rsid w:val="069446A6"/>
    <w:rsid w:val="0757384D"/>
    <w:rsid w:val="07995FF1"/>
    <w:rsid w:val="08857BF7"/>
    <w:rsid w:val="09120680"/>
    <w:rsid w:val="09442803"/>
    <w:rsid w:val="094621A8"/>
    <w:rsid w:val="0A4F4B65"/>
    <w:rsid w:val="0A9E7CF1"/>
    <w:rsid w:val="0ACD2893"/>
    <w:rsid w:val="0B272F01"/>
    <w:rsid w:val="0B6E0F49"/>
    <w:rsid w:val="0B8468C0"/>
    <w:rsid w:val="0BC70616"/>
    <w:rsid w:val="0BED7AEB"/>
    <w:rsid w:val="0C2030B4"/>
    <w:rsid w:val="0CD3172A"/>
    <w:rsid w:val="0D5A6456"/>
    <w:rsid w:val="0D634424"/>
    <w:rsid w:val="0D684CB2"/>
    <w:rsid w:val="0D904269"/>
    <w:rsid w:val="0DFF47E7"/>
    <w:rsid w:val="0E6D60A3"/>
    <w:rsid w:val="0EB125BA"/>
    <w:rsid w:val="0EB977F0"/>
    <w:rsid w:val="0FBB22D0"/>
    <w:rsid w:val="0FD94C00"/>
    <w:rsid w:val="102E168D"/>
    <w:rsid w:val="10326F5D"/>
    <w:rsid w:val="10790FE5"/>
    <w:rsid w:val="107C4B99"/>
    <w:rsid w:val="10B73324"/>
    <w:rsid w:val="11814E0D"/>
    <w:rsid w:val="118B5473"/>
    <w:rsid w:val="119D0D0C"/>
    <w:rsid w:val="12112BF4"/>
    <w:rsid w:val="13165FED"/>
    <w:rsid w:val="13527640"/>
    <w:rsid w:val="13845C6A"/>
    <w:rsid w:val="13EC2147"/>
    <w:rsid w:val="13F02BE8"/>
    <w:rsid w:val="14217566"/>
    <w:rsid w:val="14816AA0"/>
    <w:rsid w:val="14F9591F"/>
    <w:rsid w:val="14FB46BE"/>
    <w:rsid w:val="1509227B"/>
    <w:rsid w:val="15D74A9A"/>
    <w:rsid w:val="16545C9D"/>
    <w:rsid w:val="16AA7A6F"/>
    <w:rsid w:val="16B94831"/>
    <w:rsid w:val="16E9178B"/>
    <w:rsid w:val="16F05D79"/>
    <w:rsid w:val="17342109"/>
    <w:rsid w:val="178E2610"/>
    <w:rsid w:val="1813706A"/>
    <w:rsid w:val="182973A5"/>
    <w:rsid w:val="183A5435"/>
    <w:rsid w:val="187B37E5"/>
    <w:rsid w:val="189B6D51"/>
    <w:rsid w:val="18CC2539"/>
    <w:rsid w:val="18ED0BC9"/>
    <w:rsid w:val="18F0644B"/>
    <w:rsid w:val="18F50EDD"/>
    <w:rsid w:val="19044766"/>
    <w:rsid w:val="195B106B"/>
    <w:rsid w:val="19F732B6"/>
    <w:rsid w:val="19FC6EC1"/>
    <w:rsid w:val="1A307936"/>
    <w:rsid w:val="1A92719D"/>
    <w:rsid w:val="1AA94BBC"/>
    <w:rsid w:val="1B1A0BF2"/>
    <w:rsid w:val="1B230041"/>
    <w:rsid w:val="1B27084D"/>
    <w:rsid w:val="1C7C039D"/>
    <w:rsid w:val="1D150CCF"/>
    <w:rsid w:val="1D292DE6"/>
    <w:rsid w:val="1D745EE6"/>
    <w:rsid w:val="1DAE0BA3"/>
    <w:rsid w:val="1DB412E6"/>
    <w:rsid w:val="1DC3601C"/>
    <w:rsid w:val="1E694596"/>
    <w:rsid w:val="1F6C19C7"/>
    <w:rsid w:val="20430F38"/>
    <w:rsid w:val="206E7A43"/>
    <w:rsid w:val="20707F07"/>
    <w:rsid w:val="21964F00"/>
    <w:rsid w:val="22AB359E"/>
    <w:rsid w:val="22BD4ED7"/>
    <w:rsid w:val="22FF5162"/>
    <w:rsid w:val="22FF73ED"/>
    <w:rsid w:val="23281486"/>
    <w:rsid w:val="232E1202"/>
    <w:rsid w:val="234512D8"/>
    <w:rsid w:val="23632B6D"/>
    <w:rsid w:val="23670126"/>
    <w:rsid w:val="24572F93"/>
    <w:rsid w:val="250B04B9"/>
    <w:rsid w:val="25847FED"/>
    <w:rsid w:val="25BE75FC"/>
    <w:rsid w:val="26041B6B"/>
    <w:rsid w:val="2615270F"/>
    <w:rsid w:val="26240704"/>
    <w:rsid w:val="26571F46"/>
    <w:rsid w:val="279323B4"/>
    <w:rsid w:val="296F626F"/>
    <w:rsid w:val="29764AE9"/>
    <w:rsid w:val="297840D8"/>
    <w:rsid w:val="29A316DF"/>
    <w:rsid w:val="29EF6A27"/>
    <w:rsid w:val="2A132FAC"/>
    <w:rsid w:val="2AA669B6"/>
    <w:rsid w:val="2ACD05C9"/>
    <w:rsid w:val="2AD7694B"/>
    <w:rsid w:val="2AEE6F38"/>
    <w:rsid w:val="2AF14071"/>
    <w:rsid w:val="2B54647E"/>
    <w:rsid w:val="2B7535EB"/>
    <w:rsid w:val="2BDE5C4B"/>
    <w:rsid w:val="2C1874AC"/>
    <w:rsid w:val="2C51381B"/>
    <w:rsid w:val="2D191DE5"/>
    <w:rsid w:val="2DF34DBC"/>
    <w:rsid w:val="2DF953EB"/>
    <w:rsid w:val="2E994340"/>
    <w:rsid w:val="2ED05D75"/>
    <w:rsid w:val="2EF115D7"/>
    <w:rsid w:val="2F43516E"/>
    <w:rsid w:val="2F961D80"/>
    <w:rsid w:val="2FDB716E"/>
    <w:rsid w:val="2FFC7C4A"/>
    <w:rsid w:val="30911A53"/>
    <w:rsid w:val="30BC3218"/>
    <w:rsid w:val="30D8379B"/>
    <w:rsid w:val="31560B8B"/>
    <w:rsid w:val="31642CFA"/>
    <w:rsid w:val="321B7CF6"/>
    <w:rsid w:val="325350C9"/>
    <w:rsid w:val="32BF1B91"/>
    <w:rsid w:val="33053FC9"/>
    <w:rsid w:val="332C26D1"/>
    <w:rsid w:val="334D2131"/>
    <w:rsid w:val="33525999"/>
    <w:rsid w:val="33865737"/>
    <w:rsid w:val="33C06DA7"/>
    <w:rsid w:val="344E46EC"/>
    <w:rsid w:val="35201994"/>
    <w:rsid w:val="35380682"/>
    <w:rsid w:val="35864BEF"/>
    <w:rsid w:val="35D76ECB"/>
    <w:rsid w:val="364C3A0C"/>
    <w:rsid w:val="36A05164"/>
    <w:rsid w:val="36B10001"/>
    <w:rsid w:val="36B339AE"/>
    <w:rsid w:val="36B424E5"/>
    <w:rsid w:val="37694736"/>
    <w:rsid w:val="37D44243"/>
    <w:rsid w:val="37E66A96"/>
    <w:rsid w:val="380E492A"/>
    <w:rsid w:val="382D72D9"/>
    <w:rsid w:val="38475AAE"/>
    <w:rsid w:val="38C86F26"/>
    <w:rsid w:val="391A4924"/>
    <w:rsid w:val="394B22A9"/>
    <w:rsid w:val="39567897"/>
    <w:rsid w:val="397C31F6"/>
    <w:rsid w:val="3A592166"/>
    <w:rsid w:val="3A5B15D7"/>
    <w:rsid w:val="3ABC5C17"/>
    <w:rsid w:val="3B0A6B5A"/>
    <w:rsid w:val="3B443E1A"/>
    <w:rsid w:val="3B5D7F7A"/>
    <w:rsid w:val="3C4D4B18"/>
    <w:rsid w:val="3C4F4E64"/>
    <w:rsid w:val="3C687FDC"/>
    <w:rsid w:val="3CE95D12"/>
    <w:rsid w:val="3CF008A7"/>
    <w:rsid w:val="3D7848FE"/>
    <w:rsid w:val="3D820C29"/>
    <w:rsid w:val="3D83167D"/>
    <w:rsid w:val="3D9441D3"/>
    <w:rsid w:val="3DD63BFB"/>
    <w:rsid w:val="3DF32C3A"/>
    <w:rsid w:val="3DF7049B"/>
    <w:rsid w:val="3E2C610F"/>
    <w:rsid w:val="3F780536"/>
    <w:rsid w:val="3F8915FA"/>
    <w:rsid w:val="3FC24187"/>
    <w:rsid w:val="3FCA4B09"/>
    <w:rsid w:val="3FFE5CC0"/>
    <w:rsid w:val="40ED0877"/>
    <w:rsid w:val="414D049C"/>
    <w:rsid w:val="41D460EF"/>
    <w:rsid w:val="42305EAC"/>
    <w:rsid w:val="42E945AA"/>
    <w:rsid w:val="43395383"/>
    <w:rsid w:val="43D83441"/>
    <w:rsid w:val="4452279A"/>
    <w:rsid w:val="448B4867"/>
    <w:rsid w:val="45B073DE"/>
    <w:rsid w:val="46A86C77"/>
    <w:rsid w:val="46B75D3F"/>
    <w:rsid w:val="470851B8"/>
    <w:rsid w:val="473D266D"/>
    <w:rsid w:val="47CF38C5"/>
    <w:rsid w:val="48710F86"/>
    <w:rsid w:val="48B348D3"/>
    <w:rsid w:val="48ED18A7"/>
    <w:rsid w:val="48F242F6"/>
    <w:rsid w:val="491A13BB"/>
    <w:rsid w:val="49FC3AE3"/>
    <w:rsid w:val="4A780A6B"/>
    <w:rsid w:val="4A7D4746"/>
    <w:rsid w:val="4A8C30E7"/>
    <w:rsid w:val="4AAA7A11"/>
    <w:rsid w:val="4AD747CF"/>
    <w:rsid w:val="4B8F1E47"/>
    <w:rsid w:val="4BB7081F"/>
    <w:rsid w:val="4BCD5C8C"/>
    <w:rsid w:val="4BE42D2F"/>
    <w:rsid w:val="4C5F48A2"/>
    <w:rsid w:val="4C6740F3"/>
    <w:rsid w:val="4C710F14"/>
    <w:rsid w:val="4CAD66E4"/>
    <w:rsid w:val="4CD34591"/>
    <w:rsid w:val="4D2D6B40"/>
    <w:rsid w:val="4D414BA9"/>
    <w:rsid w:val="4D6463BF"/>
    <w:rsid w:val="4D7C7930"/>
    <w:rsid w:val="4DB23956"/>
    <w:rsid w:val="4DDD164A"/>
    <w:rsid w:val="4E872A13"/>
    <w:rsid w:val="4EAE1FAD"/>
    <w:rsid w:val="4EBF7DEF"/>
    <w:rsid w:val="4EC512BE"/>
    <w:rsid w:val="4F5D7847"/>
    <w:rsid w:val="4F8F3B50"/>
    <w:rsid w:val="4F9561EF"/>
    <w:rsid w:val="4F961822"/>
    <w:rsid w:val="4FC704BD"/>
    <w:rsid w:val="50324D48"/>
    <w:rsid w:val="50506965"/>
    <w:rsid w:val="50C4675C"/>
    <w:rsid w:val="5179176E"/>
    <w:rsid w:val="52087684"/>
    <w:rsid w:val="524648DC"/>
    <w:rsid w:val="525E1640"/>
    <w:rsid w:val="52970A52"/>
    <w:rsid w:val="52D53463"/>
    <w:rsid w:val="53C932DB"/>
    <w:rsid w:val="541A3E03"/>
    <w:rsid w:val="546F0DE9"/>
    <w:rsid w:val="547E5126"/>
    <w:rsid w:val="548E1E13"/>
    <w:rsid w:val="54A55352"/>
    <w:rsid w:val="54B74783"/>
    <w:rsid w:val="552119E7"/>
    <w:rsid w:val="552F4AA5"/>
    <w:rsid w:val="55540281"/>
    <w:rsid w:val="55B41744"/>
    <w:rsid w:val="55C908C3"/>
    <w:rsid w:val="55F47C60"/>
    <w:rsid w:val="55FA58E9"/>
    <w:rsid w:val="56130B60"/>
    <w:rsid w:val="58AC0523"/>
    <w:rsid w:val="58C06697"/>
    <w:rsid w:val="58C46F2F"/>
    <w:rsid w:val="58E75D17"/>
    <w:rsid w:val="592E0CD4"/>
    <w:rsid w:val="59B97F47"/>
    <w:rsid w:val="59BA2FED"/>
    <w:rsid w:val="59CB12F3"/>
    <w:rsid w:val="5AC253A4"/>
    <w:rsid w:val="5C171C51"/>
    <w:rsid w:val="5C504F3C"/>
    <w:rsid w:val="5C556233"/>
    <w:rsid w:val="5CA442C0"/>
    <w:rsid w:val="5E58383B"/>
    <w:rsid w:val="5E696FC2"/>
    <w:rsid w:val="5E864DCA"/>
    <w:rsid w:val="5F37766E"/>
    <w:rsid w:val="5F4064F0"/>
    <w:rsid w:val="5F7761D6"/>
    <w:rsid w:val="5F7B589B"/>
    <w:rsid w:val="603D782B"/>
    <w:rsid w:val="60511BE2"/>
    <w:rsid w:val="609C1F1C"/>
    <w:rsid w:val="60F35816"/>
    <w:rsid w:val="610D28F3"/>
    <w:rsid w:val="61AD37ED"/>
    <w:rsid w:val="61DD0A5E"/>
    <w:rsid w:val="62117AF4"/>
    <w:rsid w:val="62687B8C"/>
    <w:rsid w:val="62AB0576"/>
    <w:rsid w:val="63B82683"/>
    <w:rsid w:val="64230C8E"/>
    <w:rsid w:val="642E3827"/>
    <w:rsid w:val="644F21CB"/>
    <w:rsid w:val="645D20B1"/>
    <w:rsid w:val="64E37662"/>
    <w:rsid w:val="65271A58"/>
    <w:rsid w:val="654A5C21"/>
    <w:rsid w:val="65694555"/>
    <w:rsid w:val="656C7D73"/>
    <w:rsid w:val="657F444F"/>
    <w:rsid w:val="65ED4F2A"/>
    <w:rsid w:val="665779C0"/>
    <w:rsid w:val="66747F32"/>
    <w:rsid w:val="66DB5AEE"/>
    <w:rsid w:val="679D472E"/>
    <w:rsid w:val="68444BA9"/>
    <w:rsid w:val="68657359"/>
    <w:rsid w:val="68701E42"/>
    <w:rsid w:val="691042BD"/>
    <w:rsid w:val="693B2960"/>
    <w:rsid w:val="69586B5E"/>
    <w:rsid w:val="69C13CF3"/>
    <w:rsid w:val="69FC1BE0"/>
    <w:rsid w:val="6A6728F7"/>
    <w:rsid w:val="6A9B6CAA"/>
    <w:rsid w:val="6ABB476D"/>
    <w:rsid w:val="6ACD7A2C"/>
    <w:rsid w:val="6AE227AC"/>
    <w:rsid w:val="6AF07F2A"/>
    <w:rsid w:val="6AFF2EB6"/>
    <w:rsid w:val="6B515E39"/>
    <w:rsid w:val="6B674BD3"/>
    <w:rsid w:val="6B7D28AC"/>
    <w:rsid w:val="6BB12A33"/>
    <w:rsid w:val="6C353094"/>
    <w:rsid w:val="6C9F1DF9"/>
    <w:rsid w:val="6CB91A30"/>
    <w:rsid w:val="6D1841D8"/>
    <w:rsid w:val="6D851613"/>
    <w:rsid w:val="6DBB48D1"/>
    <w:rsid w:val="6DD53388"/>
    <w:rsid w:val="6E13135D"/>
    <w:rsid w:val="6E2F3F8F"/>
    <w:rsid w:val="6E595191"/>
    <w:rsid w:val="6EAD16FA"/>
    <w:rsid w:val="6F0F2E78"/>
    <w:rsid w:val="6F4F27B2"/>
    <w:rsid w:val="6FAB32D0"/>
    <w:rsid w:val="6FF27176"/>
    <w:rsid w:val="6FFC372A"/>
    <w:rsid w:val="704E2D78"/>
    <w:rsid w:val="70847A82"/>
    <w:rsid w:val="71553A77"/>
    <w:rsid w:val="720C14C2"/>
    <w:rsid w:val="7216622F"/>
    <w:rsid w:val="725A13E3"/>
    <w:rsid w:val="72691DDC"/>
    <w:rsid w:val="72987840"/>
    <w:rsid w:val="72A2709C"/>
    <w:rsid w:val="72B543F8"/>
    <w:rsid w:val="72D27981"/>
    <w:rsid w:val="73036323"/>
    <w:rsid w:val="73D01573"/>
    <w:rsid w:val="73D306FD"/>
    <w:rsid w:val="74044D86"/>
    <w:rsid w:val="74124C83"/>
    <w:rsid w:val="744149E8"/>
    <w:rsid w:val="75B20F89"/>
    <w:rsid w:val="762322A2"/>
    <w:rsid w:val="77207E29"/>
    <w:rsid w:val="774D4AD7"/>
    <w:rsid w:val="77B07E32"/>
    <w:rsid w:val="77FC0443"/>
    <w:rsid w:val="79E341AB"/>
    <w:rsid w:val="79F943F8"/>
    <w:rsid w:val="7A180EE1"/>
    <w:rsid w:val="7A190E68"/>
    <w:rsid w:val="7A1F7326"/>
    <w:rsid w:val="7A322A5B"/>
    <w:rsid w:val="7A5A2791"/>
    <w:rsid w:val="7A5B2868"/>
    <w:rsid w:val="7ABF535D"/>
    <w:rsid w:val="7ADE198E"/>
    <w:rsid w:val="7B3C5DB6"/>
    <w:rsid w:val="7BB8348D"/>
    <w:rsid w:val="7D617181"/>
    <w:rsid w:val="7DA93DE3"/>
    <w:rsid w:val="7DE326AF"/>
    <w:rsid w:val="7E3A0F8B"/>
    <w:rsid w:val="7EA77D7C"/>
    <w:rsid w:val="7F1D6174"/>
    <w:rsid w:val="7F363046"/>
    <w:rsid w:val="7F375972"/>
    <w:rsid w:val="7F680AF7"/>
    <w:rsid w:val="7F691526"/>
    <w:rsid w:val="7F8E3B8B"/>
    <w:rsid w:val="7FB92253"/>
    <w:rsid w:val="7FF4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49"/>
      <w:ind w:right="1232"/>
      <w:jc w:val="center"/>
      <w:outlineLvl w:val="0"/>
    </w:pPr>
    <w:rPr>
      <w:b/>
      <w:bCs/>
      <w:sz w:val="36"/>
      <w:szCs w:val="36"/>
    </w:rPr>
  </w:style>
  <w:style w:type="paragraph" w:styleId="6">
    <w:name w:val="heading 2"/>
    <w:basedOn w:val="1"/>
    <w:next w:val="1"/>
    <w:qFormat/>
    <w:uiPriority w:val="1"/>
    <w:pPr>
      <w:ind w:left="1215" w:right="1232"/>
      <w:outlineLvl w:val="1"/>
    </w:pPr>
    <w:rPr>
      <w:sz w:val="32"/>
      <w:szCs w:val="32"/>
    </w:rPr>
  </w:style>
  <w:style w:type="paragraph" w:styleId="7">
    <w:name w:val="heading 3"/>
    <w:basedOn w:val="1"/>
    <w:next w:val="1"/>
    <w:qFormat/>
    <w:uiPriority w:val="1"/>
    <w:pPr>
      <w:spacing w:before="58"/>
      <w:ind w:left="591"/>
      <w:outlineLvl w:val="2"/>
    </w:pPr>
    <w:rPr>
      <w:sz w:val="30"/>
      <w:szCs w:val="30"/>
    </w:rPr>
  </w:style>
  <w:style w:type="paragraph" w:styleId="8">
    <w:name w:val="heading 4"/>
    <w:basedOn w:val="1"/>
    <w:next w:val="1"/>
    <w:qFormat/>
    <w:uiPriority w:val="1"/>
    <w:pPr>
      <w:spacing w:before="20"/>
      <w:ind w:left="1215" w:right="1232"/>
      <w:jc w:val="center"/>
      <w:outlineLvl w:val="3"/>
    </w:pPr>
    <w:rPr>
      <w:b/>
      <w:bCs/>
      <w:sz w:val="28"/>
      <w:szCs w:val="28"/>
    </w:rPr>
  </w:style>
  <w:style w:type="paragraph" w:styleId="9">
    <w:name w:val="heading 5"/>
    <w:basedOn w:val="1"/>
    <w:next w:val="1"/>
    <w:qFormat/>
    <w:uiPriority w:val="1"/>
    <w:pPr>
      <w:ind w:left="1071"/>
      <w:outlineLvl w:val="4"/>
    </w:pPr>
    <w:rPr>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Body Text First Indent"/>
    <w:basedOn w:val="2"/>
    <w:next w:val="4"/>
    <w:qFormat/>
    <w:uiPriority w:val="0"/>
    <w:pPr>
      <w:tabs>
        <w:tab w:val="left" w:pos="482"/>
        <w:tab w:val="left" w:pos="2183"/>
        <w:tab w:val="left" w:pos="3884"/>
        <w:tab w:val="left" w:pos="5585"/>
      </w:tabs>
      <w:ind w:firstLine="482"/>
    </w:pPr>
    <w:rPr>
      <w:szCs w:val="20"/>
    </w:rPr>
  </w:style>
  <w:style w:type="paragraph" w:styleId="4">
    <w:name w:val="toc 6"/>
    <w:basedOn w:val="1"/>
    <w:next w:val="1"/>
    <w:qFormat/>
    <w:uiPriority w:val="0"/>
    <w:pPr>
      <w:ind w:left="2100"/>
    </w:pPr>
    <w:rPr>
      <w:rFonts w:ascii="Times New Roman" w:hAnsi="Times New Roman" w:cs="Times New Roman"/>
      <w:kern w:val="2"/>
      <w:szCs w:val="20"/>
      <w:lang w:bidi="ar-SA"/>
    </w:rPr>
  </w:style>
  <w:style w:type="paragraph" w:styleId="10">
    <w:name w:val="table of authorities"/>
    <w:basedOn w:val="1"/>
    <w:next w:val="1"/>
    <w:qFormat/>
    <w:uiPriority w:val="0"/>
    <w:pPr>
      <w:ind w:left="420" w:leftChars="200"/>
    </w:p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rPr>
      <w:rFonts w:ascii="Times New Roman" w:hAnsi="Times New Roman" w:eastAsia="宋体"/>
      <w:color w:val="auto"/>
      <w:kern w:val="2"/>
    </w:rPr>
  </w:style>
  <w:style w:type="paragraph" w:styleId="14">
    <w:name w:val="toc 3"/>
    <w:basedOn w:val="1"/>
    <w:next w:val="1"/>
    <w:qFormat/>
    <w:uiPriority w:val="0"/>
    <w:pPr>
      <w:ind w:left="840" w:leftChars="400"/>
    </w:pPr>
  </w:style>
  <w:style w:type="paragraph" w:styleId="15">
    <w:name w:val="Plain Text"/>
    <w:basedOn w:val="1"/>
    <w:qFormat/>
    <w:uiPriority w:val="0"/>
  </w:style>
  <w:style w:type="paragraph" w:styleId="16">
    <w:name w:val="Balloon Text"/>
    <w:basedOn w:val="1"/>
    <w:link w:val="63"/>
    <w:qFormat/>
    <w:uiPriority w:val="0"/>
    <w:rPr>
      <w:sz w:val="18"/>
      <w:szCs w:val="18"/>
    </w:rPr>
  </w:style>
  <w:style w:type="paragraph" w:styleId="17">
    <w:name w:val="footer"/>
    <w:basedOn w:val="1"/>
    <w:qFormat/>
    <w:uiPriority w:val="0"/>
    <w:pPr>
      <w:tabs>
        <w:tab w:val="center" w:pos="4153"/>
        <w:tab w:val="right" w:pos="8306"/>
      </w:tabs>
    </w:pPr>
    <w:rPr>
      <w:sz w:val="18"/>
      <w:szCs w:val="18"/>
    </w:rPr>
  </w:style>
  <w:style w:type="paragraph" w:styleId="18">
    <w:name w:val="header"/>
    <w:basedOn w:val="1"/>
    <w:qFormat/>
    <w:uiPriority w:val="0"/>
    <w:pPr>
      <w:pBdr>
        <w:bottom w:val="single" w:color="000000" w:sz="6" w:space="1"/>
      </w:pBdr>
      <w:tabs>
        <w:tab w:val="center" w:pos="4153"/>
        <w:tab w:val="right" w:pos="8306"/>
      </w:tabs>
      <w:jc w:val="center"/>
    </w:pPr>
    <w:rPr>
      <w:sz w:val="18"/>
      <w:szCs w:val="18"/>
    </w:rPr>
  </w:style>
  <w:style w:type="paragraph" w:styleId="19">
    <w:name w:val="toc 1"/>
    <w:basedOn w:val="1"/>
    <w:next w:val="1"/>
    <w:qFormat/>
    <w:uiPriority w:val="1"/>
    <w:pPr>
      <w:spacing w:before="190"/>
      <w:ind w:left="591"/>
    </w:pPr>
    <w:rPr>
      <w:sz w:val="32"/>
      <w:szCs w:val="32"/>
    </w:rPr>
  </w:style>
  <w:style w:type="paragraph" w:styleId="20">
    <w:name w:val="toc 4"/>
    <w:basedOn w:val="1"/>
    <w:next w:val="1"/>
    <w:unhideWhenUsed/>
    <w:qFormat/>
    <w:uiPriority w:val="39"/>
    <w:pPr>
      <w:ind w:left="420"/>
      <w:jc w:val="left"/>
    </w:pPr>
    <w:rPr>
      <w:rFonts w:ascii="Calibri" w:hAnsi="Calibri" w:eastAsia="宋体" w:cs="Calibri"/>
      <w:color w:val="auto"/>
      <w:kern w:val="2"/>
      <w:sz w:val="20"/>
      <w:szCs w:val="20"/>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toc 2"/>
    <w:basedOn w:val="1"/>
    <w:next w:val="1"/>
    <w:qFormat/>
    <w:uiPriority w:val="0"/>
    <w:pPr>
      <w:ind w:left="420"/>
    </w:pPr>
    <w:rPr>
      <w:rFonts w:ascii="Times New Roman" w:hAnsi="Times New Roman" w:cs="Times New Roman"/>
      <w:kern w:val="2"/>
      <w:szCs w:val="20"/>
      <w:lang w:bidi="ar-SA"/>
    </w:rPr>
  </w:style>
  <w:style w:type="paragraph" w:styleId="23">
    <w:name w:val="Normal (Web)"/>
    <w:basedOn w:val="1"/>
    <w:qFormat/>
    <w:uiPriority w:val="0"/>
    <w:pPr>
      <w:widowControl/>
      <w:spacing w:after="156"/>
    </w:pPr>
    <w:rPr>
      <w:rFonts w:ascii="Times New Roman" w:hAnsi="Times New Roman" w:cs="Times New Roman"/>
      <w:sz w:val="24"/>
      <w:szCs w:val="24"/>
      <w:lang w:bidi="ar-SA"/>
    </w:rPr>
  </w:style>
  <w:style w:type="paragraph" w:styleId="24">
    <w:name w:val="Title"/>
    <w:basedOn w:val="1"/>
    <w:next w:val="1"/>
    <w:qFormat/>
    <w:uiPriority w:val="10"/>
    <w:pPr>
      <w:keepNext/>
      <w:keepLines/>
      <w:widowControl/>
      <w:tabs>
        <w:tab w:val="center" w:pos="540"/>
      </w:tabs>
      <w:spacing w:line="360" w:lineRule="auto"/>
      <w:outlineLvl w:val="0"/>
    </w:pPr>
    <w:rPr>
      <w:rFonts w:ascii="Arial" w:hAnsi="Arial" w:cs="Arial"/>
      <w:b/>
      <w:bCs/>
      <w:sz w:val="28"/>
      <w:szCs w:val="32"/>
    </w:rPr>
  </w:style>
  <w:style w:type="paragraph" w:styleId="25">
    <w:name w:val="Body Text First Indent 2"/>
    <w:basedOn w:val="13"/>
    <w:next w:val="1"/>
    <w:qFormat/>
    <w:uiPriority w:val="0"/>
    <w:pPr>
      <w:ind w:firstLine="420" w:firstLineChars="200"/>
    </w:pPr>
    <w:rPr>
      <w:rFonts w:ascii="Times New Roman" w:hAnsi="Times New Roman" w:eastAsia="宋体" w:cs="Times New Roman"/>
      <w:lang w:val="zh-C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FollowedHyperlink"/>
    <w:basedOn w:val="28"/>
    <w:qFormat/>
    <w:uiPriority w:val="0"/>
    <w:rPr>
      <w:color w:val="4A4A4A"/>
      <w:u w:val="none"/>
    </w:rPr>
  </w:style>
  <w:style w:type="character" w:styleId="31">
    <w:name w:val="Emphasis"/>
    <w:basedOn w:val="28"/>
    <w:qFormat/>
    <w:uiPriority w:val="0"/>
    <w:rPr>
      <w:i/>
    </w:rPr>
  </w:style>
  <w:style w:type="character" w:styleId="32">
    <w:name w:val="Hyperlink"/>
    <w:basedOn w:val="28"/>
    <w:qFormat/>
    <w:uiPriority w:val="0"/>
    <w:rPr>
      <w:color w:val="4A4A4A"/>
      <w:u w:val="none"/>
    </w:rPr>
  </w:style>
  <w:style w:type="paragraph" w:customStyle="1" w:styleId="33">
    <w:name w:val="表格文字"/>
    <w:basedOn w:val="15"/>
    <w:next w:val="2"/>
    <w:qFormat/>
    <w:uiPriority w:val="0"/>
    <w:pPr>
      <w:textAlignment w:val="top"/>
    </w:pPr>
    <w:rPr>
      <w:sz w:val="18"/>
    </w:rPr>
  </w:style>
  <w:style w:type="paragraph" w:customStyle="1" w:styleId="34">
    <w:name w:val="_Style 3"/>
    <w:basedOn w:val="1"/>
    <w:qFormat/>
    <w:uiPriority w:val="0"/>
    <w:pPr>
      <w:ind w:firstLine="420" w:firstLineChars="200"/>
    </w:pPr>
    <w:rPr>
      <w:szCs w:val="22"/>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pPr>
      <w:ind w:left="591" w:firstLine="480"/>
    </w:pPr>
  </w:style>
  <w:style w:type="paragraph" w:customStyle="1" w:styleId="37">
    <w:name w:val="Table Paragraph"/>
    <w:basedOn w:val="1"/>
    <w:qFormat/>
    <w:uiPriority w:val="1"/>
  </w:style>
  <w:style w:type="character" w:customStyle="1" w:styleId="38">
    <w:name w:val="样式 宋体 小四"/>
    <w:qFormat/>
    <w:uiPriority w:val="0"/>
    <w:rPr>
      <w:rFonts w:ascii="宋体" w:hAnsi="宋体"/>
      <w:spacing w:val="6"/>
      <w:sz w:val="24"/>
      <w:szCs w:val="24"/>
    </w:rPr>
  </w:style>
  <w:style w:type="paragraph" w:customStyle="1" w:styleId="39">
    <w:name w:val="l正文"/>
    <w:basedOn w:val="1"/>
    <w:qFormat/>
    <w:uiPriority w:val="0"/>
    <w:pPr>
      <w:spacing w:line="300" w:lineRule="auto"/>
      <w:ind w:firstLine="200" w:firstLineChars="200"/>
    </w:pPr>
    <w:rPr>
      <w:rFonts w:ascii="楷体_GB2312" w:hAnsi="Times" w:eastAsia="楷体_GB2312" w:cs="等线"/>
      <w:sz w:val="24"/>
    </w:rPr>
  </w:style>
  <w:style w:type="paragraph" w:customStyle="1" w:styleId="40">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41">
    <w:name w:val="font171"/>
    <w:basedOn w:val="28"/>
    <w:qFormat/>
    <w:uiPriority w:val="0"/>
    <w:rPr>
      <w:rFonts w:hint="default" w:ascii="Arial" w:hAnsi="Arial" w:cs="Arial"/>
      <w:color w:val="000000"/>
      <w:sz w:val="18"/>
      <w:szCs w:val="18"/>
      <w:u w:val="none"/>
    </w:rPr>
  </w:style>
  <w:style w:type="character" w:customStyle="1" w:styleId="42">
    <w:name w:val="font201"/>
    <w:basedOn w:val="28"/>
    <w:qFormat/>
    <w:uiPriority w:val="0"/>
    <w:rPr>
      <w:rFonts w:hint="eastAsia" w:ascii="微软雅黑" w:hAnsi="微软雅黑" w:eastAsia="微软雅黑" w:cs="微软雅黑"/>
      <w:color w:val="000000"/>
      <w:sz w:val="18"/>
      <w:szCs w:val="18"/>
      <w:u w:val="none"/>
    </w:rPr>
  </w:style>
  <w:style w:type="character" w:customStyle="1" w:styleId="43">
    <w:name w:val="font191"/>
    <w:basedOn w:val="28"/>
    <w:qFormat/>
    <w:uiPriority w:val="0"/>
    <w:rPr>
      <w:rFonts w:hint="eastAsia" w:ascii="微软雅黑" w:hAnsi="微软雅黑" w:eastAsia="微软雅黑" w:cs="微软雅黑"/>
      <w:color w:val="000000"/>
      <w:sz w:val="20"/>
      <w:szCs w:val="20"/>
      <w:u w:val="none"/>
    </w:rPr>
  </w:style>
  <w:style w:type="character" w:customStyle="1" w:styleId="44">
    <w:name w:val="font21"/>
    <w:basedOn w:val="28"/>
    <w:qFormat/>
    <w:uiPriority w:val="0"/>
    <w:rPr>
      <w:rFonts w:hint="eastAsia" w:ascii="微软雅黑" w:hAnsi="微软雅黑" w:eastAsia="微软雅黑" w:cs="微软雅黑"/>
      <w:color w:val="FF0000"/>
      <w:sz w:val="17"/>
      <w:szCs w:val="17"/>
      <w:u w:val="none"/>
    </w:rPr>
  </w:style>
  <w:style w:type="character" w:customStyle="1" w:styleId="45">
    <w:name w:val="font11"/>
    <w:basedOn w:val="28"/>
    <w:qFormat/>
    <w:uiPriority w:val="0"/>
    <w:rPr>
      <w:rFonts w:hint="eastAsia" w:ascii="微软雅黑" w:hAnsi="微软雅黑" w:eastAsia="微软雅黑" w:cs="微软雅黑"/>
      <w:color w:val="000000"/>
      <w:sz w:val="17"/>
      <w:szCs w:val="17"/>
      <w:u w:val="none"/>
    </w:rPr>
  </w:style>
  <w:style w:type="character" w:customStyle="1" w:styleId="46">
    <w:name w:val="displayarti"/>
    <w:basedOn w:val="28"/>
    <w:qFormat/>
    <w:uiPriority w:val="0"/>
    <w:rPr>
      <w:color w:val="FFFFFF"/>
      <w:shd w:val="clear" w:color="auto" w:fill="A00000"/>
    </w:rPr>
  </w:style>
  <w:style w:type="character" w:customStyle="1" w:styleId="47">
    <w:name w:val="gjfg"/>
    <w:basedOn w:val="28"/>
    <w:qFormat/>
    <w:uiPriority w:val="0"/>
  </w:style>
  <w:style w:type="character" w:customStyle="1" w:styleId="48">
    <w:name w:val="redfilenumber"/>
    <w:basedOn w:val="28"/>
    <w:qFormat/>
    <w:uiPriority w:val="0"/>
    <w:rPr>
      <w:color w:val="BA2636"/>
      <w:sz w:val="18"/>
      <w:szCs w:val="18"/>
    </w:rPr>
  </w:style>
  <w:style w:type="character" w:customStyle="1" w:styleId="49">
    <w:name w:val="redfilefwwh"/>
    <w:basedOn w:val="28"/>
    <w:qFormat/>
    <w:uiPriority w:val="0"/>
    <w:rPr>
      <w:color w:val="BA2636"/>
      <w:sz w:val="18"/>
      <w:szCs w:val="18"/>
    </w:rPr>
  </w:style>
  <w:style w:type="character" w:customStyle="1" w:styleId="50">
    <w:name w:val="prev2"/>
    <w:basedOn w:val="28"/>
    <w:qFormat/>
    <w:uiPriority w:val="0"/>
    <w:rPr>
      <w:color w:val="888888"/>
    </w:rPr>
  </w:style>
  <w:style w:type="character" w:customStyle="1" w:styleId="51">
    <w:name w:val="prev3"/>
    <w:basedOn w:val="28"/>
    <w:qFormat/>
    <w:uiPriority w:val="0"/>
    <w:rPr>
      <w:rFonts w:ascii="微软雅黑" w:hAnsi="微软雅黑" w:eastAsia="微软雅黑" w:cs="微软雅黑"/>
      <w:sz w:val="21"/>
      <w:szCs w:val="21"/>
    </w:rPr>
  </w:style>
  <w:style w:type="character" w:customStyle="1" w:styleId="52">
    <w:name w:val="next"/>
    <w:basedOn w:val="28"/>
    <w:qFormat/>
    <w:uiPriority w:val="0"/>
    <w:rPr>
      <w:color w:val="888888"/>
    </w:rPr>
  </w:style>
  <w:style w:type="character" w:customStyle="1" w:styleId="53">
    <w:name w:val="next1"/>
    <w:basedOn w:val="28"/>
    <w:qFormat/>
    <w:uiPriority w:val="0"/>
    <w:rPr>
      <w:rFonts w:hint="eastAsia" w:ascii="微软雅黑" w:hAnsi="微软雅黑" w:eastAsia="微软雅黑" w:cs="微软雅黑"/>
      <w:sz w:val="21"/>
      <w:szCs w:val="21"/>
    </w:rPr>
  </w:style>
  <w:style w:type="character" w:customStyle="1" w:styleId="54">
    <w:name w:val="qxdate"/>
    <w:basedOn w:val="28"/>
    <w:qFormat/>
    <w:uiPriority w:val="0"/>
    <w:rPr>
      <w:color w:val="333333"/>
      <w:sz w:val="18"/>
      <w:szCs w:val="18"/>
    </w:rPr>
  </w:style>
  <w:style w:type="character" w:customStyle="1" w:styleId="55">
    <w:name w:val="cfdate"/>
    <w:basedOn w:val="28"/>
    <w:qFormat/>
    <w:uiPriority w:val="0"/>
    <w:rPr>
      <w:color w:val="333333"/>
      <w:sz w:val="18"/>
      <w:szCs w:val="18"/>
    </w:rPr>
  </w:style>
  <w:style w:type="character" w:customStyle="1" w:styleId="56">
    <w:name w:val="font91"/>
    <w:basedOn w:val="28"/>
    <w:qFormat/>
    <w:uiPriority w:val="0"/>
    <w:rPr>
      <w:rFonts w:hint="default" w:ascii="Arial" w:hAnsi="Arial" w:cs="Arial"/>
      <w:color w:val="000000"/>
      <w:sz w:val="18"/>
      <w:szCs w:val="18"/>
      <w:u w:val="none"/>
    </w:rPr>
  </w:style>
  <w:style w:type="character" w:customStyle="1" w:styleId="57">
    <w:name w:val="font81"/>
    <w:basedOn w:val="28"/>
    <w:qFormat/>
    <w:uiPriority w:val="0"/>
    <w:rPr>
      <w:rFonts w:hint="eastAsia" w:ascii="微软雅黑" w:hAnsi="微软雅黑" w:eastAsia="微软雅黑" w:cs="微软雅黑"/>
      <w:color w:val="000000"/>
      <w:sz w:val="18"/>
      <w:szCs w:val="18"/>
      <w:u w:val="none"/>
    </w:rPr>
  </w:style>
  <w:style w:type="paragraph" w:customStyle="1" w:styleId="5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1"/>
    <w:qFormat/>
    <w:uiPriority w:val="0"/>
    <w:rPr>
      <w:rFonts w:ascii="Times New Roman" w:hAnsi="Times New Roman" w:eastAsia="宋体" w:cs="Times New Roman"/>
      <w:lang w:val="en-US" w:eastAsia="zh-CN" w:bidi="ar-SA"/>
    </w:rPr>
  </w:style>
  <w:style w:type="character" w:customStyle="1" w:styleId="61">
    <w:name w:val="font01"/>
    <w:basedOn w:val="28"/>
    <w:qFormat/>
    <w:uiPriority w:val="0"/>
    <w:rPr>
      <w:rFonts w:hint="eastAsia" w:ascii="微软雅黑" w:hAnsi="微软雅黑" w:eastAsia="微软雅黑" w:cs="微软雅黑"/>
      <w:color w:val="000000"/>
      <w:sz w:val="20"/>
      <w:szCs w:val="20"/>
      <w:u w:val="none"/>
    </w:rPr>
  </w:style>
  <w:style w:type="character" w:customStyle="1" w:styleId="62">
    <w:name w:val="font41"/>
    <w:basedOn w:val="28"/>
    <w:qFormat/>
    <w:uiPriority w:val="0"/>
    <w:rPr>
      <w:rFonts w:hint="default" w:ascii="Arial" w:hAnsi="Arial" w:cs="Arial"/>
      <w:color w:val="000000"/>
      <w:sz w:val="18"/>
      <w:szCs w:val="18"/>
      <w:u w:val="none"/>
    </w:rPr>
  </w:style>
  <w:style w:type="character" w:customStyle="1" w:styleId="63">
    <w:name w:val="批注框文本 Char"/>
    <w:basedOn w:val="28"/>
    <w:link w:val="16"/>
    <w:qFormat/>
    <w:uiPriority w:val="0"/>
    <w:rPr>
      <w:rFonts w:ascii="宋体" w:hAnsi="宋体" w:cs="宋体"/>
      <w:sz w:val="18"/>
      <w:szCs w:val="18"/>
      <w:lang w:val="zh-CN" w:bidi="zh-CN"/>
    </w:rPr>
  </w:style>
  <w:style w:type="paragraph" w:customStyle="1" w:styleId="64">
    <w:name w:val="列出段落1"/>
    <w:basedOn w:val="1"/>
    <w:qFormat/>
    <w:uiPriority w:val="34"/>
    <w:pPr>
      <w:ind w:firstLine="420" w:firstLineChars="200"/>
    </w:pPr>
    <w:rPr>
      <w:szCs w:val="22"/>
    </w:rPr>
  </w:style>
  <w:style w:type="character" w:customStyle="1" w:styleId="65">
    <w:name w:val="swiper-pagination-switch10"/>
    <w:basedOn w:val="28"/>
    <w:qFormat/>
    <w:uiPriority w:val="0"/>
    <w:rPr>
      <w:shd w:val="clear" w:fill="B1B3BE"/>
    </w:rPr>
  </w:style>
  <w:style w:type="character" w:customStyle="1" w:styleId="66">
    <w:name w:val="swiper-active-switch6"/>
    <w:basedOn w:val="28"/>
    <w:qFormat/>
    <w:uiPriority w:val="0"/>
    <w:rPr>
      <w:shd w:val="clear" w:fill="006EAB"/>
    </w:rPr>
  </w:style>
  <w:style w:type="character" w:customStyle="1" w:styleId="67">
    <w:name w:val="swiper-active-switch"/>
    <w:basedOn w:val="28"/>
    <w:qFormat/>
    <w:uiPriority w:val="0"/>
    <w:rPr>
      <w:shd w:val="clear" w:fill="006EAB"/>
    </w:rPr>
  </w:style>
  <w:style w:type="character" w:customStyle="1" w:styleId="68">
    <w:name w:val="font61"/>
    <w:basedOn w:val="28"/>
    <w:qFormat/>
    <w:uiPriority w:val="0"/>
    <w:rPr>
      <w:rFonts w:hint="default" w:ascii="Times New Roman" w:hAnsi="Times New Roman" w:cs="Times New Roman"/>
      <w:color w:val="000000"/>
      <w:sz w:val="24"/>
      <w:szCs w:val="24"/>
      <w:u w:val="none"/>
    </w:rPr>
  </w:style>
  <w:style w:type="character" w:customStyle="1" w:styleId="69">
    <w:name w:val="font51"/>
    <w:basedOn w:val="28"/>
    <w:qFormat/>
    <w:uiPriority w:val="0"/>
    <w:rPr>
      <w:rFonts w:hint="default" w:ascii="FHUJLC + ArialMT" w:hAnsi="FHUJLC + ArialMT" w:eastAsia="FHUJLC + ArialMT" w:cs="FHUJLC + ArialMT"/>
      <w:color w:val="000000"/>
      <w:sz w:val="24"/>
      <w:szCs w:val="24"/>
      <w:u w:val="none"/>
    </w:rPr>
  </w:style>
  <w:style w:type="paragraph" w:customStyle="1" w:styleId="70">
    <w:name w:val="纯文本1"/>
    <w:basedOn w:val="1"/>
    <w:qFormat/>
    <w:uiPriority w:val="0"/>
    <w:pPr>
      <w:adjustRightInd/>
    </w:pPr>
    <w:rPr>
      <w:rFonts w:ascii="宋体" w:hAnsi="Courier New"/>
      <w:kern w:val="0"/>
      <w:sz w:val="20"/>
      <w:szCs w:val="20"/>
    </w:rPr>
  </w:style>
  <w:style w:type="paragraph" w:customStyle="1" w:styleId="7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
    <w:name w:val="正文缩进1"/>
    <w:basedOn w:val="1"/>
    <w:next w:val="13"/>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73">
    <w:name w:val="active"/>
    <w:basedOn w:val="28"/>
    <w:qFormat/>
    <w:uiPriority w:val="0"/>
    <w:rPr>
      <w:shd w:val="clear" w:fill="EC3535"/>
    </w:rPr>
  </w:style>
  <w:style w:type="paragraph" w:customStyle="1" w:styleId="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
    <w:name w:val="正文2"/>
    <w:basedOn w:val="1"/>
    <w:qFormat/>
    <w:uiPriority w:val="0"/>
    <w:pPr>
      <w:spacing w:before="156" w:line="360" w:lineRule="auto"/>
      <w:ind w:firstLine="510" w:firstLineChars="200"/>
    </w:pPr>
    <w:rPr>
      <w:sz w:val="24"/>
      <w:szCs w:val="20"/>
    </w:rPr>
  </w:style>
  <w:style w:type="paragraph" w:customStyle="1" w:styleId="7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77">
    <w:name w:val="font71"/>
    <w:basedOn w:val="28"/>
    <w:qFormat/>
    <w:uiPriority w:val="0"/>
    <w:rPr>
      <w:rFonts w:hint="eastAsia" w:ascii="宋体" w:hAnsi="宋体" w:eastAsia="宋体" w:cs="宋体"/>
      <w:color w:val="000000"/>
      <w:sz w:val="20"/>
      <w:szCs w:val="20"/>
      <w:u w:val="none"/>
    </w:rPr>
  </w:style>
  <w:style w:type="character" w:customStyle="1" w:styleId="78">
    <w:name w:val="font31"/>
    <w:basedOn w:val="28"/>
    <w:qFormat/>
    <w:uiPriority w:val="0"/>
    <w:rPr>
      <w:rFonts w:hint="eastAsia" w:ascii="宋体" w:hAnsi="宋体" w:eastAsia="宋体" w:cs="宋体"/>
      <w:color w:val="000000"/>
      <w:sz w:val="18"/>
      <w:szCs w:val="18"/>
      <w:u w:val="none"/>
    </w:rPr>
  </w:style>
  <w:style w:type="paragraph" w:customStyle="1" w:styleId="79">
    <w:name w:val="纯文本_0_0"/>
    <w:basedOn w:val="80"/>
    <w:qFormat/>
    <w:uiPriority w:val="0"/>
    <w:rPr>
      <w:rFonts w:ascii="宋体" w:hAnsi="Courier New"/>
      <w:szCs w:val="21"/>
    </w:rPr>
  </w:style>
  <w:style w:type="paragraph" w:customStyle="1" w:styleId="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136</Pages>
  <Words>23467</Words>
  <Characters>24946</Characters>
  <Lines>718</Lines>
  <Paragraphs>202</Paragraphs>
  <TotalTime>64</TotalTime>
  <ScaleCrop>false</ScaleCrop>
  <LinksUpToDate>false</LinksUpToDate>
  <CharactersWithSpaces>25285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2020-12-06T10:53:00Z</dcterms:created>
  <dc:creator>绿叶</dc:creator>
  <cp:lastModifiedBy>ID</cp:lastModifiedBy>
  <cp:lastPrinted>2025-04-18T07:15:12Z</cp:lastPrinted>
  <dcterms:modified xsi:type="dcterms:W3CDTF">2025-04-18T07:28:09Z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2020-12-06T00:00:00Z</vt:filetime>
  </property>
  <property fmtid="{D5CDD505-2E9C-101B-9397-08002B2CF9AE}" pid="5" name="KSOProductBuildVer">
    <vt:lpwstr>2052-12.1.0.20784</vt:lpwstr>
  </property>
  <property fmtid="{D5CDD505-2E9C-101B-9397-08002B2CF9AE}" pid="6" name="ICV">
    <vt:lpwstr>164E791579E648B492278C361F7F9169_13</vt:lpwstr>
  </property>
  <property fmtid="{D5CDD505-2E9C-101B-9397-08002B2CF9AE}" pid="7" name="KSOTemplateDocerSaveRecord">
    <vt:lpwstr>eyJoZGlkIjoiZjYzMGE0MjgwMDI1NThmZGM1YzQ0ZmM5YmQ2YTA2MTMiLCJ1c2VySWQiOiIyNTcxNzUzOTcifQ==</vt:lpwstr>
  </property>
</Properties>
</file>