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outlineLvl w:val="9"/>
        <w:rPr>
          <w:rFonts w:asciiTheme="minorEastAsia" w:hAnsiTheme="minorEastAsia" w:eastAsiaTheme="minorEastAsia" w:cstheme="minorEastAsia"/>
          <w:b/>
          <w:color w:val="000000"/>
          <w:sz w:val="44"/>
          <w:szCs w:val="44"/>
        </w:rPr>
      </w:pPr>
    </w:p>
    <w:p>
      <w:pPr>
        <w:framePr w:w="9524" w:h="13477" w:hRule="exact" w:hSpace="180" w:wrap="around" w:vAnchor="text" w:hAnchor="page" w:x="1319" w:y="1"/>
        <w:rPr>
          <w:rFonts w:asciiTheme="minorEastAsia" w:hAnsiTheme="minorEastAsia" w:eastAsiaTheme="minorEastAsia" w:cstheme="minorEastAsia"/>
          <w:b/>
          <w:sz w:val="30"/>
          <w:szCs w:val="30"/>
        </w:rPr>
      </w:pPr>
    </w:p>
    <w:p>
      <w:pPr>
        <w:framePr w:w="9524" w:h="13477" w:hRule="exact" w:hSpace="180" w:wrap="around" w:vAnchor="text" w:hAnchor="page" w:x="1319" w:y="1"/>
        <w:spacing w:line="640" w:lineRule="exact"/>
        <w:jc w:val="center"/>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sz w:val="72"/>
        </w:rPr>
        <w:t xml:space="preserve"> </w:t>
      </w:r>
    </w:p>
    <w:p>
      <w:pPr>
        <w:rPr>
          <w:rFonts w:asciiTheme="minorEastAsia" w:hAnsiTheme="minorEastAsia" w:eastAsiaTheme="minorEastAsia" w:cstheme="minorEastAsia"/>
        </w:rPr>
      </w:pPr>
      <w:r>
        <w:rPr>
          <w:rFonts w:hint="eastAsia" w:asciiTheme="minorEastAsia" w:hAnsiTheme="minorEastAsia" w:eastAsiaTheme="minorEastAsia" w:cstheme="minorEastAsia"/>
          <w:sz w:val="30"/>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-79375</wp:posOffset>
                </wp:positionV>
                <wp:extent cx="6377305" cy="8998585"/>
                <wp:effectExtent l="6350" t="6350" r="17145" b="24765"/>
                <wp:wrapNone/>
                <wp:docPr id="2" name="文本框 21"/>
                <wp:cNvGraphicFramePr/>
                <a:graphic xmlns:a="http://schemas.openxmlformats.org/drawingml/2006/main">
                  <a:graphicData uri="http://schemas.microsoft.com/office/word/2010/wordprocessingShape">
                    <wps:wsp>
                      <wps:cNvSpPr txBox="1"/>
                      <wps:spPr>
                        <a:xfrm>
                          <a:off x="0" y="0"/>
                          <a:ext cx="6377305" cy="899858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lang w:eastAsia="zh-CN"/>
                              </w:rPr>
                              <w:t>龙港市垃圾房智能化监管设备采购项目</w:t>
                            </w:r>
                            <w:r>
                              <w:rPr>
                                <w:rFonts w:hint="eastAsia" w:ascii="宋体" w:hAnsi="宋体"/>
                                <w:b/>
                                <w:color w:val="000000"/>
                                <w:sz w:val="30"/>
                                <w:szCs w:val="30"/>
                              </w:rPr>
                              <w:t xml:space="preserve">     </w:t>
                            </w: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sz w:val="30"/>
                                <w:szCs w:val="30"/>
                                <w:lang w:eastAsia="zh-CN"/>
                              </w:rPr>
                              <w:t>龙港市综合行政执法局</w:t>
                            </w:r>
                          </w:p>
                          <w:p>
                            <w:pPr>
                              <w:spacing w:line="440" w:lineRule="exact"/>
                              <w:rPr>
                                <w:rFonts w:hint="default" w:ascii="宋体" w:hAnsi="宋体" w:eastAsia="宋体"/>
                                <w:b/>
                                <w:color w:val="000000"/>
                                <w:sz w:val="30"/>
                                <w:szCs w:val="30"/>
                                <w:lang w:val="en-US" w:eastAsia="zh-CN"/>
                              </w:rPr>
                            </w:pPr>
                            <w:r>
                              <w:rPr>
                                <w:rFonts w:hint="eastAsia" w:ascii="宋体" w:hAnsi="宋体"/>
                                <w:b/>
                                <w:sz w:val="30"/>
                                <w:szCs w:val="30"/>
                              </w:rPr>
                              <w:t xml:space="preserve">            </w:t>
                            </w:r>
                            <w:r>
                              <w:rPr>
                                <w:rFonts w:hint="eastAsia" w:ascii="宋体" w:hAnsi="宋体"/>
                                <w:b/>
                                <w:color w:val="000000"/>
                                <w:sz w:val="30"/>
                                <w:szCs w:val="30"/>
                              </w:rPr>
                              <w:t>联 系 人：</w:t>
                            </w:r>
                            <w:r>
                              <w:rPr>
                                <w:rFonts w:hint="eastAsia" w:ascii="宋体" w:hAnsi="宋体"/>
                                <w:b/>
                                <w:color w:val="000000"/>
                                <w:sz w:val="30"/>
                                <w:szCs w:val="30"/>
                                <w:lang w:val="en-US" w:eastAsia="zh-CN"/>
                              </w:rPr>
                              <w:t>易先生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联系电话：0577-59918118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sz w:val="30"/>
                                <w:szCs w:val="30"/>
                              </w:rPr>
                            </w:pPr>
                          </w:p>
                          <w:p>
                            <w:pPr>
                              <w:spacing w:line="440" w:lineRule="exact"/>
                              <w:ind w:left="-2" w:leftChars="-150" w:hanging="313" w:hangingChars="104"/>
                              <w:rPr>
                                <w:rFonts w:ascii="宋体" w:hAnsi="宋体"/>
                                <w:b/>
                                <w:color w:val="000000"/>
                                <w:sz w:val="30"/>
                                <w:szCs w:val="30"/>
                                <w:vertAlign w:val="subscript"/>
                              </w:rPr>
                            </w:pPr>
                            <w:r>
                              <w:rPr>
                                <w:rFonts w:hint="eastAsia" w:ascii="宋体" w:hAnsi="宋体"/>
                                <w:b/>
                                <w:bCs/>
                                <w:color w:val="000000"/>
                                <w:sz w:val="30"/>
                                <w:szCs w:val="30"/>
                              </w:rPr>
                              <w:t xml:space="preserve">        </w:t>
                            </w:r>
                          </w:p>
                          <w:p>
                            <w:pPr>
                              <w:spacing w:line="440" w:lineRule="exact"/>
                              <w:ind w:left="1148"/>
                              <w:rPr>
                                <w:rFonts w:ascii="宋体" w:hAnsi="宋体"/>
                                <w:b/>
                                <w:color w:val="000000"/>
                                <w:sz w:val="30"/>
                                <w:szCs w:val="30"/>
                              </w:rPr>
                            </w:pPr>
                          </w:p>
                          <w:p>
                            <w:pPr>
                              <w:pStyle w:val="2"/>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浙江天诚工程咨询有限公司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人：郑先生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0577-68807257、17395770925</w:t>
                            </w:r>
                          </w:p>
                          <w:p>
                            <w:pPr>
                              <w:spacing w:line="440" w:lineRule="exact"/>
                              <w:rPr>
                                <w:rFonts w:ascii="宋体" w:hAnsi="宋体"/>
                                <w:b/>
                                <w:bCs/>
                                <w:sz w:val="30"/>
                                <w:szCs w:val="30"/>
                              </w:rPr>
                            </w:pPr>
                            <w:r>
                              <w:rPr>
                                <w:rFonts w:hint="eastAsia" w:ascii="宋体" w:hAnsi="宋体"/>
                                <w:b/>
                                <w:color w:val="000000"/>
                                <w:sz w:val="30"/>
                                <w:szCs w:val="30"/>
                              </w:rPr>
                              <w:t xml:space="preserve">            联系传真：</w:t>
                            </w:r>
                            <w:r>
                              <w:rPr>
                                <w:rFonts w:hint="eastAsia" w:ascii="宋体" w:hAnsi="宋体"/>
                                <w:b/>
                                <w:color w:val="000000"/>
                                <w:spacing w:val="-12"/>
                                <w:sz w:val="30"/>
                                <w:szCs w:val="30"/>
                              </w:rPr>
                              <w:t>0577-68807257</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备案机构：龙港市财政局财政督查科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二</w:t>
                            </w:r>
                            <w:r>
                              <w:rPr>
                                <w:rFonts w:hint="eastAsia" w:ascii="宋体" w:hAnsi="宋体"/>
                                <w:b/>
                                <w:color w:val="000000"/>
                                <w:sz w:val="30"/>
                                <w:szCs w:val="30"/>
                              </w:rPr>
                              <w:t>月</w:t>
                            </w:r>
                          </w:p>
                          <w:p>
                            <w:pPr>
                              <w:pStyle w:val="2"/>
                              <w:rPr>
                                <w:rFonts w:ascii="宋体" w:hAnsi="宋体"/>
                                <w:b/>
                                <w:color w:val="000000"/>
                                <w:sz w:val="30"/>
                                <w:szCs w:val="30"/>
                              </w:rPr>
                            </w:pPr>
                          </w:p>
                          <w:p/>
                          <w:p/>
                        </w:txbxContent>
                      </wps:txbx>
                      <wps:bodyPr wrap="square"/>
                    </wps:wsp>
                  </a:graphicData>
                </a:graphic>
              </wp:anchor>
            </w:drawing>
          </mc:Choice>
          <mc:Fallback>
            <w:pict>
              <v:shape id="文本框 21" o:spid="_x0000_s1026" o:spt="202" type="#_x0000_t202" style="position:absolute;left:0pt;margin-left:-19.6pt;margin-top:-6.25pt;height:708.55pt;width:502.15pt;z-index:251660288;mso-width-relative:page;mso-height-relative:page;" fillcolor="#FFFFFF" filled="t" stroked="t" coordsize="21600,21600" o:gfxdata="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w++u3QAAAAwBAAAPAAAA&#10;AAAAAAEAIAAAACIAAABkcnMvZG93bnJldi54bWxQSwECFAAUAAAACACHTuJAyu6cjhACAAA7BAAA&#10;DgAAAAAAAAABACAAAAAsAQAAZHJzL2Uyb0RvYy54bWxQSwUGAAAAAAYABgBZAQAArgU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ascii="宋体" w:hAnsi="宋体"/>
                          <w:b/>
                          <w:color w:val="000000"/>
                          <w:sz w:val="30"/>
                          <w:szCs w:val="30"/>
                        </w:rPr>
                      </w:pPr>
                      <w:r>
                        <w:rPr>
                          <w:rFonts w:hint="eastAsia" w:ascii="宋体" w:hAnsi="宋体"/>
                          <w:b/>
                          <w:color w:val="000000"/>
                          <w:sz w:val="30"/>
                          <w:szCs w:val="30"/>
                        </w:rPr>
                        <w:t xml:space="preserve">              项目名称：</w:t>
                      </w:r>
                      <w:r>
                        <w:rPr>
                          <w:rFonts w:hint="eastAsia" w:ascii="宋体" w:hAnsi="宋体"/>
                          <w:b/>
                          <w:sz w:val="30"/>
                          <w:szCs w:val="30"/>
                          <w:lang w:eastAsia="zh-CN"/>
                        </w:rPr>
                        <w:t>龙港市垃圾房智能化监管设备采购项目</w:t>
                      </w:r>
                      <w:r>
                        <w:rPr>
                          <w:rFonts w:hint="eastAsia" w:ascii="宋体" w:hAnsi="宋体"/>
                          <w:b/>
                          <w:color w:val="000000"/>
                          <w:sz w:val="30"/>
                          <w:szCs w:val="30"/>
                        </w:rPr>
                        <w:t xml:space="preserve">     </w:t>
                      </w:r>
                    </w:p>
                    <w:p>
                      <w:pPr>
                        <w:spacing w:line="440" w:lineRule="exact"/>
                        <w:ind w:left="2664" w:leftChars="834" w:hanging="913" w:hangingChars="303"/>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sz w:val="30"/>
                          <w:szCs w:val="30"/>
                          <w:lang w:eastAsia="zh-CN"/>
                        </w:rPr>
                        <w:t>龙港市综合行政执法局</w:t>
                      </w:r>
                    </w:p>
                    <w:p>
                      <w:pPr>
                        <w:spacing w:line="440" w:lineRule="exact"/>
                        <w:rPr>
                          <w:rFonts w:hint="default" w:ascii="宋体" w:hAnsi="宋体" w:eastAsia="宋体"/>
                          <w:b/>
                          <w:color w:val="000000"/>
                          <w:sz w:val="30"/>
                          <w:szCs w:val="30"/>
                          <w:lang w:val="en-US" w:eastAsia="zh-CN"/>
                        </w:rPr>
                      </w:pPr>
                      <w:r>
                        <w:rPr>
                          <w:rFonts w:hint="eastAsia" w:ascii="宋体" w:hAnsi="宋体"/>
                          <w:b/>
                          <w:sz w:val="30"/>
                          <w:szCs w:val="30"/>
                        </w:rPr>
                        <w:t xml:space="preserve">            </w:t>
                      </w:r>
                      <w:r>
                        <w:rPr>
                          <w:rFonts w:hint="eastAsia" w:ascii="宋体" w:hAnsi="宋体"/>
                          <w:b/>
                          <w:color w:val="000000"/>
                          <w:sz w:val="30"/>
                          <w:szCs w:val="30"/>
                        </w:rPr>
                        <w:t>联 系 人：</w:t>
                      </w:r>
                      <w:r>
                        <w:rPr>
                          <w:rFonts w:hint="eastAsia" w:ascii="宋体" w:hAnsi="宋体"/>
                          <w:b/>
                          <w:color w:val="000000"/>
                          <w:sz w:val="30"/>
                          <w:szCs w:val="30"/>
                          <w:lang w:val="en-US" w:eastAsia="zh-CN"/>
                        </w:rPr>
                        <w:t>易先生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联系电话：0577-59918118 </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sz w:val="30"/>
                          <w:szCs w:val="30"/>
                        </w:rPr>
                      </w:pPr>
                    </w:p>
                    <w:p>
                      <w:pPr>
                        <w:spacing w:line="440" w:lineRule="exact"/>
                        <w:ind w:left="-2" w:leftChars="-150" w:hanging="313" w:hangingChars="104"/>
                        <w:rPr>
                          <w:rFonts w:ascii="宋体" w:hAnsi="宋体"/>
                          <w:b/>
                          <w:color w:val="000000"/>
                          <w:sz w:val="30"/>
                          <w:szCs w:val="30"/>
                          <w:vertAlign w:val="subscript"/>
                        </w:rPr>
                      </w:pPr>
                      <w:r>
                        <w:rPr>
                          <w:rFonts w:hint="eastAsia" w:ascii="宋体" w:hAnsi="宋体"/>
                          <w:b/>
                          <w:bCs/>
                          <w:color w:val="000000"/>
                          <w:sz w:val="30"/>
                          <w:szCs w:val="30"/>
                        </w:rPr>
                        <w:t xml:space="preserve">        </w:t>
                      </w:r>
                    </w:p>
                    <w:p>
                      <w:pPr>
                        <w:spacing w:line="440" w:lineRule="exact"/>
                        <w:ind w:left="1148"/>
                        <w:rPr>
                          <w:rFonts w:ascii="宋体" w:hAnsi="宋体"/>
                          <w:b/>
                          <w:color w:val="000000"/>
                          <w:sz w:val="30"/>
                          <w:szCs w:val="30"/>
                        </w:rPr>
                      </w:pPr>
                    </w:p>
                    <w:p>
                      <w:pPr>
                        <w:pStyle w:val="2"/>
                      </w:pPr>
                    </w:p>
                    <w:p>
                      <w:pPr>
                        <w:spacing w:line="440" w:lineRule="exact"/>
                        <w:rPr>
                          <w:rFonts w:ascii="宋体" w:hAnsi="宋体"/>
                          <w:b/>
                          <w:color w:val="000000"/>
                          <w:sz w:val="30"/>
                          <w:szCs w:val="30"/>
                        </w:rPr>
                      </w:pPr>
                      <w:r>
                        <w:rPr>
                          <w:rFonts w:hint="eastAsia" w:ascii="宋体" w:hAnsi="宋体"/>
                          <w:b/>
                          <w:color w:val="000000"/>
                          <w:sz w:val="30"/>
                          <w:szCs w:val="30"/>
                        </w:rPr>
                        <w:t xml:space="preserve">            代理机构：</w:t>
                      </w:r>
                      <w:r>
                        <w:rPr>
                          <w:rFonts w:hint="eastAsia" w:ascii="宋体" w:hAnsi="宋体"/>
                          <w:b/>
                          <w:color w:val="000000"/>
                          <w:spacing w:val="-12"/>
                          <w:sz w:val="30"/>
                          <w:szCs w:val="30"/>
                        </w:rPr>
                        <w:t>浙江天诚工程咨询有限公司</w:t>
                      </w:r>
                    </w:p>
                    <w:p>
                      <w:pPr>
                        <w:spacing w:line="440" w:lineRule="exact"/>
                        <w:rPr>
                          <w:rFonts w:ascii="宋体" w:hAnsi="宋体"/>
                          <w:b/>
                          <w:color w:val="000000"/>
                          <w:sz w:val="30"/>
                          <w:szCs w:val="30"/>
                        </w:rPr>
                      </w:pPr>
                      <w:r>
                        <w:rPr>
                          <w:rFonts w:hint="eastAsia" w:ascii="宋体" w:hAnsi="宋体"/>
                          <w:b/>
                          <w:color w:val="000000"/>
                          <w:sz w:val="30"/>
                          <w:szCs w:val="30"/>
                        </w:rPr>
                        <w:t xml:space="preserve">            联 系 人：郑先生</w:t>
                      </w:r>
                    </w:p>
                    <w:p>
                      <w:pPr>
                        <w:spacing w:line="440" w:lineRule="exact"/>
                        <w:rPr>
                          <w:rFonts w:ascii="宋体" w:hAnsi="宋体"/>
                          <w:b/>
                          <w:color w:val="000000"/>
                          <w:sz w:val="30"/>
                          <w:szCs w:val="30"/>
                        </w:rPr>
                      </w:pPr>
                      <w:r>
                        <w:rPr>
                          <w:rFonts w:hint="eastAsia" w:ascii="宋体" w:hAnsi="宋体"/>
                          <w:b/>
                          <w:color w:val="000000"/>
                          <w:sz w:val="30"/>
                          <w:szCs w:val="30"/>
                        </w:rPr>
                        <w:t xml:space="preserve">            联系电话：</w:t>
                      </w:r>
                      <w:r>
                        <w:rPr>
                          <w:rFonts w:hint="eastAsia" w:ascii="宋体" w:hAnsi="宋体"/>
                          <w:b/>
                          <w:color w:val="000000"/>
                          <w:spacing w:val="-12"/>
                          <w:sz w:val="30"/>
                          <w:szCs w:val="30"/>
                        </w:rPr>
                        <w:t>0577-68807257、17395770925</w:t>
                      </w:r>
                    </w:p>
                    <w:p>
                      <w:pPr>
                        <w:spacing w:line="440" w:lineRule="exact"/>
                        <w:rPr>
                          <w:rFonts w:ascii="宋体" w:hAnsi="宋体"/>
                          <w:b/>
                          <w:bCs/>
                          <w:sz w:val="30"/>
                          <w:szCs w:val="30"/>
                        </w:rPr>
                      </w:pPr>
                      <w:r>
                        <w:rPr>
                          <w:rFonts w:hint="eastAsia" w:ascii="宋体" w:hAnsi="宋体"/>
                          <w:b/>
                          <w:color w:val="000000"/>
                          <w:sz w:val="30"/>
                          <w:szCs w:val="30"/>
                        </w:rPr>
                        <w:t xml:space="preserve">            联系传真：</w:t>
                      </w:r>
                      <w:r>
                        <w:rPr>
                          <w:rFonts w:hint="eastAsia" w:ascii="宋体" w:hAnsi="宋体"/>
                          <w:b/>
                          <w:color w:val="000000"/>
                          <w:spacing w:val="-12"/>
                          <w:sz w:val="30"/>
                          <w:szCs w:val="30"/>
                        </w:rPr>
                        <w:t>0577-68807257</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备案机构：龙港市财政局财政督查科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二</w:t>
                      </w:r>
                      <w:r>
                        <w:rPr>
                          <w:rFonts w:hint="eastAsia" w:ascii="宋体" w:hAnsi="宋体"/>
                          <w:b/>
                          <w:color w:val="000000"/>
                          <w:sz w:val="30"/>
                          <w:szCs w:val="30"/>
                        </w:rPr>
                        <w:t>月</w:t>
                      </w:r>
                    </w:p>
                    <w:p>
                      <w:pPr>
                        <w:pStyle w:val="2"/>
                        <w:rPr>
                          <w:rFonts w:ascii="宋体" w:hAnsi="宋体"/>
                          <w:b/>
                          <w:color w:val="000000"/>
                          <w:sz w:val="30"/>
                          <w:szCs w:val="30"/>
                        </w:rPr>
                      </w:pPr>
                    </w:p>
                    <w:p/>
                    <w:p/>
                  </w:txbxContent>
                </v:textbox>
              </v:shape>
            </w:pict>
          </mc:Fallback>
        </mc:AlternateContent>
      </w:r>
    </w:p>
    <w:p>
      <w:pPr>
        <w:pStyle w:val="33"/>
        <w:rPr>
          <w:rFonts w:asciiTheme="minorEastAsia" w:hAnsiTheme="minorEastAsia" w:eastAsiaTheme="minorEastAsia" w:cstheme="minorEastAsia"/>
          <w:bCs/>
          <w:sz w:val="30"/>
          <w:szCs w:val="30"/>
        </w:rPr>
        <w:sectPr>
          <w:headerReference r:id="rId4" w:type="first"/>
          <w:headerReference r:id="rId3" w:type="default"/>
          <w:footerReference r:id="rId5" w:type="default"/>
          <w:pgSz w:w="11906" w:h="16838"/>
          <w:pgMar w:top="1440" w:right="1361" w:bottom="1276" w:left="1361" w:header="851" w:footer="992" w:gutter="0"/>
          <w:pgBorders>
            <w:top w:val="none" w:sz="0" w:space="0"/>
            <w:left w:val="none" w:sz="0" w:space="0"/>
            <w:bottom w:val="none" w:sz="0" w:space="0"/>
            <w:right w:val="none" w:sz="0" w:space="0"/>
          </w:pgBorders>
          <w:pgNumType w:start="0"/>
          <w:cols w:space="720" w:num="1"/>
          <w:titlePg/>
          <w:docGrid w:linePitch="312" w:charSpace="0"/>
        </w:sectPr>
      </w:pPr>
      <w:bookmarkStart w:id="0" w:name="_Toc457976017"/>
    </w:p>
    <w:bookmarkEnd w:id="0"/>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1"/>
      <w:bookmarkStart w:id="2" w:name="OLE_LINK2"/>
      <w:r>
        <w:rPr>
          <w:rFonts w:hint="eastAsia" w:asciiTheme="minorEastAsia" w:hAnsiTheme="minorEastAsia" w:eastAsiaTheme="minorEastAsia" w:cstheme="minorEastAsia"/>
          <w:b/>
          <w:bCs/>
          <w:spacing w:val="-3"/>
          <w:sz w:val="28"/>
          <w:szCs w:val="28"/>
        </w:rPr>
        <w:t>浙江天诚工程咨询有限公司关于</w:t>
      </w:r>
      <w:r>
        <w:rPr>
          <w:rFonts w:hint="eastAsia" w:asciiTheme="minorEastAsia" w:hAnsiTheme="minorEastAsia" w:eastAsiaTheme="minorEastAsia" w:cstheme="minorEastAsia"/>
          <w:b/>
          <w:bCs/>
          <w:spacing w:val="-3"/>
          <w:sz w:val="28"/>
          <w:szCs w:val="28"/>
          <w:lang w:eastAsia="zh-CN"/>
        </w:rPr>
        <w:t>龙港市垃圾房智能化监管设备采购项目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的公开招标采购公告</w:t>
      </w:r>
    </w:p>
    <w:bookmarkEnd w:id="1"/>
    <w:bookmarkEnd w:id="2"/>
    <w:p>
      <w:pPr>
        <w:spacing w:before="80" w:after="80" w:line="400" w:lineRule="exact"/>
        <w:ind w:right="8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项目概况</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lang w:eastAsia="zh-CN"/>
        </w:rPr>
        <w:t>龙港市垃圾房智能化监管设备采购项目</w:t>
      </w:r>
      <w:r>
        <w:rPr>
          <w:rFonts w:hint="eastAsia" w:asciiTheme="minorEastAsia" w:hAnsiTheme="minorEastAsia" w:eastAsiaTheme="minorEastAsia" w:cstheme="minorEastAsia"/>
          <w:kern w:val="0"/>
          <w:szCs w:val="30"/>
        </w:rPr>
        <w:t>的潜在供应商应在浙江政府采购网（网址：</w:t>
      </w:r>
      <w:r>
        <w:rPr>
          <w:rFonts w:hint="eastAsia"/>
        </w:rPr>
        <w:fldChar w:fldCharType="begin"/>
      </w:r>
      <w:r>
        <w:instrText xml:space="preserve"> HYPERLINK "http://zfcg.czt.zj.gov.cn）获取（下载）采购文件，并于2020年" </w:instrText>
      </w:r>
      <w:r>
        <w:rPr>
          <w:rFonts w:hint="eastAsia"/>
        </w:rPr>
        <w:fldChar w:fldCharType="separate"/>
      </w:r>
      <w:r>
        <w:rPr>
          <w:rFonts w:hint="eastAsia" w:asciiTheme="minorEastAsia" w:hAnsiTheme="minorEastAsia" w:eastAsiaTheme="minorEastAsia" w:cstheme="minorEastAsia"/>
          <w:szCs w:val="30"/>
        </w:rPr>
        <w:t>http://zfcg.czt.zj.gov.cn）获取（下载）采购文件，并于202</w:t>
      </w:r>
      <w:r>
        <w:rPr>
          <w:rFonts w:hint="eastAsia" w:asciiTheme="minorEastAsia" w:hAnsiTheme="minorEastAsia" w:eastAsiaTheme="minorEastAsia" w:cstheme="minorEastAsia"/>
          <w:szCs w:val="30"/>
          <w:lang w:val="en-US" w:eastAsia="zh-CN"/>
        </w:rPr>
        <w:t>4</w:t>
      </w:r>
      <w:r>
        <w:rPr>
          <w:rFonts w:hint="eastAsia" w:asciiTheme="minorEastAsia" w:hAnsiTheme="minorEastAsia" w:eastAsiaTheme="minorEastAsia" w:cstheme="minorEastAsia"/>
          <w:szCs w:val="30"/>
        </w:rPr>
        <w:t>年</w:t>
      </w:r>
      <w:r>
        <w:rPr>
          <w:rFonts w:hint="eastAsia" w:asciiTheme="minorEastAsia" w:hAnsiTheme="minorEastAsia" w:eastAsiaTheme="minorEastAsia" w:cstheme="minorEastAsia"/>
          <w:szCs w:val="30"/>
        </w:rPr>
        <w:fldChar w:fldCharType="end"/>
      </w:r>
      <w:r>
        <w:rPr>
          <w:rFonts w:hint="eastAsia" w:asciiTheme="minorEastAsia" w:hAnsiTheme="minorEastAsia" w:eastAsiaTheme="minorEastAsia" w:cstheme="minorEastAsia"/>
          <w:szCs w:val="30"/>
          <w:highlight w:val="yellow"/>
        </w:rPr>
        <w:t xml:space="preserve">  月  日09:30</w:t>
      </w:r>
      <w:r>
        <w:rPr>
          <w:rFonts w:hint="eastAsia" w:asciiTheme="minorEastAsia" w:hAnsiTheme="minorEastAsia" w:eastAsiaTheme="minorEastAsia" w:cstheme="minorEastAsia"/>
          <w:kern w:val="0"/>
          <w:szCs w:val="30"/>
        </w:rPr>
        <w:t>（北京时间）前提交（上传）响应文件。</w:t>
      </w:r>
    </w:p>
    <w:p>
      <w:pPr>
        <w:widowControl/>
        <w:spacing w:before="204" w:after="204" w:line="360" w:lineRule="atLeast"/>
        <w:rPr>
          <w:rFonts w:asciiTheme="minorEastAsia" w:hAnsiTheme="minorEastAsia" w:eastAsiaTheme="minorEastAsia" w:cstheme="minorEastAsia"/>
          <w:color w:val="000000"/>
          <w:kern w:val="0"/>
          <w:sz w:val="25"/>
          <w:szCs w:val="25"/>
        </w:rPr>
      </w:pPr>
      <w:r>
        <w:rPr>
          <w:rFonts w:hint="eastAsia" w:asciiTheme="minorEastAsia" w:hAnsiTheme="minorEastAsia" w:eastAsiaTheme="minorEastAsia" w:cstheme="minorEastAsia"/>
          <w:b/>
          <w:bCs/>
          <w:color w:val="000000"/>
          <w:kern w:val="0"/>
          <w:sz w:val="22"/>
        </w:rPr>
        <w:t>一、项目基本情况</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项目编号：LGCG</w:t>
      </w:r>
    </w:p>
    <w:p>
      <w:pPr>
        <w:spacing w:before="80" w:after="80" w:line="400" w:lineRule="exact"/>
        <w:ind w:right="80" w:firstLine="420" w:firstLineChars="200"/>
        <w:rPr>
          <w:rFonts w:hint="eastAsia" w:asciiTheme="minorEastAsia" w:hAnsiTheme="minorEastAsia" w:eastAsiaTheme="minorEastAsia" w:cstheme="minorEastAsia"/>
          <w:kern w:val="0"/>
          <w:szCs w:val="30"/>
          <w:lang w:eastAsia="zh-CN"/>
        </w:rPr>
      </w:pPr>
      <w:r>
        <w:rPr>
          <w:rFonts w:hint="eastAsia" w:asciiTheme="minorEastAsia" w:hAnsiTheme="minorEastAsia" w:eastAsiaTheme="minorEastAsia" w:cstheme="minorEastAsia"/>
          <w:kern w:val="0"/>
          <w:szCs w:val="30"/>
        </w:rPr>
        <w:t>项目名称：</w:t>
      </w:r>
      <w:r>
        <w:rPr>
          <w:rFonts w:hint="eastAsia" w:asciiTheme="minorEastAsia" w:hAnsiTheme="minorEastAsia" w:eastAsiaTheme="minorEastAsia" w:cstheme="minorEastAsia"/>
          <w:kern w:val="0"/>
          <w:szCs w:val="30"/>
          <w:lang w:eastAsia="zh-CN"/>
        </w:rPr>
        <w:t>龙港市垃圾房智能化监管设备采购项目</w:t>
      </w:r>
    </w:p>
    <w:p>
      <w:pPr>
        <w:spacing w:before="80" w:after="80" w:line="400" w:lineRule="exact"/>
        <w:ind w:right="80" w:firstLine="420" w:firstLineChars="200"/>
        <w:rPr>
          <w:rFonts w:hint="eastAsia" w:asciiTheme="minorEastAsia" w:hAnsiTheme="minorEastAsia" w:eastAsiaTheme="minorEastAsia" w:cstheme="minorEastAsia"/>
          <w:kern w:val="0"/>
          <w:szCs w:val="30"/>
          <w:lang w:eastAsia="zh-CN"/>
        </w:rPr>
      </w:pPr>
      <w:r>
        <w:rPr>
          <w:rFonts w:hint="eastAsia" w:asciiTheme="minorEastAsia" w:hAnsiTheme="minorEastAsia" w:eastAsiaTheme="minorEastAsia" w:cstheme="minorEastAsia"/>
          <w:kern w:val="0"/>
          <w:szCs w:val="30"/>
        </w:rPr>
        <w:t>预算金额（元）：</w:t>
      </w:r>
      <w:r>
        <w:rPr>
          <w:rFonts w:hint="eastAsia" w:asciiTheme="minorEastAsia" w:hAnsiTheme="minorEastAsia" w:eastAsiaTheme="minorEastAsia" w:cstheme="minorEastAsia"/>
          <w:kern w:val="0"/>
          <w:szCs w:val="30"/>
          <w:lang w:eastAsia="zh-CN"/>
        </w:rPr>
        <w:t>3224700</w:t>
      </w:r>
    </w:p>
    <w:p>
      <w:pPr>
        <w:spacing w:before="80" w:after="80" w:line="400" w:lineRule="exact"/>
        <w:ind w:right="80" w:firstLine="420" w:firstLineChars="200"/>
        <w:rPr>
          <w:rFonts w:hint="eastAsia" w:asciiTheme="minorEastAsia" w:hAnsiTheme="minorEastAsia" w:eastAsiaTheme="minorEastAsia" w:cstheme="minorEastAsia"/>
          <w:kern w:val="0"/>
          <w:szCs w:val="30"/>
          <w:lang w:eastAsia="zh-CN"/>
        </w:rPr>
      </w:pPr>
      <w:r>
        <w:rPr>
          <w:rFonts w:hint="eastAsia" w:asciiTheme="minorEastAsia" w:hAnsiTheme="minorEastAsia" w:eastAsiaTheme="minorEastAsia" w:cstheme="minorEastAsia"/>
          <w:kern w:val="0"/>
          <w:szCs w:val="30"/>
        </w:rPr>
        <w:t>最高限价（元）：</w:t>
      </w:r>
      <w:r>
        <w:rPr>
          <w:rFonts w:hint="eastAsia" w:asciiTheme="minorEastAsia" w:hAnsiTheme="minorEastAsia" w:eastAsiaTheme="minorEastAsia" w:cstheme="minorEastAsia"/>
          <w:kern w:val="0"/>
          <w:szCs w:val="30"/>
          <w:lang w:eastAsia="zh-CN"/>
        </w:rPr>
        <w:t>3224700</w:t>
      </w:r>
    </w:p>
    <w:p>
      <w:pPr>
        <w:spacing w:before="80" w:after="80" w:line="400" w:lineRule="exact"/>
        <w:ind w:right="80" w:firstLine="420" w:firstLineChars="200"/>
        <w:rPr>
          <w:rFonts w:hint="eastAsia"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采购需求：</w:t>
      </w:r>
    </w:p>
    <w:p>
      <w:pPr>
        <w:spacing w:before="80" w:after="80" w:line="400" w:lineRule="exact"/>
        <w:ind w:right="80" w:firstLine="420" w:firstLineChars="200"/>
        <w:rPr>
          <w:rFonts w:hint="eastAsia" w:asciiTheme="minorEastAsia" w:hAnsiTheme="minorEastAsia" w:eastAsiaTheme="minorEastAsia" w:cstheme="minorEastAsia"/>
          <w:kern w:val="0"/>
          <w:szCs w:val="30"/>
          <w:lang w:eastAsia="zh-CN"/>
        </w:rPr>
      </w:pPr>
      <w:r>
        <w:rPr>
          <w:rFonts w:hint="eastAsia" w:asciiTheme="minorEastAsia" w:hAnsiTheme="minorEastAsia" w:eastAsiaTheme="minorEastAsia" w:cstheme="minorEastAsia"/>
          <w:kern w:val="0"/>
          <w:szCs w:val="30"/>
        </w:rPr>
        <w:t xml:space="preserve">标项名称: </w:t>
      </w:r>
      <w:r>
        <w:rPr>
          <w:rFonts w:hint="eastAsia" w:asciiTheme="minorEastAsia" w:hAnsiTheme="minorEastAsia" w:eastAsiaTheme="minorEastAsia" w:cstheme="minorEastAsia"/>
          <w:kern w:val="0"/>
          <w:szCs w:val="30"/>
          <w:lang w:eastAsia="zh-CN"/>
        </w:rPr>
        <w:t>龙港市垃圾房智能化监管设备采购项目</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数量: 1  </w:t>
      </w:r>
    </w:p>
    <w:p>
      <w:pPr>
        <w:spacing w:before="80" w:after="80" w:line="400" w:lineRule="exact"/>
        <w:ind w:right="80" w:firstLine="420" w:firstLineChars="200"/>
        <w:rPr>
          <w:rFonts w:hint="eastAsia" w:asciiTheme="minorEastAsia" w:hAnsiTheme="minorEastAsia" w:eastAsiaTheme="minorEastAsia" w:cstheme="minorEastAsia"/>
          <w:kern w:val="0"/>
          <w:szCs w:val="30"/>
          <w:lang w:eastAsia="zh-CN"/>
        </w:rPr>
      </w:pPr>
      <w:r>
        <w:rPr>
          <w:rFonts w:hint="eastAsia" w:asciiTheme="minorEastAsia" w:hAnsiTheme="minorEastAsia" w:eastAsiaTheme="minorEastAsia" w:cstheme="minorEastAsia"/>
          <w:kern w:val="0"/>
          <w:szCs w:val="30"/>
        </w:rPr>
        <w:t xml:space="preserve">预算金额（元）: </w:t>
      </w:r>
      <w:r>
        <w:rPr>
          <w:rFonts w:hint="eastAsia" w:asciiTheme="minorEastAsia" w:hAnsiTheme="minorEastAsia" w:eastAsiaTheme="minorEastAsia" w:cstheme="minorEastAsia"/>
          <w:kern w:val="0"/>
          <w:szCs w:val="30"/>
          <w:lang w:eastAsia="zh-CN"/>
        </w:rPr>
        <w:t>3224700</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简要规格描述或项目基本概况介绍、用途：详见采购文件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备注：</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合同履约期限：详见采购文件</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本项目（否）接受联合体投标</w:t>
      </w:r>
    </w:p>
    <w:p>
      <w:pPr>
        <w:widowControl/>
        <w:spacing w:before="204" w:after="204" w:line="360" w:lineRule="atLeas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b/>
          <w:bCs/>
          <w:color w:val="000000"/>
          <w:kern w:val="0"/>
          <w:sz w:val="22"/>
        </w:rPr>
        <w:t>二、申请人的资格要求：</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2.落实政府采购政策需满足的资格要求：无</w:t>
      </w:r>
    </w:p>
    <w:p>
      <w:pPr>
        <w:widowControl/>
        <w:snapToGrid w:val="0"/>
        <w:spacing w:before="60" w:after="60" w:line="480" w:lineRule="atLeast"/>
        <w:ind w:right="62" w:firstLine="420" w:firstLineChars="200"/>
        <w:jc w:val="left"/>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3.本项目的特定资格要求：无</w:t>
      </w:r>
    </w:p>
    <w:p>
      <w:pPr>
        <w:widowControl/>
        <w:spacing w:before="204" w:after="204" w:line="360" w:lineRule="atLeast"/>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b/>
          <w:bCs/>
          <w:color w:val="000000"/>
          <w:kern w:val="0"/>
          <w:sz w:val="22"/>
        </w:rPr>
        <w:t>三、获取招标文件</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时间：/至</w:t>
      </w:r>
      <w:r>
        <w:rPr>
          <w:rFonts w:hint="eastAsia" w:asciiTheme="minorEastAsia" w:hAnsiTheme="minorEastAsia" w:eastAsiaTheme="minorEastAsia" w:cstheme="minorEastAsia"/>
          <w:kern w:val="0"/>
          <w:szCs w:val="30"/>
          <w:highlight w:val="yellow"/>
        </w:rPr>
        <w:t>202</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年  月  日</w:t>
      </w:r>
      <w:r>
        <w:rPr>
          <w:rFonts w:hint="eastAsia" w:asciiTheme="minorEastAsia" w:hAnsiTheme="minorEastAsia" w:eastAsiaTheme="minorEastAsia" w:cstheme="minorEastAsia"/>
          <w:kern w:val="0"/>
          <w:szCs w:val="30"/>
        </w:rPr>
        <w:t> ，每天上午00:00至12:00 ，下午12:00至23:59（北京时间，线上获取法定节假日均可，线下获取文件法定节假日除外）</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地点（网址）：浙江政府采购网（网址：http://zfcg.czt.zj.gov.cn）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方式：供应商登录政采云平台https://www.zcygov.cn/在线申请获取采购文件（进入“项目采购”应用，在获取采购文件菜单中选择项目，申请获取采购文件）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售价（元）：0</w:t>
      </w:r>
    </w:p>
    <w:p>
      <w:pPr>
        <w:pStyle w:val="32"/>
        <w:spacing w:before="255" w:beforeAutospacing="0" w:after="255" w:afterAutospacing="0" w:line="300" w:lineRule="atLeast"/>
        <w:jc w:val="both"/>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四、提交投标文件截止时间、开标时间和地点</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提交投标文件截止时间：</w:t>
      </w:r>
      <w:r>
        <w:rPr>
          <w:rFonts w:hint="eastAsia" w:asciiTheme="minorEastAsia" w:hAnsiTheme="minorEastAsia" w:eastAsiaTheme="minorEastAsia" w:cstheme="minorEastAsia"/>
          <w:kern w:val="0"/>
          <w:szCs w:val="30"/>
          <w:highlight w:val="yellow"/>
        </w:rPr>
        <w:t>202</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年  月  日09:30</w:t>
      </w:r>
      <w:r>
        <w:rPr>
          <w:rFonts w:hint="eastAsia" w:asciiTheme="minorEastAsia" w:hAnsiTheme="minorEastAsia" w:eastAsiaTheme="minorEastAsia" w:cstheme="minorEastAsia"/>
          <w:kern w:val="0"/>
          <w:szCs w:val="30"/>
        </w:rPr>
        <w:t>（北京时间）</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投标地点（网址）：政府采购云平台在线投标，投标供应商无须前往评审现场</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开标时间：</w:t>
      </w:r>
      <w:r>
        <w:rPr>
          <w:rFonts w:hint="eastAsia" w:asciiTheme="minorEastAsia" w:hAnsiTheme="minorEastAsia" w:eastAsiaTheme="minorEastAsia" w:cstheme="minorEastAsia"/>
          <w:kern w:val="0"/>
          <w:szCs w:val="30"/>
          <w:highlight w:val="yellow"/>
        </w:rPr>
        <w:t>202</w:t>
      </w:r>
      <w:r>
        <w:rPr>
          <w:rFonts w:hint="eastAsia" w:asciiTheme="minorEastAsia" w:hAnsiTheme="minorEastAsia" w:eastAsiaTheme="minorEastAsia" w:cstheme="minorEastAsia"/>
          <w:kern w:val="0"/>
          <w:szCs w:val="30"/>
          <w:highlight w:val="yellow"/>
          <w:lang w:val="en-US" w:eastAsia="zh-CN"/>
        </w:rPr>
        <w:t>4</w:t>
      </w:r>
      <w:r>
        <w:rPr>
          <w:rFonts w:hint="eastAsia" w:asciiTheme="minorEastAsia" w:hAnsiTheme="minorEastAsia" w:eastAsiaTheme="minorEastAsia" w:cstheme="minorEastAsia"/>
          <w:kern w:val="0"/>
          <w:szCs w:val="30"/>
          <w:highlight w:val="yellow"/>
        </w:rPr>
        <w:t>年  月  日09:30</w:t>
      </w:r>
      <w:r>
        <w:rPr>
          <w:rFonts w:hint="eastAsia" w:asciiTheme="minorEastAsia" w:hAnsiTheme="minorEastAsia" w:eastAsiaTheme="minorEastAsia" w:cstheme="minorEastAsia"/>
          <w:kern w:val="0"/>
          <w:szCs w:val="30"/>
        </w:rPr>
        <w:t> </w:t>
      </w:r>
    </w:p>
    <w:p>
      <w:pPr>
        <w:widowControl/>
        <w:spacing w:before="204" w:after="204" w:line="360" w:lineRule="atLeast"/>
        <w:ind w:firstLine="42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开标地点（网址）：（1）政府采购云平台在线投标，投标供应商无须前往评审现场。（2）代理机构于龙港市政务服务中心进行开评标活动</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五、公告期限</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自本公告发布之日起5个工作日。</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六、其他补充事宜 </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before="80" w:after="80" w:line="400" w:lineRule="exact"/>
        <w:ind w:right="80" w:firstLine="420" w:firstLineChars="200"/>
        <w:rPr>
          <w:rFonts w:asciiTheme="minorEastAsia" w:hAnsiTheme="minorEastAsia" w:eastAsiaTheme="minorEastAsia" w:cstheme="minorEastAsia"/>
          <w:kern w:val="0"/>
          <w:szCs w:val="30"/>
        </w:rPr>
      </w:pPr>
      <w:r>
        <w:rPr>
          <w:rFonts w:hint="eastAsia" w:asciiTheme="minorEastAsia" w:hAnsiTheme="minorEastAsia" w:eastAsiaTheme="minorEastAsia" w:cstheme="minorEastAsia"/>
          <w:kern w:val="0"/>
          <w:szCs w:val="30"/>
        </w:rPr>
        <w:t xml:space="preserve">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2、投标供应商应当在投标截止时间前，将生成的“电子加密投标文件”上传递交至“政府采购云平台”。投标截止时间以后上传递交的投标文件将被“政府采购云平台”拒收。 3、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widowControl/>
        <w:spacing w:before="204" w:after="204" w:line="360" w:lineRule="atLeast"/>
        <w:rPr>
          <w:rFonts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七、本次采购提出询问、质疑、投诉，请按以下方式联系</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1.采购人信息</w:t>
      </w:r>
    </w:p>
    <w:p>
      <w:pPr>
        <w:spacing w:before="80" w:after="80" w:line="400" w:lineRule="exact"/>
        <w:ind w:right="80" w:firstLine="420" w:firstLineChars="200"/>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名称：</w:t>
      </w:r>
      <w:r>
        <w:rPr>
          <w:rFonts w:hint="eastAsia" w:asciiTheme="minorEastAsia" w:hAnsiTheme="minorEastAsia" w:eastAsiaTheme="minorEastAsia" w:cstheme="minorEastAsia"/>
          <w:bCs/>
          <w:kern w:val="0"/>
          <w:szCs w:val="21"/>
          <w:lang w:eastAsia="zh-CN"/>
        </w:rPr>
        <w:t>龙港市综合行政执法局</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地址：龙港市站港大道龙港客运中心5-7楼</w:t>
      </w:r>
    </w:p>
    <w:p>
      <w:pPr>
        <w:spacing w:before="80" w:after="80" w:line="400" w:lineRule="exact"/>
        <w:ind w:right="8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w:t>
      </w:r>
    </w:p>
    <w:p>
      <w:pPr>
        <w:spacing w:before="80" w:after="80" w:line="400" w:lineRule="exact"/>
        <w:ind w:right="80" w:firstLine="420" w:firstLineChars="200"/>
        <w:rPr>
          <w:rFonts w:hint="default"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rPr>
        <w:t xml:space="preserve">项目联系人（询问）： </w:t>
      </w:r>
      <w:r>
        <w:rPr>
          <w:rFonts w:hint="eastAsia" w:asciiTheme="minorEastAsia" w:hAnsiTheme="minorEastAsia" w:eastAsiaTheme="minorEastAsia" w:cstheme="minorEastAsia"/>
          <w:bCs/>
          <w:kern w:val="0"/>
          <w:szCs w:val="21"/>
          <w:lang w:val="en-US" w:eastAsia="zh-CN"/>
        </w:rPr>
        <w:t>易先生</w:t>
      </w:r>
    </w:p>
    <w:p>
      <w:pPr>
        <w:spacing w:before="80" w:after="80" w:line="400" w:lineRule="exact"/>
        <w:ind w:right="8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项目联系方式（询问）：0577-59918118</w:t>
      </w:r>
    </w:p>
    <w:p>
      <w:pPr>
        <w:spacing w:before="80" w:after="80" w:line="400" w:lineRule="exact"/>
        <w:ind w:right="8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质疑联系人：</w:t>
      </w:r>
      <w:r>
        <w:rPr>
          <w:rFonts w:hint="eastAsia" w:asciiTheme="minorEastAsia" w:hAnsiTheme="minorEastAsia" w:eastAsiaTheme="minorEastAsia" w:cstheme="minorEastAsia"/>
          <w:bCs/>
          <w:kern w:val="0"/>
          <w:szCs w:val="21"/>
          <w:lang w:val="en-US" w:eastAsia="zh-CN"/>
        </w:rPr>
        <w:t>易先生</w:t>
      </w:r>
    </w:p>
    <w:p>
      <w:pPr>
        <w:spacing w:before="80" w:after="80" w:line="400" w:lineRule="exact"/>
        <w:ind w:right="8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质疑联系方式：0577-59918118</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2.采购代理机构信息</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名称：浙江天诚工程咨询有限公司</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地址：龙港市世纪大道华鸿中央公园2期12幢1601室</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传真：0577-68807257</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项目联系人（询问）：郑先生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项目联系方式（询问）：0577-68807257、17395770925</w:t>
      </w:r>
    </w:p>
    <w:p>
      <w:pPr>
        <w:spacing w:before="80" w:after="80" w:line="400" w:lineRule="exact"/>
        <w:ind w:right="80" w:firstLine="420" w:firstLineChars="200"/>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质疑联系人：</w:t>
      </w:r>
      <w:r>
        <w:rPr>
          <w:rFonts w:hint="eastAsia" w:asciiTheme="minorEastAsia" w:hAnsiTheme="minorEastAsia" w:eastAsiaTheme="minorEastAsia" w:cstheme="minorEastAsia"/>
          <w:bCs/>
          <w:kern w:val="0"/>
          <w:szCs w:val="21"/>
          <w:lang w:val="en-US" w:eastAsia="zh-CN"/>
        </w:rPr>
        <w:t>郑发望</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质疑联系方式：0577-68807257</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3.同级政府采购监督管理部门</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名称：龙港市财政局财政督查科</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地址：龙港市龙港大道与西五街交叉路口</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传真：0577-68081810</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联系人 ：陈先生</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监督投诉电话：0577-68081810</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若对项目采购电子交易系统操作有疑问，可登录政采云（https://www.zcygov.cn/），点击右侧咨询小采，获取采小蜜智能服务管家帮助，或拨打政采云服务热线400-881-7190获取热线服务帮助。       </w:t>
      </w:r>
    </w:p>
    <w:p>
      <w:pPr>
        <w:spacing w:before="80" w:after="80" w:line="400" w:lineRule="exact"/>
        <w:ind w:right="80"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CA问题联系电话（人工）：汇信CA 400-888-4636；天谷CA 400-087-8198。</w:t>
      </w:r>
    </w:p>
    <w:p>
      <w:pPr>
        <w:pStyle w:val="32"/>
        <w:spacing w:before="75" w:beforeAutospacing="0" w:after="75" w:afterAutospacing="0"/>
        <w:rPr>
          <w:rFonts w:asciiTheme="minorEastAsia" w:hAnsiTheme="minorEastAsia" w:eastAsiaTheme="minorEastAsia" w:cstheme="minorEastAsia"/>
        </w:rPr>
      </w:pPr>
    </w:p>
    <w:p>
      <w:pP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br w:type="page"/>
      </w: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投 标 须 知 前 附 表</w:t>
      </w:r>
    </w:p>
    <w:p>
      <w:pPr>
        <w:spacing w:line="44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经批准，浙江天诚工程咨询有限公司对</w:t>
      </w:r>
      <w:r>
        <w:rPr>
          <w:rFonts w:hint="eastAsia" w:asciiTheme="minorEastAsia" w:hAnsiTheme="minorEastAsia" w:eastAsiaTheme="minorEastAsia" w:cstheme="minorEastAsia"/>
          <w:b/>
          <w:sz w:val="22"/>
          <w:szCs w:val="22"/>
          <w:lang w:eastAsia="zh-CN"/>
        </w:rPr>
        <w:t>龙港市垃圾房智能化监管设备采购项目</w:t>
      </w:r>
      <w:r>
        <w:rPr>
          <w:rFonts w:hint="eastAsia" w:asciiTheme="minorEastAsia" w:hAnsiTheme="minorEastAsia" w:eastAsiaTheme="minorEastAsia" w:cstheme="minorEastAsia"/>
          <w:color w:val="000000" w:themeColor="text1"/>
          <w:sz w:val="22"/>
          <w:szCs w:val="22"/>
          <w14:textFill>
            <w14:solidFill>
              <w14:schemeClr w14:val="tx1"/>
            </w14:solidFill>
          </w14:textFill>
        </w:rPr>
        <w:t>进行公开招标，我们</w:t>
      </w:r>
      <w:r>
        <w:rPr>
          <w:rFonts w:hint="eastAsia" w:asciiTheme="minorEastAsia" w:hAnsiTheme="minorEastAsia" w:eastAsiaTheme="minorEastAsia" w:cstheme="minorEastAsia"/>
          <w:sz w:val="22"/>
          <w:szCs w:val="22"/>
        </w:rPr>
        <w:t>现通知贵公司（企业）参与投标，并请按招标文件的要求认真准备好投标文件，按时进行线上电子投标。</w:t>
      </w:r>
    </w:p>
    <w:tbl>
      <w:tblPr>
        <w:tblStyle w:val="36"/>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Cs/>
                <w:kern w:val="0"/>
                <w:sz w:val="22"/>
                <w:szCs w:val="22"/>
                <w:highlight w:val="yellow"/>
              </w:rPr>
              <w:t>LGCG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hint="eastAsia" w:asciiTheme="minorEastAsia" w:hAnsiTheme="minorEastAsia" w:eastAsiaTheme="minorEastAsia" w:cstheme="minorEastAsia"/>
                <w:color w:val="000000"/>
                <w:spacing w:val="-4"/>
                <w:sz w:val="22"/>
                <w:szCs w:val="22"/>
                <w:lang w:eastAsia="zh-CN"/>
              </w:rPr>
            </w:pPr>
            <w:r>
              <w:rPr>
                <w:rFonts w:hint="eastAsia" w:asciiTheme="minorEastAsia" w:hAnsiTheme="minorEastAsia" w:eastAsiaTheme="minorEastAsia" w:cstheme="minorEastAsia"/>
                <w:b/>
                <w:spacing w:val="-4"/>
                <w:sz w:val="22"/>
                <w:szCs w:val="22"/>
                <w:lang w:eastAsia="zh-CN"/>
              </w:rPr>
              <w:t>龙港市垃圾房智能化监管设备采购项目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采购预算</w:t>
            </w:r>
          </w:p>
        </w:tc>
        <w:tc>
          <w:tcPr>
            <w:tcW w:w="7708" w:type="dxa"/>
            <w:tcBorders>
              <w:right w:val="double" w:color="auto" w:sz="4" w:space="0"/>
            </w:tcBorders>
            <w:vAlign w:val="center"/>
          </w:tcPr>
          <w:p>
            <w:pP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▲本项目采购预算为¥</w:t>
            </w:r>
            <w:r>
              <w:rPr>
                <w:rFonts w:hint="eastAsia" w:asciiTheme="minorEastAsia" w:hAnsiTheme="minorEastAsia" w:eastAsiaTheme="minorEastAsia" w:cstheme="minorEastAsia"/>
                <w:b/>
                <w:sz w:val="22"/>
                <w:szCs w:val="22"/>
                <w:lang w:eastAsia="zh-CN"/>
              </w:rPr>
              <w:t>322.47万元</w:t>
            </w:r>
            <w:r>
              <w:rPr>
                <w:rFonts w:hint="eastAsia" w:asciiTheme="minorEastAsia" w:hAnsiTheme="minorEastAsia" w:eastAsiaTheme="minorEastAsia" w:cstheme="minorEastAsia"/>
                <w:b/>
                <w:sz w:val="22"/>
                <w:szCs w:val="22"/>
              </w:rPr>
              <w:t>；（供应商报价超出采购预算金额的，该供应商按无效标处理。）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采购类型</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sz w:val="22"/>
                <w:szCs w:val="22"/>
                <w:lang w:eastAsia="zh-CN"/>
              </w:rPr>
              <w:instrText xml:space="preserve">,</w:instrText>
            </w:r>
            <w:r>
              <w:rPr>
                <w:rFonts w:hint="eastAsia" w:asciiTheme="minorEastAsia" w:hAnsiTheme="minorEastAsia" w:eastAsiaTheme="minorEastAsia" w:cstheme="minorEastAsia"/>
                <w:color w:val="000000"/>
                <w:position w:val="2"/>
                <w:sz w:val="15"/>
                <w:szCs w:val="22"/>
                <w:lang w:eastAsia="zh-CN"/>
              </w:rPr>
              <w:instrText xml:space="preserve">√</w:instrText>
            </w:r>
            <w:r>
              <w:rPr>
                <w:rFonts w:hint="eastAsia" w:asciiTheme="minorEastAsia" w:hAnsiTheme="minorEastAsia" w:eastAsiaTheme="minorEastAsia" w:cstheme="minorEastAsia"/>
                <w:color w:val="000000"/>
                <w:sz w:val="22"/>
                <w:szCs w:val="22"/>
              </w:rPr>
              <w:instrText xml:space="preserve">)</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 xml:space="preserve">货物类       </w:t>
            </w: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 xml:space="preserve">服务类        </w:t>
            </w:r>
            <w:r>
              <w:rPr>
                <w:rFonts w:hint="eastAsia" w:asciiTheme="minorEastAsia" w:hAnsiTheme="minorEastAsia" w:eastAsiaTheme="minorEastAsia" w:cstheme="minorEastAsia"/>
                <w:color w:val="000000"/>
                <w:sz w:val="22"/>
                <w:szCs w:val="22"/>
              </w:rPr>
              <w:fldChar w:fldCharType="begin"/>
            </w:r>
            <w:r>
              <w:rPr>
                <w:rFonts w:hint="eastAsia" w:asciiTheme="minorEastAsia" w:hAnsiTheme="minorEastAsia" w:eastAsiaTheme="minorEastAsia" w:cstheme="minorEastAsia"/>
                <w:color w:val="000000"/>
                <w:sz w:val="22"/>
                <w:szCs w:val="22"/>
              </w:rPr>
              <w:instrText xml:space="preserve"> eq \o\ac(□)</w:instrText>
            </w:r>
            <w:r>
              <w:rPr>
                <w:rFonts w:hint="eastAsia" w:asciiTheme="minorEastAsia" w:hAnsiTheme="minorEastAsia" w:eastAsiaTheme="minorEastAsia" w:cstheme="minorEastAsia"/>
                <w:color w:val="000000"/>
                <w:sz w:val="22"/>
                <w:szCs w:val="22"/>
              </w:rPr>
              <w:fldChar w:fldCharType="end"/>
            </w:r>
            <w:r>
              <w:rPr>
                <w:rFonts w:hint="eastAsia" w:asciiTheme="minorEastAsia" w:hAnsiTheme="minorEastAsia" w:eastAsiaTheme="minorEastAsia" w:cstheme="minorEastAsia"/>
                <w:color w:val="000000"/>
                <w:sz w:val="22"/>
                <w:szCs w:val="22"/>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采购标的所属行业</w:t>
            </w:r>
          </w:p>
        </w:tc>
        <w:tc>
          <w:tcPr>
            <w:tcW w:w="7708" w:type="dxa"/>
            <w:tcBorders>
              <w:right w:val="double" w:color="auto" w:sz="4" w:space="0"/>
            </w:tcBorders>
            <w:vAlign w:val="center"/>
          </w:tcPr>
          <w:p>
            <w:pPr>
              <w:rPr>
                <w:rFonts w:hint="eastAsia" w:asciiTheme="minorEastAsia" w:hAnsiTheme="minorEastAsia" w:eastAsiaTheme="minorEastAsia" w:cstheme="minorEastAsia"/>
                <w:b/>
                <w:sz w:val="22"/>
                <w:szCs w:val="22"/>
                <w:lang w:eastAsia="zh-CN"/>
              </w:rPr>
            </w:pPr>
            <w:r>
              <w:rPr>
                <w:rFonts w:hint="eastAsia" w:asciiTheme="minorEastAsia" w:hAnsiTheme="minorEastAsia" w:eastAsiaTheme="minorEastAsia" w:cstheme="minorEastAsia"/>
                <w:b/>
                <w:sz w:val="22"/>
                <w:szCs w:val="22"/>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招标方式</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评标办法</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投标文件的组成</w:t>
            </w:r>
          </w:p>
        </w:tc>
        <w:tc>
          <w:tcPr>
            <w:tcW w:w="7708" w:type="dxa"/>
            <w:tcBorders>
              <w:right w:val="double" w:color="auto" w:sz="4" w:space="0"/>
            </w:tcBorders>
            <w:vAlign w:val="center"/>
          </w:tcPr>
          <w:p>
            <w:pPr>
              <w:spacing w:line="276" w:lineRule="auto"/>
              <w:rPr>
                <w:rFonts w:asciiTheme="minorEastAsia" w:hAnsiTheme="minorEastAsia" w:eastAsiaTheme="minorEastAsia" w:cstheme="minorEastAsia"/>
                <w:b/>
                <w:color w:val="000000"/>
                <w:sz w:val="22"/>
                <w:u w:val="single"/>
              </w:rPr>
            </w:pPr>
            <w:r>
              <w:rPr>
                <w:rFonts w:hint="eastAsia" w:asciiTheme="minorEastAsia" w:hAnsiTheme="minorEastAsia" w:eastAsiaTheme="minorEastAsia" w:cstheme="minorEastAsia"/>
                <w:b/>
                <w:color w:val="000000"/>
                <w:sz w:val="22"/>
              </w:rPr>
              <w:t>完整的《投标文件》由“资格文件”、“商务技术文件”和“报价文件”三个部分组成。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投标文件份数</w:t>
            </w:r>
          </w:p>
        </w:tc>
        <w:tc>
          <w:tcPr>
            <w:tcW w:w="7708" w:type="dxa"/>
            <w:tcBorders>
              <w:right w:val="double" w:color="auto" w:sz="4" w:space="0"/>
            </w:tcBorders>
            <w:vAlign w:val="center"/>
          </w:tcPr>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（1）“电子加密投标文件”：在线上传递交（一份）。</w:t>
            </w:r>
          </w:p>
          <w:p>
            <w:pPr>
              <w:adjustRightInd w:val="0"/>
              <w:snapToGrid w:val="0"/>
              <w:spacing w:line="300" w:lineRule="exact"/>
              <w:rPr>
                <w:rFonts w:hint="eastAsia" w:asciiTheme="minorEastAsia" w:hAnsiTheme="minorEastAsia" w:eastAsiaTheme="minorEastAsia" w:cstheme="minorEastAsia"/>
                <w:b/>
                <w:sz w:val="22"/>
              </w:rPr>
            </w:pPr>
            <w:r>
              <w:rPr>
                <w:rFonts w:hint="eastAsia" w:asciiTheme="minorEastAsia" w:hAnsiTheme="minorEastAsia" w:eastAsiaTheme="minorEastAsia" w:cstheme="minorEastAsia"/>
                <w:b/>
                <w:sz w:val="22"/>
              </w:rPr>
              <w:t>（2）“备份投标文件”：密封包装后（当面送达由代理单位签收或采用邮寄形式由代理单位签收）投标截止时间前递交（一份）（收件地址：龙港市世纪大道华鸿中央公园2期12幢1601室（</w:t>
            </w:r>
            <w:r>
              <w:rPr>
                <w:rFonts w:hint="eastAsia" w:asciiTheme="minorEastAsia" w:hAnsiTheme="minorEastAsia" w:eastAsiaTheme="minorEastAsia" w:cstheme="minorEastAsia"/>
                <w:b/>
                <w:sz w:val="22"/>
                <w:szCs w:val="22"/>
              </w:rPr>
              <w:t>浙江天诚工程咨询有限公司 郑先生</w:t>
            </w:r>
            <w:r>
              <w:rPr>
                <w:rFonts w:hint="eastAsia" w:asciiTheme="minorEastAsia" w:hAnsiTheme="minorEastAsia" w:eastAsiaTheme="minorEastAsia" w:cstheme="minorEastAsia"/>
                <w:b/>
                <w:sz w:val="22"/>
              </w:rPr>
              <w:t>收 联系电话：0577-68807257）。</w:t>
            </w:r>
          </w:p>
          <w:p>
            <w:pPr>
              <w:adjustRightInd w:val="0"/>
              <w:snapToGrid w:val="0"/>
              <w:spacing w:line="300" w:lineRule="exact"/>
              <w:rPr>
                <w:rFonts w:asciiTheme="minorEastAsia" w:hAnsiTheme="minorEastAsia" w:eastAsiaTheme="minorEastAsia" w:cstheme="minorEastAsia"/>
                <w:b/>
                <w:sz w:val="22"/>
              </w:rPr>
            </w:pPr>
            <w:r>
              <w:rPr>
                <w:rFonts w:hint="eastAsia" w:ascii="宋体" w:hAnsi="宋体"/>
                <w:b/>
                <w:sz w:val="22"/>
              </w:rPr>
              <w:t>（3）“</w:t>
            </w:r>
            <w:r>
              <w:rPr>
                <w:rFonts w:hint="eastAsia" w:ascii="宋体"/>
                <w:b/>
                <w:bCs/>
                <w:sz w:val="22"/>
                <w:szCs w:val="22"/>
              </w:rPr>
              <w:t>演示视频U盘</w:t>
            </w:r>
            <w:r>
              <w:rPr>
                <w:rFonts w:hint="eastAsia" w:ascii="宋体" w:hAnsi="宋体"/>
                <w:b/>
                <w:sz w:val="22"/>
              </w:rPr>
              <w:t>” ：供应商录制演示视屏将视屏文件拷贝进U盘，密封包装后（当面送达由代理单位签收或采用邮寄形式由代理单位签收）投标截止时间前递交（一份）（收件地址：龙港市世纪大道</w:t>
            </w:r>
            <w:r>
              <w:rPr>
                <w:rFonts w:hint="eastAsia" w:ascii="宋体" w:hAnsi="宋体"/>
                <w:b/>
                <w:sz w:val="22"/>
                <w:lang w:eastAsia="zh-CN"/>
              </w:rPr>
              <w:t>华鸿中央公园</w:t>
            </w:r>
            <w:r>
              <w:rPr>
                <w:rFonts w:hint="eastAsia" w:ascii="宋体" w:hAnsi="宋体"/>
                <w:b/>
                <w:sz w:val="22"/>
              </w:rPr>
              <w:t>2期12幢1601室（</w:t>
            </w:r>
            <w:r>
              <w:rPr>
                <w:rFonts w:hint="eastAsia" w:ascii="宋体" w:hAnsi="宋体"/>
                <w:b/>
                <w:sz w:val="22"/>
                <w:szCs w:val="22"/>
              </w:rPr>
              <w:t>浙江天诚工程咨询有限公司 郑</w:t>
            </w:r>
            <w:r>
              <w:rPr>
                <w:rFonts w:hint="eastAsia" w:ascii="宋体" w:hAnsi="宋体"/>
                <w:b/>
                <w:sz w:val="22"/>
              </w:rPr>
              <w:t>先生收 联系电话：0577-68807257）。</w:t>
            </w:r>
            <w:r>
              <w:rPr>
                <w:rFonts w:hint="eastAsia" w:ascii="宋体"/>
                <w:b/>
                <w:bCs/>
                <w:sz w:val="22"/>
                <w:szCs w:val="22"/>
              </w:rPr>
              <w:t>未提交“演示视频U盘”的供应商在演示部分将不予计分。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rPr>
              <w:t>投标文件的形式</w:t>
            </w:r>
          </w:p>
        </w:tc>
        <w:tc>
          <w:tcPr>
            <w:tcW w:w="7708" w:type="dxa"/>
            <w:tcBorders>
              <w:right w:val="double" w:color="auto" w:sz="4" w:space="0"/>
            </w:tcBorders>
            <w:vAlign w:val="center"/>
          </w:tcPr>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电子投标文件（包括“电子加密投标文件”和“备份投标文件”，在投标文件编制完成后同时生成）；</w:t>
            </w:r>
          </w:p>
          <w:p>
            <w:pPr>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（1）“电子加密投标文件”是指通过“政采云电子交易客户端”完成投标文件编制后生成并加密的数据电文形式的投标文件。</w:t>
            </w:r>
          </w:p>
          <w:p>
            <w:pPr>
              <w:adjustRightInd w:val="0"/>
              <w:snapToGrid w:val="0"/>
              <w:spacing w:line="300" w:lineRule="exact"/>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highlight w:val="yellow"/>
                <w:shd w:val="clear" w:color="auto" w:fill="FFFFFF" w:themeFill="background1"/>
              </w:rPr>
              <w:t>202</w:t>
            </w:r>
            <w:r>
              <w:rPr>
                <w:rFonts w:hint="eastAsia" w:asciiTheme="minorEastAsia" w:hAnsiTheme="minorEastAsia" w:eastAsiaTheme="minorEastAsia" w:cstheme="minorEastAsia"/>
                <w:sz w:val="22"/>
                <w:szCs w:val="22"/>
                <w:highlight w:val="yellow"/>
                <w:shd w:val="clear" w:color="auto" w:fill="FFFFFF" w:themeFill="background1"/>
                <w:lang w:val="en-US" w:eastAsia="zh-CN"/>
              </w:rPr>
              <w:t>4</w:t>
            </w:r>
            <w:r>
              <w:rPr>
                <w:rFonts w:hint="eastAsia" w:asciiTheme="minorEastAsia" w:hAnsiTheme="minorEastAsia" w:eastAsiaTheme="minorEastAsia" w:cstheme="minorEastAsia"/>
                <w:sz w:val="22"/>
                <w:szCs w:val="22"/>
                <w:highlight w:val="yellow"/>
                <w:shd w:val="clear" w:color="auto" w:fill="FFFFFF" w:themeFill="background1"/>
              </w:rPr>
              <w:t>年  月  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rPr>
              <w:t>1、代理机构于龙港市公共资源交易中心（</w:t>
            </w:r>
            <w:r>
              <w:rPr>
                <w:rFonts w:hint="eastAsia" w:asciiTheme="minorEastAsia" w:hAnsiTheme="minorEastAsia" w:eastAsiaTheme="minorEastAsia" w:cstheme="minorEastAsia"/>
                <w:color w:val="4A4A4A"/>
                <w:szCs w:val="21"/>
                <w:shd w:val="clear" w:color="auto" w:fill="FFFFFF"/>
              </w:rPr>
              <w:t>龙港市世纪大道4518号龙港市政务客厅4楼</w:t>
            </w:r>
            <w:r>
              <w:rPr>
                <w:rFonts w:hint="eastAsia" w:asciiTheme="minorEastAsia" w:hAnsiTheme="minorEastAsia" w:eastAsiaTheme="minorEastAsia" w:cstheme="minorEastAsia"/>
                <w:sz w:val="22"/>
              </w:rPr>
              <w:t>）进行开评标活动；2、投标人通过“政府采购云平台（www.zcygov.cn）”实行在线投标响应（在投标截止时间止，供应商须准时登录“政府采购云平台（www.zcygov.cn）”在线响应投标）；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评审委员会的</w:t>
            </w:r>
          </w:p>
          <w:p>
            <w:pPr>
              <w:adjustRightInd w:val="0"/>
              <w:snapToGrid w:val="0"/>
              <w:spacing w:line="3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组建</w:t>
            </w:r>
          </w:p>
        </w:tc>
        <w:tc>
          <w:tcPr>
            <w:tcW w:w="7708" w:type="dxa"/>
            <w:tcBorders>
              <w:right w:val="double" w:color="auto" w:sz="4" w:space="0"/>
            </w:tcBorders>
            <w:vAlign w:val="center"/>
          </w:tcPr>
          <w:p>
            <w:pPr>
              <w:adjustRightInd w:val="0"/>
              <w:snapToGrid w:val="0"/>
              <w:spacing w:line="300" w:lineRule="exac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评标委员会构成：采购人依法组建，成员人数应当为5人及以上单数，其中评审专家不得少于成员总数的三分之二；评审专家确定方式：按相关规定从专家库中抽取。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代理机构名称：</w:t>
            </w:r>
            <w:r>
              <w:rPr>
                <w:rFonts w:hint="eastAsia" w:asciiTheme="minorEastAsia" w:hAnsiTheme="minorEastAsia" w:eastAsiaTheme="minorEastAsia" w:cstheme="minorEastAsia"/>
                <w:kern w:val="0"/>
                <w:sz w:val="22"/>
              </w:rPr>
              <w:t>浙江天诚工程咨询有限公司</w:t>
            </w:r>
          </w:p>
          <w:p>
            <w:pPr>
              <w:widowControl/>
              <w:snapToGrid w:val="0"/>
              <w:spacing w:line="320" w:lineRule="exact"/>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color w:val="000000"/>
                <w:sz w:val="22"/>
              </w:rPr>
              <w:t>机构地点：龙港市世纪大道华鸿中央公园2期12幢1601室</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联系人：郑先生</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联系电话：</w:t>
            </w:r>
            <w:r>
              <w:rPr>
                <w:rFonts w:hint="eastAsia" w:asciiTheme="minorEastAsia" w:hAnsiTheme="minorEastAsia" w:eastAsiaTheme="minorEastAsia" w:cstheme="minorEastAsia"/>
                <w:kern w:val="0"/>
                <w:sz w:val="22"/>
              </w:rPr>
              <w:t>0577-68807257</w:t>
            </w:r>
          </w:p>
          <w:p>
            <w:pPr>
              <w:snapToGrid w:val="0"/>
              <w:rPr>
                <w:rFonts w:asciiTheme="minorEastAsia" w:hAnsiTheme="minorEastAsia" w:eastAsiaTheme="minorEastAsia" w:cstheme="minorEastAsia"/>
                <w:sz w:val="22"/>
              </w:rPr>
            </w:pPr>
            <w:r>
              <w:rPr>
                <w:rFonts w:hint="eastAsia" w:asciiTheme="minorEastAsia" w:hAnsiTheme="minorEastAsia" w:eastAsiaTheme="minorEastAsia" w:cstheme="minorEastAsia"/>
                <w:color w:val="000000"/>
                <w:sz w:val="22"/>
              </w:rPr>
              <w:t>联系传真：</w:t>
            </w:r>
            <w:r>
              <w:rPr>
                <w:rFonts w:hint="eastAsia" w:asciiTheme="minorEastAsia" w:hAnsiTheme="minorEastAsia" w:eastAsiaTheme="minorEastAsia" w:cstheme="minorEastAsia"/>
                <w:kern w:val="0"/>
                <w:sz w:val="22"/>
              </w:rPr>
              <w:t>0577-68807257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龙港市财政局财政督查科</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联系人：陈先生</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监督投诉电话：0577-68081810 </w:t>
            </w:r>
          </w:p>
          <w:p>
            <w:pPr>
              <w:widowControl/>
              <w:snapToGrid w:val="0"/>
              <w:spacing w:line="32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联系传真：0577-68081810</w:t>
            </w:r>
          </w:p>
          <w:p>
            <w:pPr>
              <w:widowControl/>
              <w:snapToGrid w:val="0"/>
              <w:spacing w:line="32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color w:val="000000"/>
                <w:sz w:val="22"/>
              </w:rPr>
              <w:t>地址：龙港市龙港大道与西五街交叉路口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snapToGrid w:val="0"/>
              <w:spacing w:line="296" w:lineRule="auto"/>
              <w:rPr>
                <w:rFonts w:asciiTheme="minorEastAsia" w:hAnsiTheme="minorEastAsia" w:eastAsiaTheme="minorEastAsia" w:cstheme="minorEastAsia"/>
                <w:color w:val="000000"/>
                <w:sz w:val="22"/>
              </w:rPr>
            </w:pPr>
            <w:r>
              <w:rPr>
                <w:rFonts w:hint="eastAsia" w:cs="宋体" w:asciiTheme="minorEastAsia" w:hAnsiTheme="minorEastAsia" w:eastAsiaTheme="minorEastAsia"/>
                <w:sz w:val="22"/>
                <w:szCs w:val="22"/>
              </w:rPr>
              <w:t>是否接受联合体投标</w:t>
            </w:r>
          </w:p>
        </w:tc>
        <w:tc>
          <w:tcPr>
            <w:tcW w:w="7708" w:type="dxa"/>
            <w:tcBorders>
              <w:right w:val="double" w:color="auto" w:sz="4" w:space="0"/>
            </w:tcBorders>
            <w:vAlign w:val="center"/>
          </w:tcPr>
          <w:p>
            <w:pPr>
              <w:snapToGrid w:val="0"/>
              <w:spacing w:line="296" w:lineRule="auto"/>
              <w:rPr>
                <w:rFonts w:asciiTheme="minorEastAsia" w:hAnsiTheme="minorEastAsia" w:eastAsiaTheme="minorEastAsia"/>
              </w:rPr>
            </w:pPr>
            <w:r>
              <w:rPr>
                <w:rFonts w:ascii="Segoe UI Symbol" w:hAnsi="Segoe UI Symbol" w:cs="Segoe UI Symbol" w:eastAsiaTheme="minorEastAsia"/>
              </w:rPr>
              <w:t>☑</w:t>
            </w:r>
            <w:r>
              <w:rPr>
                <w:rFonts w:hint="eastAsia" w:ascii="宋体" w:hAnsi="宋体" w:cs="宋体"/>
              </w:rPr>
              <w:t>不接受</w:t>
            </w:r>
          </w:p>
          <w:p>
            <w:pPr>
              <w:snapToGrid w:val="0"/>
              <w:spacing w:line="296" w:lineRule="auto"/>
              <w:rPr>
                <w:rFonts w:asciiTheme="minorEastAsia" w:hAnsiTheme="minorEastAsia" w:eastAsiaTheme="minorEastAsia" w:cstheme="minorEastAsia"/>
                <w:color w:val="000000"/>
                <w:sz w:val="22"/>
              </w:rPr>
            </w:pPr>
            <w:r>
              <w:rPr>
                <w:rFonts w:hint="eastAsia" w:asciiTheme="minorEastAsia" w:hAnsiTheme="minorEastAsia" w:eastAsiaTheme="minorEastAsia"/>
              </w:rPr>
              <w:fldChar w:fldCharType="begin"/>
            </w:r>
            <w:r>
              <w:rPr>
                <w:rFonts w:hint="eastAsia" w:asciiTheme="minorEastAsia" w:hAnsiTheme="minorEastAsia" w:eastAsiaTheme="minorEastAsia"/>
              </w:rPr>
              <w:instrText xml:space="preserve"> eq \o\ac(□)</w:instrText>
            </w:r>
            <w:r>
              <w:rPr>
                <w:rFonts w:hint="eastAsia" w:asciiTheme="minorEastAsia" w:hAnsiTheme="minorEastAsia" w:eastAsiaTheme="minorEastAsia"/>
              </w:rPr>
              <w:fldChar w:fldCharType="end"/>
            </w:r>
            <w:r>
              <w:rPr>
                <w:rFonts w:hint="eastAsia" w:asciiTheme="minorEastAsia" w:hAnsiTheme="minorEastAsia" w:eastAsiaTheme="minorEastAsia"/>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Theme="minorEastAsia" w:hAnsiTheme="minorEastAsia" w:eastAsiaTheme="minorEastAsia" w:cstheme="minorEastAsia"/>
                <w:b/>
                <w:sz w:val="22"/>
              </w:rPr>
            </w:pPr>
            <w:r>
              <w:rPr>
                <w:rFonts w:hint="eastAsia" w:asciiTheme="minorEastAsia" w:hAnsiTheme="minorEastAsia" w:eastAsiaTheme="minorEastAsia" w:cstheme="minorEastAsia"/>
                <w:b/>
                <w:bCs/>
                <w:sz w:val="22"/>
              </w:rPr>
              <w:t>信用记录甄别</w:t>
            </w:r>
          </w:p>
        </w:tc>
        <w:tc>
          <w:tcPr>
            <w:tcW w:w="7708" w:type="dxa"/>
            <w:tcBorders>
              <w:right w:val="double" w:color="auto" w:sz="4" w:space="0"/>
            </w:tcBorders>
            <w:vAlign w:val="center"/>
          </w:tcPr>
          <w:p>
            <w:pPr>
              <w:adjustRightInd w:val="0"/>
              <w:snapToGrid w:val="0"/>
              <w:spacing w:line="320" w:lineRule="exact"/>
              <w:rPr>
                <w:rFonts w:asciiTheme="minorEastAsia" w:hAnsiTheme="minorEastAsia" w:eastAsiaTheme="minorEastAsia" w:cstheme="minorEastAsia"/>
                <w:b/>
                <w:sz w:val="22"/>
              </w:rPr>
            </w:pPr>
            <w:r>
              <w:rPr>
                <w:rFonts w:hint="eastAsia" w:asciiTheme="minorEastAsia" w:hAnsiTheme="minorEastAsia" w:eastAsiaTheme="minorEastAsia" w:cstheme="minorEastAsia"/>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adjustRightInd w:val="0"/>
              <w:snapToGrid w:val="0"/>
              <w:spacing w:before="0" w:line="300" w:lineRule="exact"/>
              <w:rPr>
                <w:rFonts w:asciiTheme="minorEastAsia" w:hAnsiTheme="minorEastAsia" w:eastAsiaTheme="minorEastAsia" w:cstheme="minorEastAsia"/>
                <w:b/>
                <w:bCs/>
                <w:sz w:val="22"/>
              </w:rPr>
            </w:pPr>
            <w:r>
              <w:rPr>
                <w:rFonts w:hint="eastAsia" w:asciiTheme="minorEastAsia" w:hAnsiTheme="minorEastAsia" w:eastAsiaTheme="minorEastAsia" w:cstheme="minorEastAsia"/>
                <w:sz w:val="22"/>
                <w:szCs w:val="22"/>
              </w:rPr>
              <w:t>小型、微型企业扶政策</w:t>
            </w:r>
          </w:p>
        </w:tc>
        <w:tc>
          <w:tcPr>
            <w:tcW w:w="7708" w:type="dxa"/>
            <w:tcBorders>
              <w:right w:val="double" w:color="auto" w:sz="4" w:space="0"/>
            </w:tcBorders>
            <w:vAlign w:val="center"/>
          </w:tcPr>
          <w:p>
            <w:pPr>
              <w:adjustRightInd w:val="0"/>
              <w:snapToGrid w:val="0"/>
              <w:spacing w:line="320" w:lineRule="exac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小、微企业价格扣除扶持政策：本项目在报价分评审时依据《政府采购促进中小企业发展管理办法》（财库〔2020〕46号）相关规定，对小型和微型企业给予价格优惠扶持，用扣除后的价格参与评审，具体规定见“第六部分评标办法”。</w:t>
            </w:r>
          </w:p>
          <w:p>
            <w:pPr>
              <w:adjustRightInd w:val="0"/>
              <w:snapToGrid w:val="0"/>
              <w:spacing w:line="320" w:lineRule="exact"/>
              <w:ind w:firstLine="440" w:firstLineChars="20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sz w:val="22"/>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号）规定的“残疾人福利性单位”，参照小、微企业给予相同价格优惠扶持，用扣除后的价格参与评审，具体规定见“第六部分评标办法”。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snapToGrid w:val="0"/>
              <w:spacing w:line="400" w:lineRule="atLeast"/>
              <w:rPr>
                <w:rFonts w:ascii="宋体" w:hAnsi="宋体"/>
                <w:sz w:val="22"/>
                <w:szCs w:val="22"/>
              </w:rPr>
            </w:pPr>
            <w:r>
              <w:rPr>
                <w:rFonts w:hint="eastAsia" w:ascii="宋体" w:hAnsi="宋体"/>
                <w:sz w:val="22"/>
                <w:szCs w:val="22"/>
              </w:rPr>
              <w:t>支持创新发展</w:t>
            </w:r>
          </w:p>
        </w:tc>
        <w:tc>
          <w:tcPr>
            <w:tcW w:w="7708" w:type="dxa"/>
            <w:tcBorders>
              <w:right w:val="double" w:color="auto" w:sz="4" w:space="0"/>
            </w:tcBorders>
          </w:tcPr>
          <w:p>
            <w:pPr>
              <w:pStyle w:val="12"/>
              <w:snapToGrid w:val="0"/>
              <w:spacing w:line="400" w:lineRule="atLeast"/>
              <w:rPr>
                <w:rFonts w:ascii="宋体" w:hAnsi="宋体"/>
                <w:sz w:val="22"/>
                <w:szCs w:val="22"/>
              </w:rPr>
            </w:pPr>
            <w:r>
              <w:rPr>
                <w:rFonts w:hint="eastAsia" w:ascii="宋体" w:hAnsi="宋体"/>
                <w:sz w:val="22"/>
                <w:szCs w:val="22"/>
              </w:rPr>
              <w:t>（</w:t>
            </w:r>
            <w:r>
              <w:rPr>
                <w:rFonts w:ascii="宋体" w:hAnsi="宋体"/>
                <w:sz w:val="22"/>
                <w:szCs w:val="22"/>
              </w:rPr>
              <w:t>1）采购人优先采购被认定为首台套产品和“制造精品”的自主创新产品。</w:t>
            </w:r>
          </w:p>
          <w:p>
            <w:pPr>
              <w:pStyle w:val="12"/>
              <w:snapToGrid w:val="0"/>
              <w:spacing w:before="0" w:line="400" w:lineRule="atLeast"/>
              <w:rPr>
                <w:rFonts w:ascii="宋体" w:hAnsi="宋体"/>
                <w:kern w:val="0"/>
                <w:sz w:val="22"/>
                <w:szCs w:val="22"/>
              </w:rPr>
            </w:pPr>
            <w:r>
              <w:rPr>
                <w:rFonts w:hint="eastAsia" w:ascii="宋体" w:hAnsi="宋体"/>
                <w:sz w:val="22"/>
                <w:szCs w:val="22"/>
              </w:rPr>
              <w:t>（</w:t>
            </w:r>
            <w:r>
              <w:rPr>
                <w:rFonts w:ascii="宋体" w:hAnsi="宋体"/>
                <w:sz w:val="22"/>
                <w:szCs w:val="22"/>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2"/>
              <w:spacing w:before="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线上电子招标相关要求</w:t>
            </w:r>
          </w:p>
        </w:tc>
        <w:tc>
          <w:tcPr>
            <w:tcW w:w="7708" w:type="dxa"/>
            <w:tcBorders>
              <w:right w:val="double" w:color="auto" w:sz="4" w:space="0"/>
            </w:tcBorders>
            <w:vAlign w:val="center"/>
          </w:tcPr>
          <w:p>
            <w:pPr>
              <w:snapToGrid w:val="0"/>
              <w:rPr>
                <w:rFonts w:asciiTheme="minorEastAsia" w:hAnsiTheme="minorEastAsia" w:eastAsiaTheme="minorEastAsia"/>
                <w:sz w:val="22"/>
              </w:rPr>
            </w:pPr>
            <w:r>
              <w:rPr>
                <w:rFonts w:hint="eastAsia" w:asciiTheme="minorEastAsia" w:hAnsiTheme="minorEastAsia" w:eastAsiaTheme="minorEastAsia"/>
                <w:b/>
                <w:sz w:val="22"/>
              </w:rPr>
              <w:t>1、投标文件的编制：</w:t>
            </w:r>
            <w:r>
              <w:rPr>
                <w:rFonts w:hint="eastAsia" w:asciiTheme="minorEastAsia" w:hAnsiTheme="minorEastAsia" w:eastAsiaTheme="minorEastAsia"/>
                <w:sz w:val="22"/>
              </w:rPr>
              <w:t>供应商应先安装“政采云电子交易客户端”，并按照本招标文件和“政府采购云平台”的要求，通过“政采云电子交易客户端”编制并加密投标文件。</w:t>
            </w:r>
          </w:p>
          <w:p>
            <w:pPr>
              <w:snapToGrid w:val="0"/>
              <w:rPr>
                <w:rFonts w:asciiTheme="minorEastAsia" w:hAnsiTheme="minorEastAsia" w:eastAsiaTheme="minorEastAsia"/>
                <w:sz w:val="22"/>
              </w:rPr>
            </w:pPr>
            <w:r>
              <w:rPr>
                <w:rFonts w:hint="eastAsia" w:asciiTheme="minorEastAsia" w:hAnsiTheme="minorEastAsia" w:eastAsiaTheme="minorEastAsia"/>
                <w:b/>
                <w:sz w:val="22"/>
              </w:rPr>
              <w:t>2、投标文件的签章：</w:t>
            </w:r>
            <w:r>
              <w:rPr>
                <w:rFonts w:hint="eastAsia" w:asciiTheme="minorEastAsia" w:hAnsiTheme="minorEastAsia" w:eastAsiaTheme="minorEastAsia"/>
                <w:sz w:val="22"/>
              </w:rPr>
              <w:t>电子签章。</w:t>
            </w:r>
            <w:r>
              <w:rPr>
                <w:rFonts w:hint="eastAsia" w:asciiTheme="minorEastAsia" w:hAnsiTheme="minorEastAsia" w:eastAsiaTheme="minorEastAsia"/>
                <w:color w:val="000000"/>
                <w:sz w:val="22"/>
              </w:rPr>
              <w:t>采购文件所指的加盖单位公章为电子签章。投标响应文件须按采购文件格式要求，由供应商加盖单位公章和法定代表人或其授权代表印章（或签字）。</w:t>
            </w:r>
          </w:p>
          <w:p>
            <w:pPr>
              <w:snapToGrid w:val="0"/>
              <w:rPr>
                <w:rFonts w:cs="宋体" w:asciiTheme="minorEastAsia" w:hAnsiTheme="minorEastAsia" w:eastAsiaTheme="minorEastAsia"/>
                <w:b/>
                <w:bCs/>
                <w:color w:val="000000"/>
                <w:sz w:val="22"/>
                <w:lang w:bidi="ar"/>
              </w:rPr>
            </w:pPr>
            <w:r>
              <w:rPr>
                <w:rFonts w:hint="eastAsia" w:asciiTheme="minorEastAsia" w:hAnsiTheme="minorEastAsia" w:eastAsiaTheme="minorEastAsia"/>
                <w:b/>
                <w:sz w:val="22"/>
              </w:rPr>
              <w:t>3、</w:t>
            </w:r>
            <w:r>
              <w:rPr>
                <w:rFonts w:hint="eastAsia" w:cs="宋体" w:asciiTheme="minorEastAsia" w:hAnsiTheme="minorEastAsia" w:eastAsiaTheme="minorEastAsia"/>
                <w:b/>
                <w:bCs/>
                <w:color w:val="000000"/>
                <w:sz w:val="22"/>
                <w:lang w:bidi="ar"/>
              </w:rPr>
              <w:t>投标文件的上传和递交：</w:t>
            </w:r>
          </w:p>
          <w:p>
            <w:pPr>
              <w:snapToGrid w:val="0"/>
              <w:rPr>
                <w:rFonts w:asciiTheme="minorEastAsia" w:hAnsiTheme="minorEastAsia" w:eastAsiaTheme="minorEastAsia"/>
                <w:sz w:val="22"/>
              </w:rPr>
            </w:pPr>
            <w:r>
              <w:rPr>
                <w:rFonts w:hint="eastAsia" w:asciiTheme="minorEastAsia" w:hAnsiTheme="minorEastAsia" w:eastAsiaTheme="minorEastAsia"/>
                <w:sz w:val="22"/>
              </w:rPr>
              <w:t>（1）“电子加密投标文件”的上传、递交：</w:t>
            </w:r>
          </w:p>
          <w:p>
            <w:pPr>
              <w:snapToGrid w:val="0"/>
              <w:rPr>
                <w:rFonts w:asciiTheme="minorEastAsia" w:hAnsiTheme="minorEastAsia" w:eastAsiaTheme="minorEastAsia"/>
                <w:sz w:val="22"/>
              </w:rPr>
            </w:pPr>
            <w:r>
              <w:rPr>
                <w:rFonts w:hint="eastAsia" w:asciiTheme="minorEastAsia" w:hAnsiTheme="minorEastAsia" w:eastAsiaTheme="minorEastAsia"/>
                <w:sz w:val="22"/>
              </w:rPr>
              <w:t>a.投标供应商应在投标截止时间前将“电子加密投标文件”成功上传递交至“政府采购云平台”，否则投标无效。</w:t>
            </w:r>
          </w:p>
          <w:p>
            <w:pPr>
              <w:snapToGrid w:val="0"/>
              <w:rPr>
                <w:rFonts w:asciiTheme="minorEastAsia" w:hAnsiTheme="minorEastAsia" w:eastAsiaTheme="minorEastAsia"/>
                <w:sz w:val="22"/>
              </w:rPr>
            </w:pPr>
            <w:r>
              <w:rPr>
                <w:rFonts w:hint="eastAsia" w:asciiTheme="minorEastAsia" w:hAnsiTheme="minorEastAsia" w:eastAsiaTheme="minorEastAsia"/>
                <w:sz w:val="22"/>
              </w:rPr>
              <w:t>b.“电子加密投标文件”成功上传递交后，供应商可自行打印投标文件接收回执。</w:t>
            </w:r>
          </w:p>
          <w:p>
            <w:pPr>
              <w:snapToGrid w:val="0"/>
              <w:rPr>
                <w:rFonts w:asciiTheme="minorEastAsia" w:hAnsiTheme="minorEastAsia" w:eastAsiaTheme="minorEastAsia"/>
                <w:sz w:val="22"/>
              </w:rPr>
            </w:pPr>
            <w:r>
              <w:rPr>
                <w:rFonts w:hint="eastAsia" w:asciiTheme="minorEastAsia" w:hAnsiTheme="minorEastAsia" w:eastAsiaTheme="minorEastAsia"/>
                <w:sz w:val="22"/>
              </w:rPr>
              <w:t>（2）“备份投标文件”的密封包装、递交：</w:t>
            </w:r>
          </w:p>
          <w:p>
            <w:pPr>
              <w:snapToGrid w:val="0"/>
              <w:rPr>
                <w:rFonts w:asciiTheme="minorEastAsia" w:hAnsiTheme="minorEastAsia" w:eastAsiaTheme="minorEastAsia"/>
                <w:sz w:val="22"/>
              </w:rPr>
            </w:pPr>
            <w:r>
              <w:rPr>
                <w:rFonts w:hint="eastAsia" w:asciiTheme="minorEastAsia" w:hAnsiTheme="minorEastAsia" w:eastAsiaTheme="minorEastAsia"/>
                <w:sz w:val="22"/>
              </w:rPr>
              <w:t>a.投标供应商在“政府采购云平台”完成“电子加密投标文件”的上传递交后，还可以（</w:t>
            </w:r>
            <w:r>
              <w:rPr>
                <w:rFonts w:hint="eastAsia" w:asciiTheme="minorEastAsia" w:hAnsiTheme="minorEastAsia" w:eastAsiaTheme="minorEastAsia"/>
                <w:sz w:val="22"/>
                <w:szCs w:val="22"/>
              </w:rPr>
              <w:t>当面送达由代理单位签收或采用邮寄形式由代理单位签收</w:t>
            </w:r>
            <w:r>
              <w:rPr>
                <w:rFonts w:hint="eastAsia" w:asciiTheme="minorEastAsia" w:hAnsiTheme="minorEastAsia" w:eastAsiaTheme="minorEastAsia"/>
                <w:sz w:val="22"/>
              </w:rPr>
              <w:t>）在投标截止时间前递交以介质（U盘）存储的 “备份投标文件”（一份）；</w:t>
            </w:r>
          </w:p>
          <w:p>
            <w:pPr>
              <w:snapToGrid w:val="0"/>
              <w:rPr>
                <w:rFonts w:asciiTheme="minorEastAsia" w:hAnsiTheme="minorEastAsia" w:eastAsiaTheme="minorEastAsia"/>
                <w:sz w:val="22"/>
              </w:rPr>
            </w:pPr>
            <w:r>
              <w:rPr>
                <w:rFonts w:hint="eastAsia" w:asciiTheme="minorEastAsia" w:hAnsiTheme="minorEastAsia" w:eastAsiaTheme="minorEastAsia"/>
                <w:sz w:val="22"/>
              </w:rPr>
              <w:t>b.“备份投标文件”应当密封包装，并在包装上标注投标项目名称、投标单位名称并加盖公章。没有密封包装或者逾期送达至投标地点的“备份投标文件”将不予接收；</w:t>
            </w:r>
          </w:p>
          <w:p>
            <w:pPr>
              <w:snapToGrid w:val="0"/>
              <w:rPr>
                <w:rFonts w:asciiTheme="minorEastAsia" w:hAnsiTheme="minorEastAsia" w:eastAsiaTheme="minorEastAsia"/>
                <w:sz w:val="22"/>
              </w:rPr>
            </w:pPr>
            <w:r>
              <w:rPr>
                <w:rFonts w:hint="eastAsia" w:asciiTheme="minorEastAsia" w:hAnsiTheme="minorEastAsia" w:eastAsiaTheme="minorEastAsia"/>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9"/>
              <w:rPr>
                <w:rFonts w:cs="宋体" w:asciiTheme="minorEastAsia" w:hAnsiTheme="minorEastAsia" w:eastAsiaTheme="minorEastAsia"/>
                <w:b/>
                <w:bCs/>
                <w:color w:val="000000"/>
                <w:sz w:val="22"/>
                <w:lang w:bidi="ar"/>
              </w:rPr>
            </w:pPr>
            <w:r>
              <w:rPr>
                <w:rFonts w:hint="eastAsia" w:asciiTheme="minorEastAsia" w:hAnsiTheme="minorEastAsia" w:eastAsiaTheme="minorEastAsia"/>
                <w:b/>
                <w:sz w:val="22"/>
              </w:rPr>
              <w:t>4、</w:t>
            </w:r>
            <w:r>
              <w:rPr>
                <w:rFonts w:hint="eastAsia" w:cs="宋体" w:asciiTheme="minorEastAsia" w:hAnsiTheme="minorEastAsia" w:eastAsiaTheme="minorEastAsia"/>
                <w:b/>
                <w:bCs/>
                <w:color w:val="000000"/>
                <w:sz w:val="22"/>
                <w:lang w:bidi="ar"/>
              </w:rPr>
              <w:t>电子加密投标文件的解密和异常情况处理：</w:t>
            </w:r>
          </w:p>
          <w:p>
            <w:pPr>
              <w:snapToGrid w:val="0"/>
              <w:rPr>
                <w:rFonts w:asciiTheme="minorEastAsia" w:hAnsiTheme="minorEastAsia" w:eastAsiaTheme="minorEastAsia"/>
                <w:sz w:val="22"/>
              </w:rPr>
            </w:pPr>
            <w:r>
              <w:rPr>
                <w:rFonts w:hint="eastAsia" w:asciiTheme="minorEastAsia" w:hAnsiTheme="minorEastAsia" w:eastAsiaTheme="minorEastAsia"/>
                <w:sz w:val="22"/>
              </w:rPr>
              <w:t>（1）开标后，采购组织机构将向各投标供应商发出“电子加密投标文件”的解密通知，各投标供应商代表应当在接到解密通知后30分钟内自行完成“电子加密投标文件”的在线解密。</w:t>
            </w:r>
          </w:p>
          <w:p>
            <w:pPr>
              <w:snapToGrid w:val="0"/>
              <w:rPr>
                <w:rFonts w:asciiTheme="minorEastAsia" w:hAnsiTheme="minorEastAsia" w:eastAsiaTheme="minorEastAsia"/>
                <w:sz w:val="22"/>
              </w:rPr>
            </w:pPr>
            <w:r>
              <w:rPr>
                <w:rFonts w:hint="eastAsia" w:asciiTheme="minorEastAsia" w:hAnsiTheme="minorEastAsia" w:eastAsiaTheme="minorEastAsia"/>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Theme="minorEastAsia" w:hAnsiTheme="minorEastAsia" w:eastAsiaTheme="minorEastAsia" w:cstheme="minorEastAsia"/>
                <w:sz w:val="18"/>
                <w:szCs w:val="18"/>
                <w:lang w:bidi="ar"/>
              </w:rPr>
            </w:pPr>
            <w:r>
              <w:rPr>
                <w:rFonts w:hint="eastAsia" w:asciiTheme="minorEastAsia" w:hAnsiTheme="minorEastAsia" w:eastAsiaTheme="minorEastAsia"/>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2"/>
              <w:adjustRightInd w:val="0"/>
              <w:snapToGrid w:val="0"/>
              <w:spacing w:before="0" w:line="3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br w:type="page"/>
      </w:r>
      <w:r>
        <w:rPr>
          <w:rFonts w:hint="eastAsia" w:asciiTheme="minorEastAsia" w:hAnsiTheme="minorEastAsia" w:eastAsiaTheme="minorEastAsia" w:cstheme="minorEastAsia"/>
          <w:sz w:val="36"/>
        </w:rPr>
        <w:t>采购文件目录</w:t>
      </w:r>
    </w:p>
    <w:p>
      <w:pPr>
        <w:autoSpaceDE w:val="0"/>
        <w:autoSpaceDN w:val="0"/>
        <w:snapToGrid w:val="0"/>
        <w:spacing w:line="440" w:lineRule="atLeast"/>
        <w:textAlignment w:val="bottom"/>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autoSpaceDE w:val="0"/>
        <w:autoSpaceDN w:val="0"/>
        <w:snapToGrid w:val="0"/>
        <w:spacing w:line="440" w:lineRule="atLeast"/>
        <w:ind w:firstLine="325" w:firstLineChars="148"/>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第一部分、项目简介</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第二部分</w:t>
      </w:r>
      <w:bookmarkStart w:id="3" w:name="OLE_LINK35"/>
      <w:r>
        <w:rPr>
          <w:rFonts w:hint="eastAsia" w:asciiTheme="minorEastAsia" w:hAnsiTheme="minorEastAsia" w:eastAsiaTheme="minorEastAsia" w:cstheme="minorEastAsia"/>
          <w:sz w:val="22"/>
          <w:szCs w:val="22"/>
        </w:rPr>
        <w:t>、</w:t>
      </w:r>
      <w:bookmarkEnd w:id="3"/>
      <w:r>
        <w:rPr>
          <w:rFonts w:hint="eastAsia" w:asciiTheme="minorEastAsia" w:hAnsiTheme="minorEastAsia" w:eastAsiaTheme="minorEastAsia" w:cstheme="minorEastAsia"/>
          <w:sz w:val="22"/>
          <w:szCs w:val="22"/>
        </w:rPr>
        <w:t>招标内容及技术要求</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第三部分、供应商须知</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一、说明</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二、供应商资格要求</w:t>
      </w:r>
    </w:p>
    <w:p>
      <w:pPr>
        <w:autoSpaceDE w:val="0"/>
        <w:autoSpaceDN w:val="0"/>
        <w:snapToGrid w:val="0"/>
        <w:spacing w:line="440" w:lineRule="atLeast"/>
        <w:ind w:firstLine="1419" w:firstLineChars="645"/>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三、招标文件</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四、投标文件</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五、投标文件的递交</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六、开标和评标</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七、授予合同</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第四部分、合同格式</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第五部分、附件：投标文件格式</w:t>
      </w: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sz w:val="22"/>
          <w:szCs w:val="22"/>
        </w:rPr>
      </w:pPr>
      <w:bookmarkStart w:id="4" w:name="OLE_LINK36"/>
      <w:r>
        <w:rPr>
          <w:rFonts w:hint="eastAsia" w:asciiTheme="minorEastAsia" w:hAnsiTheme="minorEastAsia" w:eastAsiaTheme="minorEastAsia" w:cstheme="minorEastAsia"/>
          <w:sz w:val="22"/>
          <w:szCs w:val="22"/>
        </w:rPr>
        <w:t>第六部分</w:t>
      </w:r>
      <w:bookmarkEnd w:id="4"/>
      <w:r>
        <w:rPr>
          <w:rFonts w:hint="eastAsia" w:asciiTheme="minorEastAsia" w:hAnsiTheme="minorEastAsia" w:eastAsiaTheme="minorEastAsia" w:cstheme="minorEastAsia"/>
          <w:sz w:val="22"/>
          <w:szCs w:val="22"/>
        </w:rPr>
        <w:t>、评标办法</w:t>
      </w: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FF0000"/>
          <w:sz w:val="22"/>
          <w:szCs w:val="22"/>
        </w:rPr>
        <w:t xml:space="preserve"> </w:t>
      </w:r>
    </w:p>
    <w:p>
      <w:pPr>
        <w:autoSpaceDE w:val="0"/>
        <w:autoSpaceDN w:val="0"/>
        <w:snapToGrid w:val="0"/>
        <w:spacing w:line="440" w:lineRule="atLeast"/>
        <w:textAlignment w:val="bottom"/>
        <w:rPr>
          <w:rFonts w:asciiTheme="minorEastAsia" w:hAnsiTheme="minorEastAsia" w:eastAsiaTheme="minorEastAsia" w:cstheme="minorEastAsia"/>
          <w:sz w:val="22"/>
          <w:szCs w:val="22"/>
        </w:rPr>
      </w:pPr>
    </w:p>
    <w:p>
      <w:pPr>
        <w:autoSpaceDE w:val="0"/>
        <w:autoSpaceDN w:val="0"/>
        <w:snapToGrid w:val="0"/>
        <w:spacing w:line="440" w:lineRule="atLeast"/>
        <w:ind w:firstLine="440" w:firstLineChars="200"/>
        <w:textAlignment w:val="bottom"/>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Theme="minorEastAsia" w:hAnsiTheme="minorEastAsia" w:eastAsiaTheme="minorEastAsia" w:cstheme="minorEastAsia"/>
          <w:sz w:val="22"/>
          <w:szCs w:val="22"/>
        </w:rPr>
      </w:pPr>
    </w:p>
    <w:p>
      <w:pPr>
        <w:autoSpaceDE w:val="0"/>
        <w:autoSpaceDN w:val="0"/>
        <w:adjustRightInd w:val="0"/>
        <w:snapToGrid w:val="0"/>
        <w:spacing w:line="460" w:lineRule="exact"/>
        <w:jc w:val="center"/>
        <w:textAlignment w:val="bottom"/>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br w:type="page"/>
      </w:r>
      <w:r>
        <w:rPr>
          <w:rFonts w:hint="eastAsia" w:asciiTheme="minorEastAsia" w:hAnsiTheme="minorEastAsia" w:eastAsiaTheme="minorEastAsia" w:cstheme="minorEastAsia"/>
          <w:b/>
          <w:color w:val="000000"/>
          <w:sz w:val="32"/>
          <w:szCs w:val="32"/>
        </w:rPr>
        <w:t>第一部分   项目简介</w:t>
      </w:r>
    </w:p>
    <w:p>
      <w:pPr>
        <w:pStyle w:val="29"/>
        <w:adjustRightInd w:val="0"/>
        <w:snapToGrid w:val="0"/>
        <w:spacing w:line="400" w:lineRule="exact"/>
        <w:ind w:firstLine="0" w:firstLineChars="0"/>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一、项目简介</w:t>
      </w:r>
    </w:p>
    <w:p>
      <w:pPr>
        <w:snapToGrid w:val="0"/>
        <w:spacing w:line="400" w:lineRule="exact"/>
        <w:ind w:firstLine="541" w:firstLineChars="246"/>
        <w:rPr>
          <w:rFonts w:asciiTheme="minorEastAsia" w:hAnsiTheme="minorEastAsia" w:eastAsiaTheme="minorEastAsia" w:cstheme="minorEastAsia"/>
          <w:color w:val="000000"/>
          <w:sz w:val="22"/>
          <w:szCs w:val="22"/>
        </w:rPr>
      </w:pPr>
      <w:bookmarkStart w:id="5" w:name="_Toc462304127"/>
      <w:r>
        <w:rPr>
          <w:rFonts w:hint="eastAsia" w:asciiTheme="minorEastAsia" w:hAnsiTheme="minorEastAsia" w:eastAsiaTheme="minorEastAsia" w:cstheme="minorEastAsia"/>
          <w:color w:val="000000"/>
          <w:sz w:val="22"/>
          <w:szCs w:val="22"/>
        </w:rPr>
        <w:t>浙江天诚工程咨询有限公司受龙港市综合行政执法局委托</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对</w:t>
      </w:r>
      <w:r>
        <w:rPr>
          <w:rFonts w:hint="eastAsia" w:asciiTheme="minorEastAsia" w:hAnsiTheme="minorEastAsia" w:eastAsiaTheme="minorEastAsia" w:cstheme="minorEastAsia"/>
          <w:b/>
          <w:sz w:val="22"/>
          <w:szCs w:val="22"/>
        </w:rPr>
        <w:t>龙港市垃圾房智能化监管设备采购项目</w:t>
      </w:r>
      <w:r>
        <w:rPr>
          <w:rFonts w:hint="eastAsia" w:asciiTheme="minorEastAsia" w:hAnsiTheme="minorEastAsia" w:eastAsiaTheme="minorEastAsia" w:cstheme="minorEastAsia"/>
          <w:color w:val="000000"/>
          <w:sz w:val="22"/>
          <w:szCs w:val="22"/>
        </w:rPr>
        <w:t>进行公开招标采购，本次招标的资金已经落实。</w:t>
      </w:r>
      <w:r>
        <w:rPr>
          <w:rFonts w:hint="eastAsia" w:asciiTheme="minorEastAsia" w:hAnsiTheme="minorEastAsia" w:eastAsiaTheme="minorEastAsia" w:cstheme="minorEastAsia"/>
          <w:sz w:val="22"/>
          <w:szCs w:val="22"/>
        </w:rPr>
        <w:t>欢迎有资格及能力的供应商参与投标</w:t>
      </w:r>
      <w:r>
        <w:rPr>
          <w:rFonts w:hint="eastAsia" w:asciiTheme="minorEastAsia" w:hAnsiTheme="minorEastAsia" w:eastAsiaTheme="minorEastAsia" w:cstheme="minorEastAsia"/>
          <w:color w:val="000000"/>
          <w:sz w:val="22"/>
          <w:szCs w:val="22"/>
        </w:rPr>
        <w:t>。</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落实党中央、国务院决策部署，加快补齐生活垃圾分类和处理设施短板弱项，日前，国家发展改革委、住房城乡建设部、生态环境部联合印发了《城镇生活垃圾分类和处理设施补短板强弱项实施方案》（以下简称《实施方案》），重点围绕推进垃圾分类投放、分类收集、分类运输、分类处理设施建设进行部署。</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提出，加快生活垃圾分类投放、分类收集、分类运输、分类处理设施建设，补齐处理能力缺口，健全城镇环境基础设施，改善生态环境，提升治理能力现代化，推动形成与经济社会发展相适应的生活垃圾分类和处理体系。到2023年，推动具备条件的地级以上城市基本建成分类投放、分类收集、分类运输、分类处理的生活垃圾分类处理系统，全国生活垃圾焚烧处理能力大幅提升，生活垃圾处理系统进一步完善，生活垃圾收集转运体系逐步健全。</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确定了加快完善生活垃圾分类收集和分类运输体系、大力提升垃圾焚烧处理能力、合理规划建设生活垃圾填埋场、因地制宜推进厨余垃圾处理设施建设等方面的重点任务，提出了强化资金支持、创新融资模式、完善收费机制、加大宣传力度等方面的政策保障。</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实施方案》要求，各地区、各部门要加强组织领导，对现有垃圾分类和处理设施短板弱项进行摸查，梳理设施建设需求，明确建设目标和建设任务，按职责细化工作举措，形成工作合力，共同推进生活垃圾分类和处理设施建设。</w:t>
      </w:r>
    </w:p>
    <w:p>
      <w:pPr>
        <w:snapToGrid w:val="0"/>
        <w:spacing w:line="400" w:lineRule="exact"/>
        <w:ind w:firstLine="541" w:firstLineChars="246"/>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龙港智能垃圾站智能化改造提升，是支撑全市数字化改革，助力数字温州改革先行市的需要，是进一步提升城市治理水平的需要，是促进城市高效绿色发展，是实施城市科学决策，加快推进城市管理精细化的需要。龙港市已建</w:t>
      </w:r>
      <w:r>
        <w:rPr>
          <w:rFonts w:hint="eastAsia" w:asciiTheme="minorEastAsia" w:hAnsiTheme="minorEastAsia" w:eastAsiaTheme="minorEastAsia" w:cstheme="minorEastAsia"/>
          <w:color w:val="000000"/>
          <w:sz w:val="22"/>
          <w:szCs w:val="22"/>
          <w:lang w:val="en-US" w:eastAsia="zh-CN"/>
        </w:rPr>
        <w:t>119</w:t>
      </w:r>
      <w:r>
        <w:rPr>
          <w:rFonts w:hint="eastAsia" w:asciiTheme="minorEastAsia" w:hAnsiTheme="minorEastAsia" w:eastAsiaTheme="minorEastAsia" w:cstheme="minorEastAsia"/>
          <w:color w:val="000000"/>
          <w:sz w:val="22"/>
          <w:szCs w:val="22"/>
        </w:rPr>
        <w:t>座定时定点垃圾投放驿站，本次新建</w:t>
      </w:r>
      <w:r>
        <w:rPr>
          <w:rFonts w:hint="eastAsia" w:asciiTheme="minorEastAsia" w:hAnsiTheme="minorEastAsia" w:eastAsiaTheme="minorEastAsia" w:cstheme="minorEastAsia"/>
          <w:color w:val="000000"/>
          <w:sz w:val="22"/>
          <w:szCs w:val="22"/>
          <w:lang w:val="en-US" w:eastAsia="zh-CN"/>
        </w:rPr>
        <w:t>180</w:t>
      </w:r>
      <w:r>
        <w:rPr>
          <w:rFonts w:hint="eastAsia" w:asciiTheme="minorEastAsia" w:hAnsiTheme="minorEastAsia" w:eastAsiaTheme="minorEastAsia" w:cstheme="minorEastAsia"/>
          <w:color w:val="000000"/>
          <w:sz w:val="22"/>
          <w:szCs w:val="22"/>
        </w:rPr>
        <w:t>座，总计</w:t>
      </w:r>
      <w:r>
        <w:rPr>
          <w:rFonts w:hint="eastAsia" w:asciiTheme="minorEastAsia" w:hAnsiTheme="minorEastAsia" w:eastAsiaTheme="minorEastAsia" w:cstheme="minorEastAsia"/>
          <w:color w:val="000000"/>
          <w:sz w:val="22"/>
          <w:szCs w:val="22"/>
          <w:lang w:val="en-US" w:eastAsia="zh-CN"/>
        </w:rPr>
        <w:t>299</w:t>
      </w:r>
      <w:r>
        <w:rPr>
          <w:rFonts w:hint="eastAsia" w:asciiTheme="minorEastAsia" w:hAnsiTheme="minorEastAsia" w:eastAsiaTheme="minorEastAsia" w:cstheme="minorEastAsia"/>
          <w:color w:val="000000"/>
          <w:sz w:val="22"/>
          <w:szCs w:val="22"/>
        </w:rPr>
        <w:t>座，现将通过科学手段击破垃圾分类痛点，对垃圾房采取智能化监管运营。将垃圾房打造为龙港一道“美丽风景线”。</w:t>
      </w:r>
    </w:p>
    <w:p>
      <w:pPr>
        <w:pStyle w:val="33"/>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第二部分 招标内容及要求</w:t>
      </w:r>
      <w:bookmarkEnd w:id="5"/>
    </w:p>
    <w:p>
      <w:pPr>
        <w:snapToGrid w:val="0"/>
        <w:spacing w:line="460" w:lineRule="atLeast"/>
        <w:rPr>
          <w:rFonts w:asciiTheme="minorEastAsia" w:hAnsiTheme="minorEastAsia" w:eastAsiaTheme="minorEastAsia" w:cstheme="minorEastAsia"/>
          <w:sz w:val="22"/>
          <w:szCs w:val="22"/>
        </w:rPr>
      </w:pPr>
      <w:bookmarkStart w:id="6" w:name="_Toc157410883"/>
      <w:r>
        <w:rPr>
          <w:rFonts w:hint="eastAsia" w:asciiTheme="minorEastAsia" w:hAnsiTheme="minorEastAsia" w:eastAsiaTheme="minorEastAsia" w:cstheme="minorEastAsia"/>
          <w:sz w:val="22"/>
          <w:szCs w:val="22"/>
        </w:rPr>
        <w:t>一、采购总说明</w:t>
      </w:r>
    </w:p>
    <w:bookmarkEnd w:id="6"/>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1、本技术规范要求提出的是最低限度的基本技术要求，并未对所有技术细节作出规定，供应商应提供符合本技术要求和国家标准、行业标准的优质产品。</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供应商产品与本技术要求不一致时，供应商应在投标文件中予以说明，并由评标委员会鉴定供应商的产品能否达到要求。如供应商没有在投标文件中提出异议，则视为供应商提供的产品完全按照本招标文件要求。</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3、技术要求及标准的执行</w:t>
      </w:r>
    </w:p>
    <w:p>
      <w:pPr>
        <w:pStyle w:val="20"/>
        <w:adjustRightInd w:val="0"/>
        <w:snapToGrid w:val="0"/>
        <w:spacing w:line="460" w:lineRule="exact"/>
        <w:ind w:firstLine="482"/>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pStyle w:val="20"/>
        <w:numPr>
          <w:ilvl w:val="0"/>
          <w:numId w:val="2"/>
        </w:numPr>
        <w:adjustRightInd w:val="0"/>
        <w:snapToGrid w:val="0"/>
        <w:spacing w:line="4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pStyle w:val="20"/>
        <w:numPr>
          <w:ilvl w:val="0"/>
          <w:numId w:val="2"/>
        </w:numPr>
        <w:adjustRightInd w:val="0"/>
        <w:snapToGrid w:val="0"/>
        <w:spacing w:line="4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所投</w:t>
      </w:r>
      <w:r>
        <w:rPr>
          <w:rFonts w:hint="eastAsia" w:asciiTheme="minorEastAsia" w:hAnsiTheme="minorEastAsia" w:eastAsiaTheme="minorEastAsia" w:cstheme="minorEastAsia"/>
          <w:sz w:val="22"/>
          <w:szCs w:val="22"/>
          <w:lang w:eastAsia="zh-CN"/>
        </w:rPr>
        <w:t>智能化垃圾管理双光变焦相机</w:t>
      </w:r>
      <w:r>
        <w:rPr>
          <w:rFonts w:hint="eastAsia" w:asciiTheme="minorEastAsia" w:hAnsiTheme="minorEastAsia" w:eastAsiaTheme="minorEastAsia" w:cstheme="minorEastAsia"/>
          <w:sz w:val="22"/>
          <w:szCs w:val="22"/>
        </w:rPr>
        <w:t>、</w:t>
      </w:r>
      <w:r>
        <w:rPr>
          <w:rFonts w:hint="eastAsia" w:hAnsi="宋体" w:cs="宋体"/>
          <w:sz w:val="22"/>
          <w:szCs w:val="22"/>
        </w:rPr>
        <w:t>智能化垃圾满溢相机</w:t>
      </w:r>
      <w:r>
        <w:rPr>
          <w:rFonts w:hint="eastAsia" w:asciiTheme="minorEastAsia" w:hAnsiTheme="minorEastAsia" w:eastAsiaTheme="minorEastAsia" w:cstheme="minorEastAsia"/>
          <w:sz w:val="22"/>
          <w:szCs w:val="22"/>
        </w:rPr>
        <w:t>、车辆检测</w:t>
      </w:r>
      <w:r>
        <w:rPr>
          <w:rFonts w:hint="eastAsia" w:asciiTheme="minorEastAsia" w:hAnsiTheme="minorEastAsia" w:eastAsiaTheme="minorEastAsia" w:cstheme="minorEastAsia"/>
          <w:sz w:val="22"/>
          <w:szCs w:val="22"/>
          <w:lang w:val="en-US" w:eastAsia="zh-CN"/>
        </w:rPr>
        <w:t>网络相机</w:t>
      </w:r>
      <w:r>
        <w:rPr>
          <w:rFonts w:hint="eastAsia" w:asciiTheme="minorEastAsia" w:hAnsiTheme="minorEastAsia" w:eastAsiaTheme="minorEastAsia" w:cstheme="minorEastAsia"/>
          <w:sz w:val="22"/>
          <w:szCs w:val="22"/>
        </w:rPr>
        <w:t>、电感烟火灾探测报警器、POE交换机、外接音柱等需提供原厂授权及质保函。</w:t>
      </w:r>
    </w:p>
    <w:p>
      <w:pPr>
        <w:pStyle w:val="20"/>
        <w:numPr>
          <w:ilvl w:val="0"/>
          <w:numId w:val="2"/>
        </w:numPr>
        <w:adjustRightInd w:val="0"/>
        <w:snapToGrid w:val="0"/>
        <w:spacing w:line="460" w:lineRule="exact"/>
        <w:ind w:firstLine="440" w:firstLineChars="20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▲为便于后期运维管理，本期所建平台需无缝</w:t>
      </w:r>
      <w:r>
        <w:rPr>
          <w:rFonts w:hint="eastAsia" w:asciiTheme="minorEastAsia" w:hAnsiTheme="minorEastAsia" w:eastAsiaTheme="minorEastAsia" w:cstheme="minorEastAsia"/>
          <w:sz w:val="22"/>
          <w:szCs w:val="22"/>
          <w:lang w:val="en-US" w:eastAsia="zh-CN"/>
        </w:rPr>
        <w:t>接入</w:t>
      </w:r>
      <w:r>
        <w:rPr>
          <w:rFonts w:hint="eastAsia" w:asciiTheme="minorEastAsia" w:hAnsiTheme="minorEastAsia" w:eastAsiaTheme="minorEastAsia" w:cstheme="minorEastAsia"/>
          <w:sz w:val="22"/>
          <w:szCs w:val="22"/>
        </w:rPr>
        <w:t>已建垃圾房</w:t>
      </w:r>
      <w:r>
        <w:rPr>
          <w:rFonts w:hint="eastAsia" w:asciiTheme="minorEastAsia" w:hAnsiTheme="minorEastAsia" w:eastAsiaTheme="minorEastAsia" w:cstheme="minorEastAsia"/>
          <w:sz w:val="22"/>
          <w:szCs w:val="22"/>
          <w:lang w:val="en-US" w:eastAsia="zh-CN"/>
        </w:rPr>
        <w:t>前端相机</w:t>
      </w:r>
      <w:r>
        <w:rPr>
          <w:rFonts w:hint="eastAsia" w:asciiTheme="minorEastAsia" w:hAnsiTheme="minorEastAsia" w:eastAsiaTheme="minorEastAsia" w:cstheme="minorEastAsia"/>
          <w:sz w:val="22"/>
          <w:szCs w:val="22"/>
        </w:rPr>
        <w:t>设备及管理平台。</w:t>
      </w:r>
    </w:p>
    <w:p>
      <w:pPr>
        <w:numPr>
          <w:ilvl w:val="0"/>
          <w:numId w:val="3"/>
        </w:numPr>
        <w:adjustRightInd w:val="0"/>
        <w:snapToGrid w:val="0"/>
        <w:spacing w:line="460" w:lineRule="atLeast"/>
        <w:ind w:firstLine="420" w:firstLineChars="0"/>
        <w:rPr>
          <w:rFonts w:hint="eastAsia" w:ascii="宋体" w:cs="Times New Roman"/>
          <w:b/>
          <w:bCs w:val="0"/>
          <w:sz w:val="22"/>
          <w:szCs w:val="22"/>
          <w:lang w:val="en-US" w:eastAsia="zh-CN"/>
        </w:rPr>
      </w:pPr>
      <w:r>
        <w:rPr>
          <w:rFonts w:hint="eastAsia" w:ascii="宋体" w:cs="Times New Roman"/>
          <w:b/>
          <w:bCs w:val="0"/>
          <w:sz w:val="22"/>
          <w:szCs w:val="22"/>
          <w:lang w:val="en-US" w:eastAsia="zh-CN"/>
        </w:rPr>
        <w:t>项目主要建设内容</w:t>
      </w:r>
    </w:p>
    <w:tbl>
      <w:tblPr>
        <w:tblStyle w:val="3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1"/>
        <w:gridCol w:w="3818"/>
        <w:gridCol w:w="4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建设内容</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软件系统建设</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详见（一）软件采购清单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硬件建设</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详见（二）智慧垃圾站硬件清单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2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详见（三）其他</w:t>
            </w:r>
          </w:p>
        </w:tc>
      </w:tr>
    </w:tbl>
    <w:p>
      <w:pPr>
        <w:widowControl w:val="0"/>
        <w:numPr>
          <w:ilvl w:val="0"/>
          <w:numId w:val="0"/>
        </w:numPr>
        <w:adjustRightInd w:val="0"/>
        <w:snapToGrid w:val="0"/>
        <w:spacing w:line="460" w:lineRule="atLeast"/>
        <w:ind w:firstLine="420" w:firstLineChars="0"/>
        <w:jc w:val="both"/>
        <w:rPr>
          <w:rFonts w:hint="default" w:eastAsia="宋体"/>
          <w:lang w:val="en-US" w:eastAsia="zh-CN"/>
        </w:rPr>
      </w:pPr>
      <w:r>
        <w:rPr>
          <w:rFonts w:hint="eastAsia"/>
        </w:rPr>
        <w:t>本次软件系统建设依托原有智慧环卫系统进行升级新增功能，满足新的业务需求，利旧原有组件，原有系统已进行信创改造。</w:t>
      </w:r>
      <w:r>
        <w:rPr>
          <w:rFonts w:hint="eastAsia"/>
          <w:lang w:val="en-US" w:eastAsia="zh-CN"/>
        </w:rPr>
        <w:t>具体如下：</w:t>
      </w:r>
    </w:p>
    <w:p>
      <w:pPr>
        <w:widowControl w:val="0"/>
        <w:numPr>
          <w:ilvl w:val="0"/>
          <w:numId w:val="0"/>
        </w:numPr>
        <w:adjustRightInd w:val="0"/>
        <w:snapToGrid w:val="0"/>
        <w:spacing w:line="460" w:lineRule="atLeast"/>
        <w:jc w:val="both"/>
        <w:rPr>
          <w:rFonts w:hint="eastAsia" w:ascii="宋体" w:cs="Times New Roman"/>
          <w:b/>
          <w:bCs w:val="0"/>
          <w:sz w:val="22"/>
          <w:szCs w:val="22"/>
          <w:lang w:val="en-US" w:eastAsia="zh-CN"/>
        </w:rPr>
      </w:pPr>
      <w:r>
        <w:rPr>
          <w:rFonts w:hint="eastAsia" w:ascii="宋体" w:cs="Times New Roman"/>
          <w:b/>
          <w:bCs w:val="0"/>
          <w:sz w:val="22"/>
          <w:szCs w:val="22"/>
          <w:lang w:val="en-US" w:eastAsia="zh-CN"/>
        </w:rPr>
        <w:t>（一）软件采购清单</w:t>
      </w:r>
    </w:p>
    <w:tbl>
      <w:tblPr>
        <w:tblStyle w:val="36"/>
        <w:tblW w:w="104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1627"/>
        <w:gridCol w:w="1276"/>
        <w:gridCol w:w="2244"/>
        <w:gridCol w:w="3764"/>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tcBorders>
              <w:tl2br w:val="nil"/>
              <w:tr2bl w:val="nil"/>
            </w:tcBorders>
            <w:shd w:val="clear" w:color="auto" w:fill="FFFFFF"/>
            <w:noWrap/>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1627" w:type="dxa"/>
            <w:tcBorders>
              <w:tl2br w:val="nil"/>
              <w:tr2bl w:val="nil"/>
            </w:tcBorders>
            <w:shd w:val="clear" w:color="auto" w:fill="FFFFFF"/>
            <w:noWrap/>
            <w:vAlign w:val="center"/>
          </w:tcPr>
          <w:p>
            <w:pPr>
              <w:widowControl/>
              <w:jc w:val="center"/>
              <w:textAlignment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应用软件</w:t>
            </w:r>
          </w:p>
        </w:tc>
        <w:tc>
          <w:tcPr>
            <w:tcW w:w="3520" w:type="dxa"/>
            <w:gridSpan w:val="2"/>
            <w:tcBorders>
              <w:tl2br w:val="nil"/>
              <w:tr2bl w:val="nil"/>
            </w:tcBorders>
            <w:shd w:val="clear" w:color="auto" w:fill="FFFFFF"/>
            <w:noWrap/>
            <w:vAlign w:val="center"/>
          </w:tcPr>
          <w:p>
            <w:pPr>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功能模块</w:t>
            </w:r>
          </w:p>
        </w:tc>
        <w:tc>
          <w:tcPr>
            <w:tcW w:w="3764" w:type="dxa"/>
            <w:tcBorders>
              <w:tl2br w:val="nil"/>
              <w:tr2bl w:val="nil"/>
            </w:tcBorders>
            <w:shd w:val="clear" w:color="auto" w:fill="FFFFFF"/>
            <w:noWrap/>
            <w:vAlign w:val="center"/>
          </w:tcPr>
          <w:p>
            <w:pPr>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kern w:val="0"/>
                <w:szCs w:val="21"/>
                <w:lang w:bidi="ar"/>
              </w:rPr>
              <w:t>功能点计数项描述</w:t>
            </w:r>
          </w:p>
        </w:tc>
        <w:tc>
          <w:tcPr>
            <w:tcW w:w="788" w:type="dxa"/>
            <w:tcBorders>
              <w:tl2br w:val="nil"/>
              <w:tr2bl w:val="nil"/>
            </w:tcBorders>
            <w:shd w:val="clear" w:color="auto" w:fill="FFFFFF"/>
            <w:noWrap/>
            <w:vAlign w:val="center"/>
          </w:tcPr>
          <w:p>
            <w:pPr>
              <w:jc w:val="center"/>
              <w:rPr>
                <w:rFonts w:hint="eastAsia" w:asciiTheme="minorEastAsia" w:hAnsiTheme="minorEastAsia" w:eastAsiaTheme="minorEastAsia" w:cstheme="minorEastAsia"/>
                <w:bCs/>
                <w:color w:val="000000"/>
                <w:kern w:val="0"/>
                <w:szCs w:val="21"/>
                <w:lang w:val="en-US" w:eastAsia="zh-CN" w:bidi="ar"/>
              </w:rPr>
            </w:pPr>
            <w:r>
              <w:rPr>
                <w:rFonts w:hint="eastAsia" w:asciiTheme="minorEastAsia" w:hAnsiTheme="minorEastAsia" w:eastAsiaTheme="minorEastAsia" w:cstheme="minorEastAsia"/>
                <w:bCs/>
                <w:color w:val="000000"/>
                <w:kern w:val="0"/>
                <w:szCs w:val="21"/>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exact"/>
          <w:jc w:val="center"/>
        </w:trPr>
        <w:tc>
          <w:tcPr>
            <w:tcW w:w="724"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627"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基础信息配置平台</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摄像头管理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配置摄像头名称，设备编号等基础信息</w:t>
            </w:r>
          </w:p>
        </w:tc>
        <w:tc>
          <w:tcPr>
            <w:tcW w:w="788" w:type="dxa"/>
            <w:vMerge w:val="restart"/>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1套</w:t>
            </w:r>
          </w:p>
          <w:p>
            <w:pPr>
              <w:widowControl/>
              <w:jc w:val="left"/>
              <w:textAlignment w:val="center"/>
              <w:rPr>
                <w:rFonts w:hint="default" w:asciiTheme="minorEastAsia" w:hAnsiTheme="minorEastAsia" w:eastAsiaTheme="minorEastAsia" w:cstheme="minor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预警范围设置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配置摄像头预警范围位置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预警类型配置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配置摄像头满溢预警，违规停车预警等预警类型</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语音播报配置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配置摄像头语音播报内容</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预警方式设置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对接上级系统设置摄像头提醒用户垃圾投递准确的预警方式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给摄像头分配对应基础设置，一个摄像头只能绑定一个垃圾房。</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对接上级系统实时检测摄像头在线，离线状态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光电感烟火灾探测报警器管理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维护光电感烟火灾探测报警器：名称，设备编号，密钥等基础信息。可以根据名称或者垃圾房删选报警器信息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预警阈值配置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对接上级硬件，设置光电感烟火灾探测报警器烟火预警阈值</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给光电感烟火灾探测报警器配置所属垃圾房基础设施</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对接上级系统，实时拉取光电感烟火灾探测报警器在线，离线状态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臭气设备管理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基础信息维护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维护臭气设施基础：名称，设备编号，密钥等基础信息，可以根据名称或者所属垃圾房删选臭气设施信息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臭气阈值配置</w:t>
            </w:r>
          </w:p>
        </w:tc>
        <w:tc>
          <w:tcPr>
            <w:tcW w:w="3764" w:type="dxa"/>
            <w:tcBorders>
              <w:tl2br w:val="nil"/>
              <w:tr2bl w:val="nil"/>
            </w:tcBorders>
            <w:vAlign w:val="center"/>
          </w:tcPr>
          <w:p>
            <w:pP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配置垃圾房臭气设备预警阈值</w:t>
            </w:r>
          </w:p>
        </w:tc>
        <w:tc>
          <w:tcPr>
            <w:tcW w:w="788" w:type="dxa"/>
            <w:vMerge w:val="continue"/>
            <w:tcBorders>
              <w:tl2br w:val="nil"/>
              <w:tr2bl w:val="nil"/>
            </w:tcBorders>
            <w:vAlign w:val="center"/>
          </w:tcPr>
          <w:p>
            <w:pP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预警频率配置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配置垃圾房臭气设备，预警时间间隔</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绑定基础设施</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为臭气设施分配所属垃圾房</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设备状态检查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对接上级系统，实时更新垃圾房在线，离线状态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电话语音模块</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语音播报基础信息配置</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系统配置语音播报，账号，密码等基础信息</w:t>
            </w:r>
          </w:p>
          <w:p>
            <w:pPr>
              <w:widowControl/>
              <w:jc w:val="left"/>
              <w:textAlignment w:val="center"/>
              <w:rPr>
                <w:rFonts w:asciiTheme="minorEastAsia" w:hAnsiTheme="minorEastAsia" w:eastAsiaTheme="minorEastAsia" w:cstheme="minorEastAsia"/>
                <w:color w:val="000000"/>
                <w:kern w:val="0"/>
                <w:szCs w:val="21"/>
                <w:lang w:bidi="ar"/>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预警电话日志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对接上级系统，获取语音播报模块通知的日志数据，可以根据通知号码，时间段，跟进状态进行筛选</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语音播报模板配置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可以配置语音播报的模板信息，跟编码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语音模块状态监测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实时同步上级系统语音模块状态，到期时间等模块数据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短信模块</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短信基础信息配置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系统配置发送短信，账号，密码等基础信息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短信模板配置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配置短信发送具体内容，模板名称，模板编码等基础信息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短信发送日志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对接上级系统，获取短信模块通知的日志数据，可以根据通知号码，时间段，跟进状态进行删选</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短信异常处理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对发送失败的短信，可以手动操作进行重新发送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短信状态监测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实时同步上级系统语音模块状态，到期时间等模块数据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基础设施类型配置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配置基础设施类型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themeColor="text1"/>
                <w:szCs w:val="21"/>
                <w14:textFill>
                  <w14:solidFill>
                    <w14:schemeClr w14:val="tx1"/>
                  </w14:solidFill>
                </w14:textFill>
              </w:rPr>
              <w:t>配置基础设施类型信息，管理人员可以配置基础设施类型名称，图标类型描述并统计基础设施数据数量。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配置基础设施配置基础数据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维护垃圾房点位，名称，所属组织机构，地址，启用日期，垃圾房图片等基础信息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基础设施绑定硬件设备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给垃圾桶数据绑定摄像头，烟感告警设备，臭气设备等设备数据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前端设备增删绑定</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动态绑定上级系统数据，维护上级系统前端设备绑定关系</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统计报表统计垃圾房，绑定烟感设备，摄像头设备，臭气设备等设备数量信息，并提供导出功能</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硬件设备在线率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同步上级系统设备状态，实时统计烟感，摄像头，臭气等垃圾房硬件设备状态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系统基础底座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对接配置多平台系统基础底座，避免外部系统迁移更换导致系统无法使用，方便维护</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账号权限管理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动态配置多个上级系统账号权限，方便后期维护更换</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基础模块底座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维护硬件设备基础模块底座信息，方便后期维护使用</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安全及维护</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系统安全 模块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提升系统身份验证规则，对敏感信息进行加密处理，防止数据泄密。增加系统安全模块插件监控，防止基础设施数据被盗取</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操作日志</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记录平台操作人登录时间，操作数据，操作人，以及所做操作等系统操作信息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区域管理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配置账号所在区域范围，限制跨区域访问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表单工具</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设置表单工具方便记录，设备处理情况备忘录</w:t>
            </w:r>
          </w:p>
          <w:p>
            <w:pPr>
              <w:widowControl/>
              <w:jc w:val="left"/>
              <w:textAlignment w:val="center"/>
              <w:rPr>
                <w:rFonts w:asciiTheme="minorEastAsia" w:hAnsiTheme="minorEastAsia" w:eastAsiaTheme="minorEastAsia" w:cstheme="minorEastAsia"/>
                <w:color w:val="000000"/>
                <w:kern w:val="0"/>
                <w:szCs w:val="21"/>
                <w:lang w:bidi="ar"/>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登录信息管理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配置管理外部平台登录信息，维护外部系统账号</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系统数据模块管理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配置管理系统模块数据，记录系统数据调用异常日志情况，针对多次异常做出提醒预警处理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账户信息管理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管理用户安全账户信息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表单功能自定义</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动态配置表单功能，配合运维人员做好记录工作</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通知管理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管理消息提醒方式，配置是否开启语音，弹窗等系统通知方式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硬件设备更换记录</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管理记录，硬件维修记录方便硬件更换维护处理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业务对接接口配置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通用接入授权接口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配置系统接口统一认证规则，配置系统接入密钥</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违规告警接收接口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对接上级系统，获取垃圾房基础设施违规告警处理，并对告警数据进行分类处理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违规告警分析接口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对违规告警数据进行动态分析，根据类型不同进行分类处理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违规告警查询接口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对违规告警数据查询接口，存储预警数据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部门数据维护接口</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维护部门数据基础信息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短信平台对接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对接外部短信平台接口，通过平台配置模板发送短信内容。</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手机语音播报平台对接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对接外部手机语音播报平台接口，根据平台配置内容，给接收人进行语音播放提醒。</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播放声音录制</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szCs w:val="21"/>
              </w:rPr>
              <w:t>录制配置摄像头语音播报声音。</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2" w:hRule="exact"/>
          <w:jc w:val="center"/>
        </w:trPr>
        <w:tc>
          <w:tcPr>
            <w:tcW w:w="724"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w:t>
            </w:r>
          </w:p>
        </w:tc>
        <w:tc>
          <w:tcPr>
            <w:tcW w:w="1627"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事件监控处理平台</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事件管理流转系统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垃圾投放管理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看居民在垃圾投放区域采集到的 、垃圾信息、投放行为、投放点位等数据，提供过滤，查看详情，导出等操作</w:t>
            </w:r>
          </w:p>
        </w:tc>
        <w:tc>
          <w:tcPr>
            <w:tcW w:w="788" w:type="dxa"/>
            <w:vMerge w:val="continue"/>
            <w:tcBorders>
              <w:tl2br w:val="nil"/>
              <w:tr2bl w:val="nil"/>
            </w:tcBorders>
            <w:vAlign w:val="center"/>
          </w:tcPr>
          <w:p>
            <w:pPr>
              <w:widowControl/>
              <w:jc w:val="left"/>
              <w:textAlignment w:val="center"/>
              <w:rPr>
                <w:rFonts w:hint="default" w:asciiTheme="minorEastAsia" w:hAnsiTheme="minorEastAsia" w:eastAsiaTheme="minorEastAsia" w:cstheme="minor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exact"/>
          <w:jc w:val="center"/>
        </w:trPr>
        <w:tc>
          <w:tcPr>
            <w:tcW w:w="724"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627"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违规事件管理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查看居民在垃圾投放区域采集到的违规投放行为、处理状态、处理结果等数据，提供全新过滤，查看、编辑等功能操作项</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违规事件汇总</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将违规事件数据进行汇总，具体展示有社区名称、事件类型、总件数、待处置、已处置等数据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数据分析报表</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任务看板实时展示全部任务数、待办任务、今日已办任务、任务进度以及违规工单、宣传工单、整改工单的占比。派单人员看板显示每个工作人员的个人信息、任务类型、任务数量、待办任务、已办任务、任务完成率等</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垃圾房视频监控系统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实时监控查看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实时查看各个垃圾投放点的视频监控图像。支持多路显示方式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历史监控查看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支持根据回放通道的日期、时间段和录像类型条件，检索录像，检索到相应录像片段后，可进行录像的常规播放</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垃圾房AI预警</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对垃圾乱丢，满溢，乱停车，消防等进行AI预警，并截图录像保留证据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视频回放</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对接上级系统，播放摄像头历史视频数据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区域划定</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展示规划预警重点区域</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视频调取</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告警数据整理以备系统调取，本地进行保存，完善证据链</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视频轨迹分析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针对居民乱丢垃圾行为进行轨迹分析综合研判</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视频预警研判</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系统提供预警研判，可以按最新上报事件一个一个处理下去，核验操作包括正报、误报，必须选择一个意见，然后才能进行下一条核验，如果选择正报，则推送功能可用，事件如果需要推送则点击推送按钮，系统会将事件推送出去，并自动跳转下一条事件。</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视频管控</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面向平台视频资源调度控制和使用安全场景，支持多对象、多变量、多业务、多协议的视频资源调度控制，满足通用行业平台运营的使用控制以及项目现场存在受限因素、重大活动安保等场景下的监控平台视频业务稳定运行；提供多种水印显示模式，保证监控视频来源可追溯防止视频的外泄。提供码流安全加密方式，保证监控视频网络传输安全</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视频安全</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视频访问地址加密，确保视频播放安全</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视频追溯</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提供视频记录，追溯功能</w:t>
            </w:r>
          </w:p>
        </w:tc>
        <w:tc>
          <w:tcPr>
            <w:tcW w:w="788" w:type="dxa"/>
            <w:vMerge w:val="continue"/>
            <w:tcBorders>
              <w:tl2br w:val="nil"/>
              <w:tr2bl w:val="nil"/>
            </w:tcBorders>
            <w:vAlign w:val="center"/>
          </w:tcPr>
          <w:p>
            <w:pP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视频分类</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根据类型分类查看垃圾房视频信息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lang w:val="zh-CN"/>
              </w:rPr>
              <w:t>支持隐示和显示的水印形式对视频溯源，实现拍屏追踪功能，维护用户视频版权 提供私有安全码流加密方案，对客户端视频业务软件的统一管理和访问控制，与客户端建立加密数据流，防止数据传输时被窃取和篡改，保证数据网络传输安全，</w:t>
            </w:r>
            <w:r>
              <w:rPr>
                <w:rFonts w:hint="eastAsia" w:asciiTheme="minorEastAsia" w:hAnsiTheme="minorEastAsia" w:eastAsiaTheme="minorEastAsia" w:cstheme="minorEastAsia"/>
                <w:szCs w:val="21"/>
              </w:rPr>
              <w:t>支持视频按不同分类进行统计分析。</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烟感消防管理系统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查看烟感设备上报实时</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以列表方式查看烟感设备上报实时，预警对象，预警对象类型，预警类型，预警界别，预警备注，预警数值，预警时间等字段。并可以根据预警对象，对象类型，预警类型，删选预警数据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查看烟感设备历史预警数据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查看历史烟感预警数据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烟感报警统计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根据类型统计烟感预警数据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烟感对接其他系统</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烟感数据对接第三方平台</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设备故障率统计分析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统计烟感设备故障数量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烟感报警查询</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查询烟感报警数据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消防平台搭建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设定报警阈值，简易火灾处理流程，烟感喷洒系统联动</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火情告警信息推送管理员</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将告警信息推送至管理员</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火情信息审核</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管理员在线审核告警信息。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告警广播播放疏散音乐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告警广播播放疏散音乐</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联动119自动报警</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联动119自动报警</w:t>
            </w:r>
          </w:p>
        </w:tc>
        <w:tc>
          <w:tcPr>
            <w:tcW w:w="788" w:type="dxa"/>
            <w:vMerge w:val="continue"/>
            <w:tcBorders>
              <w:tl2br w:val="nil"/>
              <w:tr2bl w:val="nil"/>
            </w:tcBorders>
            <w:vAlign w:val="center"/>
          </w:tcPr>
          <w:p>
            <w:pP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告警信息推送至管理员</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将告警信息推送至管理员</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管理员在线审核</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管理员在线审核告警信息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事件处理过程上传</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上传火灾处理过程数据，保留历史数据</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事件处理结果审核</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负责人对预警情况进行后台审核</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告警查询</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管理员在线审核告警情况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臭气监测系统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臭气阈值配置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用户可以手动配置臭气阈值</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臭气数据监测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可查看臭气实时浓度及历史浓度</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提醒规则配置</w:t>
            </w:r>
          </w:p>
        </w:tc>
        <w:tc>
          <w:tcPr>
            <w:tcW w:w="3764" w:type="dxa"/>
            <w:tcBorders>
              <w:tl2br w:val="nil"/>
              <w:tr2bl w:val="nil"/>
            </w:tcBorders>
            <w:vAlign w:val="center"/>
          </w:tcPr>
          <w:p>
            <w:pP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配置臭气设备配置预警类型，次数，级别等规则</w:t>
            </w:r>
          </w:p>
        </w:tc>
        <w:tc>
          <w:tcPr>
            <w:tcW w:w="788" w:type="dxa"/>
            <w:vMerge w:val="continue"/>
            <w:tcBorders>
              <w:tl2br w:val="nil"/>
              <w:tr2bl w:val="nil"/>
            </w:tcBorders>
            <w:vAlign w:val="center"/>
          </w:tcPr>
          <w:p>
            <w:pP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告警规则配置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可以配置类型（语音提醒，短信提醒，系统弹窗提醒加声音），次数(事件发生时间段，规定时长提醒一次），级别（根据级别，每次提醒系统颜色和声音逐渐加强）</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故障统计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统计现有设备故障率并进行分析</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项目配置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为每个项目配置项目名称，项目公司，和公司负责人</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案件配置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给每一个设备上报案件配置对应的案件名称，类型，如果有整改时间配置整改时间</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考核统计</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根据案件条数，整改完成情况多种纬度统计考核完成情况。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考核对象录入</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收集考核环卫公司信息，给对应环卫公司项目配置相对应app或者浙政钉管理账号，配置考核对象信息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人员台账管理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管理环卫公司，或者作业人员，姓名，手机号，性别等基础信息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作业区段管理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给不同作业区域人员分配对应巡检案件</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实时定位管理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考核巡检上传人员定位实时位置</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作业记录管理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记录作业人员从发现问题，整改问题，解决问题审核的全流程管理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违规信息管理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管理统计环卫工作作业违规信息，统计环卫公司违规情况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考核抽样</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自定义抽样规则，可智能生成每次的作业考核内容，例如可按常规的乡镇、所及各保洁公司等条件进行抽样，可按考核覆盖率、黑名单、上次考核不达标等有针对性的条件进行智能抽样。系统支持条件抽样外，支持地图抽样，可地图选定一块区域进行抽样。</w:t>
            </w:r>
          </w:p>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智能抽样管理保证考核内容确定的公平、公正，确保作业考核的覆盖率和科学性。</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移动考核管理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管理人员可以在手机app或者浙政钉上查看环卫公司考核报表情况，可以查看整改单详细整改情况。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 GIS 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通过移动考核终端，可以实时查看考核人员位置信息，达到对考核人员的在岗情况与实时位置信息，同时可以结合考核结果与位置信息，发现问题发生地点， 及时调度车辆或者人员进行处理。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考核任务追踪</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通过移动考核终端，可以实时查看考核人员位置信息，达到对考核人员的在岗情况与实时位置信息，同时可以结合考核结果与位置信息，发现问题发生地点， 及时调度车辆或者人员进行处理。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问题工单管理</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运用工作流技术，实现领导考核、城管对接、现场考核、市民投诉的问题均接入考核系统，自动生成问题工单，并可在线派发给相关的责任单位，并与保洁队、环卫公司进行在线派单、反馈和结案等操作。</w:t>
            </w:r>
          </w:p>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监管人员在系统中将现场稽查的人员上传的问题进行派发，选择派发对象， 确定问题解决时限</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问题反馈管理</w:t>
            </w:r>
          </w:p>
        </w:tc>
        <w:tc>
          <w:tcPr>
            <w:tcW w:w="3764" w:type="dxa"/>
            <w:tcBorders>
              <w:tl2br w:val="nil"/>
              <w:tr2bl w:val="nil"/>
            </w:tcBorders>
            <w:vAlign w:val="center"/>
          </w:tcPr>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作业队长班长在系统中或者移动办公管理平台中都可以同步查看考核工单， 根据考核工单进行现场作业，并将作业结果进行反馈。</w:t>
            </w:r>
          </w:p>
          <w:p>
            <w:pPr>
              <w:pStyle w:val="5"/>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将整改人员反馈的结果进行审核，将问题解决前后进行对比，查看问题是否完整解决，若没有解决，进行退回，重新进行处理。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考核统计分析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用数据分析及数据挖掘技术，系统可针对问题的统计分析报表，得出各乡镇、所及保洁公司的考核得分，同时分析出在作业保洁上存在的突出问题，并分析各问题高发的时间段，根据各单位的历史得分，对各单位作业质量进行科学评估</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台账管理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按不同主题对台账进行管理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权限管理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管理员角色拥有平台的所有权限，可查看所有下属的所有数据，并给下属公司分配不同的菜单权限。</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各下属公司进入系统后可看到管理员角色所分配的菜单权限，且仅可查看隶属于自己片区的人员、车辆、设施等信息。</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接口管理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系统支持标准化数据格式XML／JSON等常用数据格式，可提供HTTP GET/POST等WEB SERVEICE服务， 方便开发者调用与开发，产生的数据需为标准、无加密数据格式，提供的接口响应时间短，并发数高，吞吐量大，可靠性高，具有松耦合性，只要接口维持不变就可以无缝地和其他部分集成在一起，具有很好的适应性和可扩展性。</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考核明细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在考核明细可以查看待处理考核，当日已处理，历史考核。还可以根据考核状态，日期，项目，巡检人，案件类型，扣分状态等情况删选考核内容</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环卫项目整改效率报表</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可以按月或按项目，月份导出项目考核案件情况报表</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exact"/>
          <w:jc w:val="center"/>
        </w:trPr>
        <w:tc>
          <w:tcPr>
            <w:tcW w:w="724" w:type="dxa"/>
            <w:vMerge w:val="restart"/>
            <w:tcBorders>
              <w:tl2br w:val="nil"/>
              <w:tr2bl w:val="nil"/>
            </w:tcBorders>
            <w:vAlign w:val="center"/>
          </w:tcPr>
          <w:p>
            <w:pPr>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3</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驾驶舱</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垃圾房大屏系统</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展示录入垃圾房位置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垃圾房位置在地图上显示，点击查看垃圾房内外部实时视频</w:t>
            </w:r>
          </w:p>
        </w:tc>
        <w:tc>
          <w:tcPr>
            <w:tcW w:w="788" w:type="dxa"/>
            <w:vMerge w:val="continue"/>
            <w:tcBorders>
              <w:tl2br w:val="nil"/>
              <w:tr2bl w:val="nil"/>
            </w:tcBorders>
            <w:vAlign w:val="center"/>
          </w:tcPr>
          <w:p>
            <w:pPr>
              <w:widowControl/>
              <w:jc w:val="left"/>
              <w:textAlignment w:val="center"/>
              <w:rPr>
                <w:rFonts w:hint="default" w:asciiTheme="minorEastAsia" w:hAnsiTheme="minorEastAsia" w:eastAsiaTheme="minorEastAsia" w:cstheme="minorEastAsia"/>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观看垃圾房实时视频</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驾驶舱查看垃圾房位置，查看实时垃圾房实时视频</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垃圾房预警数据处理情况</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展示垃圾乱丢，满溢，车辆乱停及消防等预警数据，同时展示处理进度，反馈结果等</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当日实时烟感预警数据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展示当日垃圾房烟感实时预警数据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消防设备运行状态查看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驾驶舱上查看消防设施运行状态</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点击三维地图上的按钮控制设备</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点击地图上垃圾房摄像头，控制摄像头旋转观测位置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值班人员名单显示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展示当日值班人员信息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根据不同事件基本进行显示</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根据不同事件处理进度，在地图上展示不同事件处理状态，点击事件位置可以查看事件的详细信息</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总告警数量查看</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汇总当日总告警数量</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垃圾分类可视化管理</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展示前端摄像头，烟感，臭气检测设备等前端设备实时运行情况，预警报告，设备故障统计等界面。</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当日实时异味数据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展示当日实时臭气数值</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设备故障统计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展示所有设备故障维修情况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故障类型统计分析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根据故障类型，统计故障类型出现占比情况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实时设备概况</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大图展示设备实时在线，离线情况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实时设备在线</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过滤删选，实时在线设备位置</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设备分布统计</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展示地图聚合分析，地图上设备分布情况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分类成效分析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统计知晓率、正确率指标</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违规类型分析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以饼图形式展示未破袋违规占比、混投违规占比、丢包违规占比</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违规处理分析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统计已处理总数、上报违规总数</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违规投放事件分析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滚动播放展示已处理、未处理违规事件明细，下探进行查询</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违规趋势分析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以趋势图形展示每月违规走势图情况</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正确率排名分析</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根据预警准确率情况进行实时设备情况分析</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GIS一图分析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总户数、注册户数、覆盖社区个数、投放点个数、督导员统计</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exact"/>
          <w:jc w:val="center"/>
        </w:trPr>
        <w:tc>
          <w:tcPr>
            <w:tcW w:w="724" w:type="dxa"/>
            <w:vMerge w:val="restart"/>
            <w:tcBorders>
              <w:tl2br w:val="nil"/>
              <w:tr2bl w:val="nil"/>
            </w:tcBorders>
            <w:vAlign w:val="center"/>
          </w:tcPr>
          <w:p>
            <w:pPr>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4</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后勤模块</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维修处理</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设备故障上报</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通过手机app或者浙政钉上报设备故障情况，通过填写设备名称，地址，故障描述，上报设备故障情况。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故障单处理</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故障处理人员通过手机app，或者浙政钉处理故障问题，处理完成后拍照上传系统平台</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故障处理反馈</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处理好的故障单，管理人员通过电脑端进行审核处理。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设备故障统计</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根据垃圾房，设备类型按月统计设备故障情况。</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投诉建议</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垃圾房二维码生成</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系统自动根据垃圾房信息生成垃圾房对应垃圾房唯一二维码标识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投诉建议</w:t>
            </w:r>
          </w:p>
        </w:tc>
        <w:tc>
          <w:tcPr>
            <w:tcW w:w="3764" w:type="dxa"/>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用户可以通过微信或者浏览器扫描垃圾房上二维码，对垃圾房或者设备情况进行投诉建议处理</w:t>
            </w:r>
          </w:p>
        </w:tc>
        <w:tc>
          <w:tcPr>
            <w:tcW w:w="788" w:type="dxa"/>
            <w:vMerge w:val="continue"/>
            <w:tcBorders>
              <w:tl2br w:val="nil"/>
              <w:tr2bl w:val="nil"/>
            </w:tcBorders>
            <w:vAlign w:val="center"/>
          </w:tcPr>
          <w:p>
            <w:pPr>
              <w:widowControl/>
              <w:jc w:val="left"/>
              <w:textAlignment w:val="center"/>
              <w:rPr>
                <w:rFonts w:hint="eastAsia"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意见反馈</w:t>
            </w:r>
          </w:p>
        </w:tc>
        <w:tc>
          <w:tcPr>
            <w:tcW w:w="3764" w:type="dxa"/>
            <w:tcBorders>
              <w:tl2br w:val="nil"/>
              <w:tr2bl w:val="nil"/>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工作人员可以通过电脑端对用户投诉建议进行反馈处理</w:t>
            </w:r>
          </w:p>
          <w:p>
            <w:pPr>
              <w:widowControl/>
              <w:jc w:val="left"/>
              <w:textAlignment w:val="center"/>
              <w:rPr>
                <w:rFonts w:asciiTheme="minorEastAsia" w:hAnsiTheme="minorEastAsia" w:eastAsiaTheme="minorEastAsia" w:cstheme="minorEastAsia"/>
                <w:color w:val="000000"/>
                <w:szCs w:val="21"/>
              </w:rPr>
            </w:pPr>
          </w:p>
        </w:tc>
        <w:tc>
          <w:tcPr>
            <w:tcW w:w="788" w:type="dxa"/>
            <w:vMerge w:val="continue"/>
            <w:tcBorders>
              <w:tl2br w:val="nil"/>
              <w:tr2bl w:val="nil"/>
            </w:tcBorders>
            <w:vAlign w:val="center"/>
          </w:tcPr>
          <w:p>
            <w:pPr>
              <w:widowControl/>
              <w:jc w:val="left"/>
              <w:textAlignment w:val="center"/>
              <w:rPr>
                <w:rFonts w:asciiTheme="minorEastAsia" w:hAnsiTheme="minorEastAsia" w:eastAsiaTheme="minorEastAsia" w:cstheme="minorEastAsia"/>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restart"/>
            <w:tcBorders>
              <w:tl2br w:val="nil"/>
              <w:tr2bl w:val="nil"/>
            </w:tcBorders>
            <w:vAlign w:val="center"/>
          </w:tcPr>
          <w:p>
            <w:pPr>
              <w:jc w:val="center"/>
              <w:rPr>
                <w:rFonts w:hint="eastAsia"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5</w:t>
            </w:r>
          </w:p>
        </w:tc>
        <w:tc>
          <w:tcPr>
            <w:tcW w:w="1627" w:type="dxa"/>
            <w:vMerge w:val="restart"/>
            <w:tcBorders>
              <w:tl2br w:val="nil"/>
              <w:tr2bl w:val="nil"/>
            </w:tcBorders>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系统改造</w:t>
            </w:r>
          </w:p>
        </w:tc>
        <w:tc>
          <w:tcPr>
            <w:tcW w:w="1276" w:type="dxa"/>
            <w:vMerge w:val="restart"/>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浙政钉上架</w:t>
            </w: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硬件对接改造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实现相机，位置获取等硬件对接改造</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原生app功能改造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从原生app编写功能点进行浙政钉功能点改造，不影响用户正常使用</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用户体系对接</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实现个人单点登录和法人单点登录部署与接入</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埋点采集</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采用页面加载时埋点采集日志数据</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适老化服务</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对服务进行适老化适配，针对弱势群体提供可用</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材料整理</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提供上架中填材料与联调测试</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24"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627" w:type="dxa"/>
            <w:vMerge w:val="continue"/>
            <w:tcBorders>
              <w:tl2br w:val="nil"/>
              <w:tr2bl w:val="nil"/>
            </w:tcBorders>
            <w:vAlign w:val="center"/>
          </w:tcPr>
          <w:p>
            <w:pPr>
              <w:jc w:val="center"/>
              <w:rPr>
                <w:rFonts w:asciiTheme="minorEastAsia" w:hAnsiTheme="minorEastAsia" w:eastAsiaTheme="minorEastAsia" w:cstheme="minorEastAsia"/>
                <w:color w:val="000000"/>
                <w:szCs w:val="21"/>
              </w:rPr>
            </w:pPr>
          </w:p>
        </w:tc>
        <w:tc>
          <w:tcPr>
            <w:tcW w:w="1276" w:type="dxa"/>
            <w:vMerge w:val="continue"/>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p>
        </w:tc>
        <w:tc>
          <w:tcPr>
            <w:tcW w:w="224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硬件对接改造</w:t>
            </w:r>
          </w:p>
        </w:tc>
        <w:tc>
          <w:tcPr>
            <w:tcW w:w="3764" w:type="dxa"/>
            <w:tcBorders>
              <w:tl2br w:val="nil"/>
              <w:tr2bl w:val="nil"/>
            </w:tcBorders>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实现相机，位置获取等硬件对接改造</w:t>
            </w:r>
          </w:p>
        </w:tc>
        <w:tc>
          <w:tcPr>
            <w:tcW w:w="788" w:type="dxa"/>
            <w:vMerge w:val="continue"/>
            <w:tcBorders>
              <w:tl2br w:val="nil"/>
              <w:tr2bl w:val="nil"/>
            </w:tcBorders>
            <w:vAlign w:val="center"/>
          </w:tcPr>
          <w:p>
            <w:pPr>
              <w:widowControl/>
              <w:jc w:val="center"/>
              <w:textAlignment w:val="center"/>
              <w:rPr>
                <w:rFonts w:hint="eastAsia" w:asciiTheme="minorEastAsia" w:hAnsiTheme="minorEastAsia" w:eastAsiaTheme="minorEastAsia" w:cstheme="minorEastAsia"/>
                <w:color w:val="000000"/>
                <w:kern w:val="0"/>
                <w:szCs w:val="21"/>
                <w:lang w:bidi="ar"/>
              </w:rPr>
            </w:pPr>
          </w:p>
        </w:tc>
      </w:tr>
    </w:tbl>
    <w:p>
      <w:pPr>
        <w:numPr>
          <w:ilvl w:val="0"/>
          <w:numId w:val="0"/>
        </w:numPr>
        <w:adjustRightInd w:val="0"/>
        <w:snapToGrid w:val="0"/>
        <w:spacing w:line="460" w:lineRule="atLeast"/>
        <w:rPr>
          <w:rFonts w:hint="eastAsia" w:ascii="宋体" w:hAnsi="Times New Roman" w:eastAsia="宋体" w:cs="Times New Roman"/>
          <w:b/>
          <w:bCs w:val="0"/>
          <w:sz w:val="22"/>
          <w:szCs w:val="22"/>
          <w:lang w:val="en-US" w:eastAsia="zh-CN"/>
        </w:rPr>
      </w:pPr>
      <w:r>
        <w:rPr>
          <w:rFonts w:hint="eastAsia" w:ascii="宋体" w:cs="Times New Roman"/>
          <w:b/>
          <w:bCs w:val="0"/>
          <w:sz w:val="22"/>
          <w:szCs w:val="22"/>
          <w:lang w:val="en-US" w:eastAsia="zh-CN"/>
        </w:rPr>
        <w:t>（二）</w:t>
      </w:r>
      <w:r>
        <w:rPr>
          <w:rFonts w:hint="eastAsia" w:ascii="宋体" w:hAnsi="Times New Roman" w:eastAsia="宋体" w:cs="Times New Roman"/>
          <w:b/>
          <w:bCs w:val="0"/>
          <w:sz w:val="22"/>
          <w:szCs w:val="22"/>
          <w:lang w:val="en-US" w:eastAsia="zh-CN"/>
        </w:rPr>
        <w:t>智慧垃圾站硬件清单</w:t>
      </w:r>
    </w:p>
    <w:p>
      <w:pPr>
        <w:snapToGrid w:val="0"/>
        <w:spacing w:line="460" w:lineRule="atLeast"/>
        <w:ind w:firstLine="440" w:firstLineChars="200"/>
        <w:rPr>
          <w:rFonts w:hint="default" w:ascii="宋体"/>
          <w:bCs/>
          <w:sz w:val="22"/>
          <w:szCs w:val="22"/>
          <w:lang w:val="en-US" w:eastAsia="zh-CN"/>
        </w:rPr>
      </w:pPr>
      <w:r>
        <w:rPr>
          <w:rFonts w:hint="eastAsia" w:ascii="宋体"/>
          <w:bCs/>
          <w:sz w:val="22"/>
          <w:szCs w:val="22"/>
          <w:lang w:val="en-US" w:eastAsia="zh-CN"/>
        </w:rPr>
        <w:t>（1）项目汇总表</w:t>
      </w:r>
    </w:p>
    <w:tbl>
      <w:tblPr>
        <w:tblStyle w:val="36"/>
        <w:tblW w:w="8441" w:type="dxa"/>
        <w:jc w:val="center"/>
        <w:tblLayout w:type="fixed"/>
        <w:tblCellMar>
          <w:top w:w="0" w:type="dxa"/>
          <w:left w:w="108" w:type="dxa"/>
          <w:bottom w:w="0" w:type="dxa"/>
          <w:right w:w="108" w:type="dxa"/>
        </w:tblCellMar>
      </w:tblPr>
      <w:tblGrid>
        <w:gridCol w:w="827"/>
        <w:gridCol w:w="3592"/>
        <w:gridCol w:w="1595"/>
        <w:gridCol w:w="2427"/>
      </w:tblGrid>
      <w:tr>
        <w:tblPrEx>
          <w:tblCellMar>
            <w:top w:w="0" w:type="dxa"/>
            <w:left w:w="108" w:type="dxa"/>
            <w:bottom w:w="0" w:type="dxa"/>
            <w:right w:w="108" w:type="dxa"/>
          </w:tblCellMar>
        </w:tblPrEx>
        <w:trPr>
          <w:trHeight w:val="383"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3592"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项目分项内容</w:t>
            </w:r>
          </w:p>
        </w:tc>
        <w:tc>
          <w:tcPr>
            <w:tcW w:w="15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数量</w:t>
            </w:r>
          </w:p>
        </w:tc>
        <w:tc>
          <w:tcPr>
            <w:tcW w:w="2427" w:type="dxa"/>
            <w:tcBorders>
              <w:top w:val="single" w:color="000000" w:sz="4" w:space="0"/>
              <w:left w:val="single" w:color="000000" w:sz="4" w:space="0"/>
              <w:bottom w:val="single" w:color="000000" w:sz="4" w:space="0"/>
              <w:right w:val="single" w:color="000000" w:sz="4" w:space="0"/>
            </w:tcBorders>
            <w:shd w:val="clear" w:color="auto" w:fill="D0CECE"/>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kern w:val="0"/>
                <w:sz w:val="22"/>
                <w:szCs w:val="22"/>
                <w:lang w:bidi="ar"/>
              </w:rPr>
              <w:t>视频管理平台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1项</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color w:val="auto"/>
                <w:kern w:val="0"/>
                <w:sz w:val="22"/>
                <w:szCs w:val="22"/>
                <w:lang w:val="en-US" w:eastAsia="zh-CN" w:bidi="ar"/>
              </w:rPr>
            </w:pPr>
            <w:r>
              <w:rPr>
                <w:rFonts w:hint="eastAsia"/>
              </w:rPr>
              <w:t>详见视频管理平台参数要求</w:t>
            </w:r>
          </w:p>
        </w:tc>
      </w:tr>
      <w:tr>
        <w:tblPrEx>
          <w:tblCellMar>
            <w:top w:w="0" w:type="dxa"/>
            <w:left w:w="108" w:type="dxa"/>
            <w:bottom w:w="0" w:type="dxa"/>
            <w:right w:w="108" w:type="dxa"/>
          </w:tblCellMar>
        </w:tblPrEx>
        <w:trPr>
          <w:trHeight w:val="9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sz w:val="22"/>
                <w:szCs w:val="22"/>
              </w:rPr>
            </w:pPr>
            <w:r>
              <w:rPr>
                <w:rFonts w:hint="eastAsia" w:ascii="宋体" w:hAnsi="宋体" w:cs="宋体"/>
                <w:sz w:val="22"/>
                <w:szCs w:val="22"/>
              </w:rPr>
              <w:t>新建垃圾房（非封闭场所）</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90座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color w:val="auto"/>
                <w:kern w:val="0"/>
                <w:sz w:val="22"/>
                <w:szCs w:val="22"/>
                <w:lang w:val="en-US" w:eastAsia="zh-CN" w:bidi="ar"/>
              </w:rPr>
            </w:pPr>
            <w:r>
              <w:rPr>
                <w:rFonts w:hint="eastAsia"/>
              </w:rPr>
              <w:t>详见新建垃圾房（非封闭场所）参数要求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hint="eastAsia" w:ascii="宋体" w:hAnsi="宋体" w:eastAsia="宋体" w:cs="宋体"/>
                <w:color w:val="000000"/>
                <w:sz w:val="22"/>
                <w:szCs w:val="22"/>
                <w:lang w:eastAsia="zh-CN"/>
              </w:rPr>
            </w:pPr>
            <w:r>
              <w:rPr>
                <w:rFonts w:hint="eastAsia" w:ascii="宋体" w:hAnsi="宋体" w:cs="宋体"/>
                <w:sz w:val="22"/>
                <w:szCs w:val="22"/>
                <w:lang w:eastAsia="zh-CN"/>
              </w:rPr>
              <w:t>新建垃圾房（封闭场所）</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90座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color w:val="auto"/>
                <w:kern w:val="0"/>
                <w:sz w:val="22"/>
                <w:szCs w:val="22"/>
                <w:lang w:val="en-US" w:eastAsia="zh-CN" w:bidi="ar"/>
              </w:rPr>
            </w:pPr>
            <w:r>
              <w:rPr>
                <w:rFonts w:hint="eastAsia"/>
              </w:rPr>
              <w:t>详见</w:t>
            </w:r>
            <w:r>
              <w:rPr>
                <w:rFonts w:hint="eastAsia"/>
                <w:lang w:eastAsia="zh-CN"/>
              </w:rPr>
              <w:t>新建垃圾房（封闭场所）</w:t>
            </w:r>
            <w:r>
              <w:rPr>
                <w:rFonts w:hint="eastAsia"/>
              </w:rPr>
              <w:t>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sz w:val="22"/>
                <w:szCs w:val="22"/>
                <w:lang w:eastAsia="zh-CN"/>
              </w:rPr>
              <w:t>原有单面垃圾房（单面）</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r>
              <w:rPr>
                <w:rFonts w:hint="eastAsia" w:ascii="宋体" w:hAnsi="宋体" w:cs="宋体"/>
                <w:color w:val="000000"/>
                <w:kern w:val="0"/>
                <w:sz w:val="22"/>
                <w:szCs w:val="22"/>
                <w:lang w:val="en-US" w:eastAsia="zh-CN" w:bidi="ar"/>
              </w:rPr>
              <w:t>5</w:t>
            </w:r>
            <w:r>
              <w:rPr>
                <w:rFonts w:hint="eastAsia" w:ascii="宋体" w:hAnsi="宋体" w:cs="宋体"/>
                <w:color w:val="000000"/>
                <w:kern w:val="0"/>
                <w:sz w:val="22"/>
                <w:szCs w:val="22"/>
                <w:lang w:bidi="ar"/>
              </w:rPr>
              <w:t>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color w:val="auto"/>
                <w:kern w:val="0"/>
                <w:sz w:val="22"/>
                <w:szCs w:val="22"/>
                <w:lang w:val="en-US" w:eastAsia="zh-CN" w:bidi="ar"/>
              </w:rPr>
            </w:pPr>
            <w:r>
              <w:rPr>
                <w:rFonts w:hint="eastAsia"/>
              </w:rPr>
              <w:t>详见</w:t>
            </w:r>
            <w:r>
              <w:rPr>
                <w:rFonts w:hint="eastAsia"/>
                <w:lang w:eastAsia="zh-CN"/>
              </w:rPr>
              <w:t>原有单面垃圾房（单面）</w:t>
            </w:r>
            <w:r>
              <w:rPr>
                <w:rFonts w:hint="eastAsia"/>
              </w:rPr>
              <w:t>参数要求</w:t>
            </w:r>
          </w:p>
        </w:tc>
      </w:tr>
      <w:tr>
        <w:tblPrEx>
          <w:tblCellMar>
            <w:top w:w="0" w:type="dxa"/>
            <w:left w:w="108" w:type="dxa"/>
            <w:bottom w:w="0" w:type="dxa"/>
            <w:right w:w="108" w:type="dxa"/>
          </w:tblCellMar>
        </w:tblPrEx>
        <w:trPr>
          <w:trHeight w:val="850" w:hRule="atLeast"/>
          <w:jc w:val="center"/>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val="en-US" w:eastAsia="zh-CN" w:bidi="ar"/>
              </w:rPr>
              <w:t>5</w:t>
            </w:r>
          </w:p>
        </w:tc>
        <w:tc>
          <w:tcPr>
            <w:tcW w:w="3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440" w:firstLineChars="200"/>
              <w:jc w:val="center"/>
              <w:textAlignment w:val="center"/>
              <w:rPr>
                <w:rFonts w:ascii="宋体" w:hAnsi="宋体" w:cs="宋体"/>
                <w:color w:val="000000"/>
                <w:kern w:val="0"/>
                <w:sz w:val="22"/>
                <w:szCs w:val="22"/>
                <w:lang w:bidi="ar"/>
              </w:rPr>
            </w:pPr>
            <w:r>
              <w:rPr>
                <w:rFonts w:hint="eastAsia" w:ascii="宋体" w:hAnsi="宋体" w:cs="宋体"/>
                <w:sz w:val="22"/>
                <w:szCs w:val="22"/>
              </w:rPr>
              <w:t>原有双面垃圾房（双面）</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44座</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color w:val="auto"/>
                <w:kern w:val="0"/>
                <w:sz w:val="22"/>
                <w:szCs w:val="22"/>
                <w:lang w:val="en-US" w:eastAsia="zh-CN" w:bidi="ar"/>
              </w:rPr>
            </w:pPr>
            <w:r>
              <w:rPr>
                <w:rFonts w:hint="eastAsia"/>
              </w:rPr>
              <w:t>详见原有双面垃圾房（双面）参数要求</w:t>
            </w:r>
          </w:p>
        </w:tc>
      </w:tr>
    </w:tbl>
    <w:p>
      <w:pPr>
        <w:spacing w:line="360" w:lineRule="auto"/>
        <w:ind w:firstLine="420" w:firstLineChars="0"/>
        <w:rPr>
          <w:rFonts w:hint="eastAsia" w:eastAsia="宋体"/>
          <w:b/>
          <w:bCs/>
          <w:highlight w:val="none"/>
          <w:u w:val="single"/>
          <w:lang w:val="en-US" w:eastAsia="zh-CN"/>
        </w:rPr>
      </w:pPr>
      <w:r>
        <w:rPr>
          <w:rFonts w:hint="eastAsia" w:eastAsia="宋体"/>
          <w:b/>
          <w:bCs/>
          <w:highlight w:val="none"/>
          <w:u w:val="single"/>
          <w:lang w:val="en-US" w:eastAsia="zh-CN"/>
        </w:rPr>
        <w:t>注：1、以上数量为暂定数量，数量在中标后由采购人统筹安排，中标供应商在报价时需充分考虑所中标项内的数量、金额可能达不到该标项的预算金额的风险，合理报价，采购人不承担此项责任。</w:t>
      </w:r>
    </w:p>
    <w:p>
      <w:pPr>
        <w:numPr>
          <w:ilvl w:val="0"/>
          <w:numId w:val="4"/>
        </w:numPr>
        <w:spacing w:line="360" w:lineRule="auto"/>
        <w:ind w:firstLine="420" w:firstLineChars="0"/>
        <w:rPr>
          <w:rFonts w:hint="eastAsia" w:eastAsia="宋体"/>
          <w:b/>
          <w:bCs/>
          <w:highlight w:val="none"/>
          <w:u w:val="single"/>
          <w:lang w:val="en-US" w:eastAsia="zh-CN"/>
        </w:rPr>
      </w:pPr>
      <w:r>
        <w:rPr>
          <w:rFonts w:hint="eastAsia" w:eastAsia="宋体"/>
          <w:b/>
          <w:bCs/>
          <w:highlight w:val="none"/>
          <w:u w:val="single"/>
          <w:lang w:val="en-US" w:eastAsia="zh-CN"/>
        </w:rPr>
        <w:t>新建垃圾房（非封</w:t>
      </w:r>
      <w:r>
        <w:rPr>
          <w:rFonts w:hint="eastAsia" w:ascii="Times New Roman" w:hAnsi="Times New Roman" w:eastAsia="宋体" w:cs="Times New Roman"/>
          <w:b/>
          <w:bCs/>
          <w:highlight w:val="none"/>
          <w:u w:val="single"/>
          <w:lang w:val="en-US" w:eastAsia="zh-CN"/>
        </w:rPr>
        <w:t>闭场所）、</w:t>
      </w:r>
      <w:r>
        <w:rPr>
          <w:rFonts w:hint="eastAsia" w:cs="Times New Roman"/>
          <w:b/>
          <w:bCs/>
          <w:highlight w:val="none"/>
          <w:u w:val="single"/>
          <w:lang w:val="en-US" w:eastAsia="zh-CN"/>
        </w:rPr>
        <w:t>新建垃圾房（封闭场所）</w:t>
      </w:r>
      <w:r>
        <w:rPr>
          <w:rFonts w:hint="eastAsia" w:ascii="Times New Roman" w:hAnsi="Times New Roman" w:cs="Times New Roman"/>
          <w:b/>
          <w:bCs/>
          <w:highlight w:val="none"/>
          <w:u w:val="single"/>
          <w:lang w:val="en-US" w:eastAsia="zh-CN"/>
        </w:rPr>
        <w:t>、原有单面垃圾房（单面）</w:t>
      </w:r>
      <w:r>
        <w:rPr>
          <w:rFonts w:hint="eastAsia"/>
          <w:b/>
          <w:bCs/>
          <w:highlight w:val="none"/>
          <w:u w:val="single"/>
          <w:lang w:val="en-US" w:eastAsia="zh-CN"/>
        </w:rPr>
        <w:t>、</w:t>
      </w:r>
      <w:r>
        <w:rPr>
          <w:rFonts w:hint="eastAsia" w:eastAsia="宋体"/>
          <w:b/>
          <w:bCs/>
          <w:highlight w:val="none"/>
          <w:u w:val="single"/>
          <w:lang w:val="en-US" w:eastAsia="zh-CN"/>
        </w:rPr>
        <w:t>原有双面垃圾房（双面）部分根据实际实施数量进行单价结算。</w:t>
      </w:r>
    </w:p>
    <w:p>
      <w:pPr>
        <w:numPr>
          <w:ilvl w:val="0"/>
          <w:numId w:val="5"/>
        </w:numPr>
        <w:tabs>
          <w:tab w:val="left" w:pos="3186"/>
        </w:tabs>
        <w:snapToGrid w:val="0"/>
        <w:spacing w:line="460" w:lineRule="atLeast"/>
        <w:ind w:firstLine="422" w:firstLineChars="200"/>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1"/>
          <w:szCs w:val="21"/>
          <w:u w:val="none"/>
        </w:rPr>
        <w:t>视频管理平台</w:t>
      </w:r>
      <w:r>
        <w:rPr>
          <w:rFonts w:hint="eastAsia" w:ascii="宋体" w:hAnsi="宋体" w:cs="宋体"/>
          <w:b/>
          <w:bCs/>
          <w:i w:val="0"/>
          <w:iCs w:val="0"/>
          <w:color w:val="000000"/>
          <w:sz w:val="21"/>
          <w:szCs w:val="21"/>
          <w:u w:val="none"/>
          <w:lang w:val="en-US" w:eastAsia="zh-CN"/>
        </w:rPr>
        <w:t>参数要求</w:t>
      </w:r>
    </w:p>
    <w:tbl>
      <w:tblPr>
        <w:tblStyle w:val="36"/>
        <w:tblW w:w="9390"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
        <w:gridCol w:w="1234"/>
        <w:gridCol w:w="5210"/>
        <w:gridCol w:w="1076"/>
        <w:gridCol w:w="9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8" w:hRule="atLeast"/>
        </w:trPr>
        <w:tc>
          <w:tcPr>
            <w:tcW w:w="961"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1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视频管理平台</w:t>
            </w:r>
          </w:p>
        </w:tc>
        <w:tc>
          <w:tcPr>
            <w:tcW w:w="5210" w:type="dxa"/>
            <w:tcBorders>
              <w:tl2br w:val="nil"/>
              <w:tr2bl w:val="nil"/>
            </w:tcBorders>
            <w:shd w:val="clear" w:color="auto" w:fill="auto"/>
            <w:vAlign w:val="center"/>
          </w:tcPr>
          <w:p>
            <w:pPr>
              <w:widowControl/>
              <w:ind w:firstLine="0" w:firstLineChars="0"/>
              <w:jc w:val="left"/>
              <w:textAlignment w:val="center"/>
              <w:rPr>
                <w:rFonts w:ascii="宋体" w:hAnsi="宋体" w:cs="宋体"/>
                <w:sz w:val="22"/>
                <w:szCs w:val="22"/>
              </w:rPr>
            </w:pPr>
            <w:r>
              <w:rPr>
                <w:rFonts w:hint="eastAsia" w:ascii="宋体" w:hAnsi="宋体" w:cs="宋体"/>
                <w:sz w:val="22"/>
                <w:szCs w:val="22"/>
              </w:rPr>
              <w:t>1. 支持饼状图事件统计、违规统计、督导员统计</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2. 支持通过图层分类展示前端设备、投放点</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4. 支持手动标记投放点的位置，并录入投放点基本信息以及关联前端摄像头</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5. 报警支持弹窗和声音</w:t>
            </w:r>
          </w:p>
          <w:p>
            <w:pPr>
              <w:widowControl/>
              <w:jc w:val="left"/>
              <w:textAlignment w:val="center"/>
              <w:rPr>
                <w:rFonts w:ascii="宋体" w:hAnsi="宋体" w:cs="宋体"/>
                <w:szCs w:val="21"/>
              </w:rPr>
            </w:pPr>
            <w:r>
              <w:rPr>
                <w:rFonts w:hint="eastAsia" w:ascii="宋体" w:hAnsi="宋体" w:cs="宋体"/>
                <w:sz w:val="22"/>
                <w:szCs w:val="22"/>
              </w:rPr>
              <w:t>6.</w:t>
            </w:r>
            <w:r>
              <w:rPr>
                <w:rFonts w:hint="eastAsia" w:ascii="宋体" w:hAnsi="宋体" w:cs="宋体"/>
                <w:szCs w:val="21"/>
              </w:rPr>
              <w:t>★</w:t>
            </w:r>
            <w:r>
              <w:rPr>
                <w:rFonts w:hint="eastAsia" w:ascii="宋体" w:hAnsi="宋体" w:cs="宋体"/>
                <w:sz w:val="22"/>
                <w:szCs w:val="22"/>
              </w:rPr>
              <w:t xml:space="preserve"> 支持录制并查看发生报警的视频点位或者关联点位的前后5s及以上的录像</w:t>
            </w:r>
            <w:r>
              <w:rPr>
                <w:rFonts w:hint="eastAsia" w:ascii="宋体" w:hAnsi="宋体" w:cs="宋体"/>
                <w:szCs w:val="21"/>
              </w:rPr>
              <w:t>（公安部检测报告证明）</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 xml:space="preserve">7. </w:t>
            </w:r>
            <w:r>
              <w:rPr>
                <w:rFonts w:hint="eastAsia" w:ascii="宋体" w:hAnsi="宋体" w:cs="宋体"/>
                <w:szCs w:val="21"/>
              </w:rPr>
              <w:t>★</w:t>
            </w:r>
            <w:r>
              <w:rPr>
                <w:rFonts w:hint="eastAsia" w:ascii="宋体" w:hAnsi="宋体" w:cs="宋体"/>
                <w:sz w:val="22"/>
                <w:szCs w:val="22"/>
              </w:rPr>
              <w:t>支持处理意见（违规/未违规）、审核意见以及下发处理人等人工操作，并可查看抓拍图片、实时视频、录像回放</w:t>
            </w:r>
            <w:r>
              <w:rPr>
                <w:rFonts w:hint="eastAsia" w:ascii="宋体" w:hAnsi="宋体" w:cs="宋体"/>
                <w:szCs w:val="21"/>
              </w:rPr>
              <w:t>（公安部检测报告证明）</w:t>
            </w:r>
            <w:r>
              <w:rPr>
                <w:rFonts w:hint="eastAsia" w:ascii="宋体" w:hAnsi="宋体" w:cs="宋体"/>
                <w:sz w:val="22"/>
                <w:szCs w:val="22"/>
              </w:rPr>
              <w:t>。</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8. 支持根据监控画面，手动截图多张并上报报警事件</w:t>
            </w:r>
          </w:p>
          <w:p>
            <w:pPr>
              <w:widowControl/>
              <w:ind w:firstLine="0" w:firstLineChars="0"/>
              <w:jc w:val="left"/>
              <w:textAlignment w:val="center"/>
              <w:rPr>
                <w:rFonts w:asciiTheme="minorEastAsia" w:hAnsiTheme="minorEastAsia" w:eastAsiaTheme="minorEastAsia" w:cstheme="minorEastAsia"/>
                <w:sz w:val="22"/>
                <w:szCs w:val="22"/>
              </w:rPr>
            </w:pP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1项</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视频管理平台服务器</w:t>
            </w:r>
          </w:p>
        </w:tc>
        <w:tc>
          <w:tcPr>
            <w:tcW w:w="5210" w:type="dxa"/>
            <w:tcBorders>
              <w:tl2br w:val="nil"/>
              <w:tr2bl w:val="nil"/>
            </w:tcBorders>
            <w:shd w:val="clear" w:color="auto" w:fill="auto"/>
            <w:vAlign w:val="center"/>
          </w:tcPr>
          <w:p>
            <w:pPr>
              <w:widowControl/>
              <w:ind w:firstLine="0" w:firstLineChars="0"/>
              <w:jc w:val="left"/>
              <w:textAlignment w:val="center"/>
              <w:rPr>
                <w:rFonts w:ascii="宋体" w:hAnsi="宋体" w:cs="宋体"/>
                <w:sz w:val="22"/>
                <w:szCs w:val="22"/>
              </w:rPr>
            </w:pPr>
            <w:r>
              <w:rPr>
                <w:rFonts w:hint="eastAsia" w:ascii="宋体" w:hAnsi="宋体" w:cs="宋体"/>
                <w:sz w:val="22"/>
                <w:szCs w:val="22"/>
              </w:rPr>
              <w:t>CPU：Kunpeng 916 × 2</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内存≥64 GB</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硬盘：≥2T 3.5吋/SATA硬盘×2，组R智能化d1</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网口≥4个千兆网口</w:t>
            </w:r>
          </w:p>
          <w:p>
            <w:pPr>
              <w:widowControl/>
              <w:ind w:firstLine="0" w:firstLineChars="0"/>
              <w:jc w:val="left"/>
              <w:textAlignment w:val="center"/>
              <w:rPr>
                <w:rFonts w:asciiTheme="minorEastAsia" w:hAnsiTheme="minorEastAsia" w:eastAsiaTheme="minorEastAsia" w:cstheme="minorEastAsia"/>
                <w:sz w:val="22"/>
                <w:szCs w:val="22"/>
              </w:rPr>
            </w:pPr>
            <w:r>
              <w:rPr>
                <w:rFonts w:hint="eastAsia" w:ascii="宋体" w:hAnsi="宋体" w:cs="宋体"/>
                <w:sz w:val="22"/>
                <w:szCs w:val="22"/>
              </w:rPr>
              <w:t xml:space="preserve">SSD≥480G × 2 </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5"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视频平台事件缓存存储</w:t>
            </w:r>
          </w:p>
        </w:tc>
        <w:tc>
          <w:tcPr>
            <w:tcW w:w="5210" w:type="dxa"/>
            <w:tcBorders>
              <w:tl2br w:val="nil"/>
              <w:tr2bl w:val="nil"/>
            </w:tcBorders>
            <w:shd w:val="clear" w:color="auto" w:fill="auto"/>
            <w:vAlign w:val="center"/>
          </w:tcPr>
          <w:p>
            <w:pPr>
              <w:widowControl/>
              <w:ind w:firstLine="0" w:firstLineChars="0"/>
              <w:jc w:val="left"/>
              <w:textAlignment w:val="center"/>
              <w:rPr>
                <w:rFonts w:ascii="宋体" w:hAnsi="宋体" w:cs="宋体"/>
                <w:sz w:val="22"/>
                <w:szCs w:val="22"/>
              </w:rPr>
            </w:pPr>
            <w:r>
              <w:rPr>
                <w:rFonts w:hint="eastAsia" w:ascii="宋体" w:hAnsi="宋体" w:cs="宋体"/>
                <w:sz w:val="22"/>
                <w:szCs w:val="22"/>
              </w:rPr>
              <w:t>1、设备规格：≤3U，≥16盘位，配置2块8T硬盘；</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2. 支持同时进行≥3072Mbps视（音）频码流存储，3304Mbps视（音）频码流转发、1200Mbps视（音）频码流回放</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3. 在转发模式下，可支持≥6600Mbps视（音）频码流的转发</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4. 可支持不低于800MBps的图片并发输入，同时不低于800MBps图片并发输出</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5. 可通过IE 浏览器进行视频浏览、回放和下载；并支持多画面同时段录像同时回放，或不同时段录像同时回放；网络下载录像速度不低于150MB/s</w:t>
            </w:r>
          </w:p>
          <w:p>
            <w:pPr>
              <w:widowControl/>
              <w:ind w:firstLine="0" w:firstLineChars="0"/>
              <w:jc w:val="left"/>
              <w:textAlignment w:val="center"/>
              <w:rPr>
                <w:rFonts w:hint="eastAsia" w:ascii="宋体" w:hAnsi="宋体" w:eastAsia="宋体" w:cs="宋体"/>
                <w:sz w:val="22"/>
                <w:szCs w:val="22"/>
                <w:lang w:eastAsia="zh-CN"/>
              </w:rPr>
            </w:pPr>
            <w:r>
              <w:rPr>
                <w:rFonts w:hint="eastAsia" w:ascii="宋体" w:hAnsi="宋体" w:cs="宋体"/>
                <w:sz w:val="22"/>
                <w:szCs w:val="22"/>
              </w:rPr>
              <w:t xml:space="preserve">6. </w:t>
            </w:r>
            <w:r>
              <w:rPr>
                <w:rFonts w:hint="eastAsia"/>
              </w:rPr>
              <w:t>★</w:t>
            </w:r>
            <w:r>
              <w:rPr>
                <w:rFonts w:hint="eastAsia" w:ascii="宋体" w:hAnsi="宋体" w:cs="宋体"/>
                <w:sz w:val="22"/>
                <w:szCs w:val="22"/>
              </w:rPr>
              <w:t>设备可接入双音轨，可同时或分别播放左右音轨</w:t>
            </w:r>
            <w:r>
              <w:rPr>
                <w:rFonts w:hint="eastAsia"/>
              </w:rPr>
              <w:t>（公安部检测报告证明）</w:t>
            </w:r>
            <w:r>
              <w:rPr>
                <w:rFonts w:hint="eastAsia"/>
                <w:lang w:eastAsia="zh-CN"/>
              </w:rPr>
              <w:t>。</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7.</w:t>
            </w:r>
            <w:r>
              <w:rPr>
                <w:rFonts w:hint="eastAsia"/>
              </w:rPr>
              <w:t>★</w:t>
            </w:r>
            <w:r>
              <w:rPr>
                <w:rFonts w:hint="eastAsia" w:ascii="宋体" w:hAnsi="宋体" w:cs="宋体"/>
                <w:sz w:val="22"/>
                <w:szCs w:val="22"/>
              </w:rPr>
              <w:t xml:space="preserve"> 支持纠删码技术</w:t>
            </w:r>
            <w:r>
              <w:rPr>
                <w:rFonts w:hint="eastAsia"/>
              </w:rPr>
              <w:t>（公安部检测报告证明）</w:t>
            </w:r>
            <w:r>
              <w:rPr>
                <w:rFonts w:hint="eastAsia" w:ascii="宋体" w:hAnsi="宋体" w:cs="宋体"/>
                <w:sz w:val="22"/>
                <w:szCs w:val="22"/>
              </w:rPr>
              <w:t>。</w:t>
            </w:r>
          </w:p>
          <w:p>
            <w:pPr>
              <w:widowControl/>
              <w:jc w:val="left"/>
              <w:textAlignment w:val="center"/>
              <w:rPr>
                <w:rFonts w:ascii="宋体" w:hAnsi="宋体" w:cs="宋体"/>
                <w:sz w:val="22"/>
                <w:szCs w:val="22"/>
              </w:rPr>
            </w:pPr>
            <w:r>
              <w:rPr>
                <w:rFonts w:hint="eastAsia" w:ascii="宋体" w:hAnsi="宋体" w:cs="宋体"/>
                <w:sz w:val="22"/>
                <w:szCs w:val="22"/>
              </w:rPr>
              <w:t>8.</w:t>
            </w:r>
            <w:r>
              <w:rPr>
                <w:rFonts w:hint="eastAsia" w:ascii="宋体" w:hAnsi="宋体" w:cs="宋体"/>
                <w:szCs w:val="21"/>
              </w:rPr>
              <w:t>★</w:t>
            </w:r>
            <w:r>
              <w:rPr>
                <w:rFonts w:hint="eastAsia" w:ascii="宋体" w:hAnsi="宋体" w:cs="宋体"/>
                <w:sz w:val="22"/>
                <w:szCs w:val="22"/>
              </w:rPr>
              <w:t xml:space="preserve"> 支持将第三方业务平台整体嵌入在一个控制器中，同时运行</w:t>
            </w:r>
            <w:r>
              <w:rPr>
                <w:rFonts w:hint="eastAsia"/>
              </w:rPr>
              <w:t>（公安部检测报告证明）</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9.当系统检查到硬盘损坏、坏块太多、读写大量异常或者无法获取硬盘信息等问题，硬盘会被定义为错误盘，通过用户界面硬盘位标识为红色</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10.采用LINUX操作系统，具有1个控制单元，1个64位多核处理器，8GB内存，可扩展至32GB。具有≥1个64GB SSD固态硬盘，可扩展至2个512GB SSD固态硬盘。</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 xml:space="preserve">11. </w:t>
            </w:r>
            <w:r>
              <w:rPr>
                <w:rFonts w:hint="eastAsia"/>
              </w:rPr>
              <w:t>★</w:t>
            </w:r>
            <w:r>
              <w:rPr>
                <w:rFonts w:hint="eastAsia" w:ascii="宋体" w:hAnsi="宋体" w:cs="宋体"/>
                <w:sz w:val="22"/>
                <w:szCs w:val="22"/>
              </w:rPr>
              <w:t xml:space="preserve"> 可通过选配方式扩展网卡个数：可通过PCI-E接口扩展4个千兆RJ45自适应网络接口，或2个万兆光纤接口</w:t>
            </w:r>
            <w:r>
              <w:rPr>
                <w:rFonts w:hint="eastAsia"/>
              </w:rPr>
              <w:t>（公安部检测报告证明）</w:t>
            </w:r>
          </w:p>
          <w:p>
            <w:pPr>
              <w:widowControl/>
              <w:ind w:firstLine="0" w:firstLineChars="0"/>
              <w:jc w:val="left"/>
              <w:textAlignment w:val="center"/>
              <w:rPr>
                <w:rFonts w:hint="eastAsia" w:ascii="宋体" w:hAnsi="宋体" w:cs="宋体"/>
                <w:sz w:val="22"/>
                <w:szCs w:val="22"/>
              </w:rPr>
            </w:pPr>
            <w:r>
              <w:rPr>
                <w:rFonts w:hint="eastAsia" w:ascii="宋体" w:hAnsi="宋体" w:cs="宋体"/>
                <w:sz w:val="22"/>
                <w:szCs w:val="22"/>
              </w:rPr>
              <w:t xml:space="preserve">12. </w:t>
            </w:r>
            <w:r>
              <w:rPr>
                <w:rFonts w:hint="eastAsia"/>
              </w:rPr>
              <w:t>★</w:t>
            </w:r>
            <w:r>
              <w:rPr>
                <w:rFonts w:hint="eastAsia" w:ascii="宋体" w:hAnsi="宋体" w:cs="宋体"/>
                <w:sz w:val="22"/>
                <w:szCs w:val="22"/>
              </w:rPr>
              <w:t xml:space="preserve"> 具有磁盘指示灯、告警指示灯、网络指示灯、电源指示灯、磁盘上电指示灯及磁盘读写指示灯</w:t>
            </w:r>
            <w:r>
              <w:rPr>
                <w:rFonts w:hint="eastAsia"/>
              </w:rPr>
              <w:t>（公安部检测报告证明）</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13.具有包括R智能化D0、R智能化D1、R智能化D3、R智能化D4、R智能化D5、R智能化D6、R智能化D10、R智能化D50、R智能化D60、超级R智能化D、JBOD、R智能化D5EE的R智能化D功能设置选项。</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14.可通过浏览器显示磁盘剩余空间容量，并可划分多个容量不同的盘组。当磁盘阵列中某块磁盘发生故障时，可将数据自动存储至热备盘，磁盘恢复正常后，数据不应丢失且磁盘阵列可自动重构。</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 xml:space="preserve">15. </w:t>
            </w:r>
            <w:r>
              <w:rPr>
                <w:rFonts w:hint="eastAsia"/>
              </w:rPr>
              <w:t>★</w:t>
            </w:r>
            <w:r>
              <w:rPr>
                <w:rFonts w:hint="eastAsia" w:ascii="宋体" w:hAnsi="宋体" w:cs="宋体"/>
                <w:sz w:val="22"/>
                <w:szCs w:val="22"/>
              </w:rPr>
              <w:t xml:space="preserve">  R智能化d 2.0创建后无需数据同步即可使用，无需热备盘直接重构。可将损坏R智能化D按照损坏等级进行重构，支持全局重构、局部重构、区域重构和不重构4种模式。最大重构速度达到2TB/h</w:t>
            </w:r>
            <w:r>
              <w:rPr>
                <w:rFonts w:hint="eastAsia"/>
              </w:rPr>
              <w:t>（公安部检测报告证明）</w:t>
            </w:r>
            <w:r>
              <w:rPr>
                <w:rFonts w:hint="eastAsia" w:ascii="宋体" w:hAnsi="宋体" w:cs="宋体"/>
                <w:sz w:val="22"/>
                <w:szCs w:val="22"/>
              </w:rPr>
              <w:t>。</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16.设备可批量添加、修改接入的前端摄像机IP地址，并可对已添加的前端摄像机IP进行过滤</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17.主机支持专用的存储硬盘，可升级专用硬盘固件;支持实时监测专用硬盘的健康状态</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18.可对被监测的硬盘健康状态进行分级分类，类别包含“硬盘良好状态”、“硬盘告警状态”、“硬盘错误状态”、“硬盘即将损坏”和“硬盘损坏状态”</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19.</w:t>
            </w:r>
            <w:r>
              <w:rPr>
                <w:rFonts w:hint="eastAsia"/>
              </w:rPr>
              <w:t>★</w:t>
            </w:r>
            <w:r>
              <w:rPr>
                <w:rFonts w:hint="eastAsia" w:ascii="宋体" w:hAnsi="宋体" w:cs="宋体"/>
                <w:sz w:val="22"/>
                <w:szCs w:val="22"/>
              </w:rPr>
              <w:t xml:space="preserve">  设备支持扩展 MiniSAS HD 接口， 支持通过电口 SAS 线或光口 SAS 线进行互联， 能够通过 SAS 线进行上行和下行的数据通信</w:t>
            </w:r>
            <w:r>
              <w:rPr>
                <w:rFonts w:hint="eastAsia"/>
              </w:rPr>
              <w:t>（公安部检测报告证明）</w:t>
            </w:r>
          </w:p>
          <w:p>
            <w:pPr>
              <w:widowControl/>
              <w:ind w:firstLine="0" w:firstLineChars="0"/>
              <w:jc w:val="left"/>
              <w:textAlignment w:val="center"/>
              <w:rPr>
                <w:rFonts w:ascii="宋体" w:hAnsi="宋体" w:cs="宋体"/>
                <w:sz w:val="22"/>
                <w:szCs w:val="22"/>
              </w:rPr>
            </w:pPr>
            <w:r>
              <w:rPr>
                <w:rFonts w:hint="eastAsia" w:ascii="宋体" w:hAnsi="宋体" w:cs="宋体"/>
                <w:sz w:val="22"/>
                <w:szCs w:val="22"/>
              </w:rPr>
              <w:t xml:space="preserve">20. </w:t>
            </w:r>
            <w:r>
              <w:rPr>
                <w:rFonts w:hint="eastAsia"/>
              </w:rPr>
              <w:t>★</w:t>
            </w:r>
            <w:r>
              <w:rPr>
                <w:rFonts w:hint="eastAsia" w:ascii="宋体" w:hAnsi="宋体" w:cs="宋体"/>
                <w:sz w:val="22"/>
                <w:szCs w:val="22"/>
              </w:rPr>
              <w:t xml:space="preserve"> 支持任意 N 台设备（N≥2） 通过 SAS数据线组成环状结构集群， 设备集群之间数据能够通过环状结构进行传递和通信， 其中任意 1 台设备都可以访问其下游设备中的数据</w:t>
            </w:r>
            <w:r>
              <w:rPr>
                <w:rFonts w:hint="eastAsia"/>
              </w:rPr>
              <w:t>（公安部检测报告证明）</w:t>
            </w:r>
          </w:p>
          <w:p>
            <w:pPr>
              <w:widowControl/>
              <w:ind w:firstLine="0" w:firstLineChars="0"/>
              <w:jc w:val="left"/>
              <w:textAlignment w:val="center"/>
              <w:rPr>
                <w:rFonts w:asciiTheme="minorEastAsia" w:hAnsiTheme="minorEastAsia" w:eastAsiaTheme="minorEastAsia" w:cstheme="minorEastAsia"/>
                <w:sz w:val="22"/>
                <w:szCs w:val="22"/>
              </w:rPr>
            </w:pPr>
            <w:r>
              <w:rPr>
                <w:rFonts w:hint="eastAsia" w:ascii="宋体" w:hAnsi="宋体" w:cs="宋体"/>
                <w:sz w:val="22"/>
                <w:szCs w:val="22"/>
              </w:rPr>
              <w:t xml:space="preserve">21.  </w:t>
            </w:r>
            <w:r>
              <w:rPr>
                <w:rFonts w:hint="eastAsia"/>
              </w:rPr>
              <w:t>★</w:t>
            </w:r>
            <w:r>
              <w:rPr>
                <w:rFonts w:hint="eastAsia" w:ascii="宋体" w:hAnsi="宋体" w:cs="宋体"/>
                <w:sz w:val="22"/>
                <w:szCs w:val="22"/>
              </w:rPr>
              <w:t>支持多台设备组成 SAS 数据环集群，当环状结构上的任意 1 个节点出现故障（包括主控盒硬件故障、 软件故障或者网络故障等）， 该节点设备上的硬盘通过 SAS 链路被上游设备接管， 该节点设备的上业务也会迁移到上游设备继续执行， 从而实现业务不中断、录像不丢失， 同时该故障设备的硬盘中数据可以被上游设备读取</w:t>
            </w:r>
            <w:r>
              <w:rPr>
                <w:rFonts w:hint="eastAsia"/>
              </w:rPr>
              <w:t>（公安部检测报告证明）</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jc w:val="center"/>
              <w:rPr>
                <w:rFonts w:asciiTheme="minorEastAsia" w:hAnsiTheme="minorEastAsia" w:eastAsiaTheme="minorEastAsia" w:cstheme="minorEastAsia"/>
                <w:kern w:val="0"/>
                <w:sz w:val="22"/>
                <w:szCs w:val="22"/>
                <w:lang w:bidi="ar"/>
              </w:rPr>
            </w:pPr>
            <w:r>
              <w:rPr>
                <w:rFonts w:hint="eastAsia" w:ascii="宋体" w:hAnsi="宋体" w:cs="宋体"/>
                <w:sz w:val="22"/>
                <w:szCs w:val="22"/>
              </w:rPr>
              <w:t>出口路由器</w:t>
            </w:r>
          </w:p>
        </w:tc>
        <w:tc>
          <w:tcPr>
            <w:tcW w:w="5210" w:type="dxa"/>
            <w:tcBorders>
              <w:tl2br w:val="nil"/>
              <w:tr2bl w:val="nil"/>
            </w:tcBorders>
            <w:shd w:val="clear" w:color="auto" w:fill="auto"/>
            <w:vAlign w:val="center"/>
          </w:tcPr>
          <w:p>
            <w:pPr>
              <w:ind w:firstLine="0" w:firstLineChars="0"/>
              <w:jc w:val="both"/>
              <w:rPr>
                <w:rFonts w:ascii="宋体" w:hAnsi="宋体" w:cs="宋体"/>
                <w:sz w:val="22"/>
                <w:szCs w:val="22"/>
              </w:rPr>
            </w:pPr>
            <w:r>
              <w:rPr>
                <w:rFonts w:hint="eastAsia" w:ascii="宋体" w:hAnsi="宋体" w:cs="宋体"/>
                <w:sz w:val="22"/>
                <w:szCs w:val="22"/>
              </w:rPr>
              <w:t>1.设备架构：整机业务载板插槽≥6个，设备支持冗余主控，支持电源冗余；本次配置MPU板≥1个，SPU板≥1个，冗余电源；接口≥8 Combo口</w:t>
            </w:r>
          </w:p>
          <w:p>
            <w:pPr>
              <w:ind w:firstLine="0" w:firstLineChars="0"/>
              <w:jc w:val="both"/>
              <w:rPr>
                <w:rFonts w:hint="eastAsia" w:ascii="宋体" w:hAnsi="宋体" w:cs="宋体"/>
                <w:sz w:val="22"/>
                <w:szCs w:val="22"/>
              </w:rPr>
            </w:pPr>
            <w:r>
              <w:rPr>
                <w:rFonts w:hint="eastAsia" w:ascii="宋体" w:hAnsi="宋体" w:cs="宋体"/>
                <w:sz w:val="22"/>
                <w:szCs w:val="22"/>
              </w:rPr>
              <w:t>2.</w:t>
            </w:r>
            <w:r>
              <w:rPr>
                <w:rFonts w:hint="eastAsia"/>
              </w:rPr>
              <w:t>★</w:t>
            </w:r>
            <w:r>
              <w:rPr>
                <w:rFonts w:hint="eastAsia" w:ascii="宋体" w:hAnsi="宋体" w:cs="宋体"/>
                <w:sz w:val="22"/>
                <w:szCs w:val="22"/>
              </w:rPr>
              <w:t>控制、转发物理分离</w:t>
            </w:r>
            <w:r>
              <w:rPr>
                <w:rFonts w:hint="eastAsia"/>
              </w:rPr>
              <w:t>提供产品主控及转发板截图</w:t>
            </w:r>
          </w:p>
          <w:p>
            <w:pPr>
              <w:ind w:firstLine="0" w:firstLineChars="0"/>
              <w:jc w:val="both"/>
              <w:rPr>
                <w:rFonts w:ascii="宋体" w:hAnsi="宋体" w:cs="宋体"/>
                <w:sz w:val="22"/>
                <w:szCs w:val="22"/>
              </w:rPr>
            </w:pPr>
            <w:r>
              <w:rPr>
                <w:rFonts w:hint="eastAsia" w:ascii="宋体" w:hAnsi="宋体" w:cs="宋体"/>
                <w:sz w:val="22"/>
                <w:szCs w:val="22"/>
              </w:rPr>
              <w:t>3.转发性能≥360Mpps，4.支持25GE/10GE/GE/E1/POS接口</w:t>
            </w:r>
          </w:p>
          <w:p>
            <w:pPr>
              <w:ind w:firstLine="0" w:firstLineChars="0"/>
              <w:jc w:val="both"/>
              <w:rPr>
                <w:rFonts w:ascii="宋体" w:hAnsi="宋体" w:cs="宋体"/>
                <w:sz w:val="22"/>
                <w:szCs w:val="22"/>
              </w:rPr>
            </w:pPr>
            <w:r>
              <w:rPr>
                <w:rFonts w:hint="eastAsia" w:ascii="宋体" w:hAnsi="宋体" w:cs="宋体"/>
                <w:sz w:val="22"/>
                <w:szCs w:val="22"/>
              </w:rPr>
              <w:t>5.支持配置四电源</w:t>
            </w:r>
          </w:p>
          <w:p>
            <w:pPr>
              <w:ind w:firstLine="0" w:firstLineChars="0"/>
              <w:jc w:val="both"/>
              <w:rPr>
                <w:rFonts w:ascii="宋体" w:hAnsi="宋体" w:cs="宋体"/>
                <w:sz w:val="22"/>
                <w:szCs w:val="22"/>
              </w:rPr>
            </w:pPr>
            <w:r>
              <w:rPr>
                <w:rFonts w:hint="eastAsia" w:ascii="宋体" w:hAnsi="宋体" w:cs="宋体"/>
                <w:sz w:val="22"/>
                <w:szCs w:val="22"/>
              </w:rPr>
              <w:t>6.支持虚拟化特性，将物理上两台设备虚拟化成一台逻辑设备</w:t>
            </w:r>
          </w:p>
          <w:p>
            <w:pPr>
              <w:ind w:firstLine="0" w:firstLineChars="0"/>
              <w:jc w:val="both"/>
              <w:rPr>
                <w:rFonts w:ascii="宋体" w:hAnsi="宋体" w:cs="宋体"/>
                <w:sz w:val="22"/>
                <w:szCs w:val="22"/>
              </w:rPr>
            </w:pPr>
            <w:r>
              <w:rPr>
                <w:rFonts w:hint="eastAsia" w:ascii="宋体" w:hAnsi="宋体" w:cs="宋体"/>
                <w:sz w:val="22"/>
                <w:szCs w:val="22"/>
              </w:rPr>
              <w:t>7.支持对终端用户域名访问控制功能，8.支持对HTTP/FTP等TCP业务流量进行优化传输技术，提高广域网带宽利用率</w:t>
            </w:r>
          </w:p>
          <w:p>
            <w:pPr>
              <w:ind w:firstLine="0" w:firstLineChars="0"/>
              <w:jc w:val="both"/>
              <w:rPr>
                <w:rFonts w:ascii="宋体" w:hAnsi="宋体" w:cs="宋体"/>
                <w:sz w:val="22"/>
                <w:szCs w:val="22"/>
              </w:rPr>
            </w:pPr>
            <w:r>
              <w:rPr>
                <w:rFonts w:hint="eastAsia" w:ascii="宋体" w:hAnsi="宋体" w:cs="宋体"/>
                <w:sz w:val="22"/>
                <w:szCs w:val="22"/>
              </w:rPr>
              <w:t>9. 支持Web cache技术，是将用户通过HTTP协议访问过的指定地址服务器的Web页面内容，缓存在本地，在缓存文件的老化时间内用户访问相同内容时，直接从本地响应的一种缓存功能，从而减少设备到服务器的访问流量、降低传输成本、缓解目的端服务器压力，同时提高了用户访问网站的速度及响应时间，增强了用户体验。</w:t>
            </w:r>
          </w:p>
          <w:p>
            <w:pPr>
              <w:ind w:firstLine="0" w:firstLineChars="0"/>
              <w:jc w:val="both"/>
              <w:rPr>
                <w:sz w:val="22"/>
                <w:szCs w:val="22"/>
              </w:rPr>
            </w:pPr>
            <w:r>
              <w:rPr>
                <w:rFonts w:hint="eastAsia" w:ascii="宋体" w:hAnsi="宋体" w:cs="宋体"/>
                <w:sz w:val="22"/>
                <w:szCs w:val="22"/>
              </w:rPr>
              <w:t>要求支持此功能</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kern w:val="0"/>
                <w:sz w:val="22"/>
                <w:szCs w:val="22"/>
                <w:lang w:bidi="ar"/>
              </w:rPr>
              <w:t>1台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5" w:hRule="atLeast"/>
        </w:trPr>
        <w:tc>
          <w:tcPr>
            <w:tcW w:w="961" w:type="dxa"/>
            <w:tcBorders>
              <w:tl2br w:val="nil"/>
              <w:tr2bl w:val="nil"/>
            </w:tcBorders>
            <w:shd w:val="clear" w:color="auto" w:fill="auto"/>
            <w:noWrap/>
            <w:vAlign w:val="center"/>
          </w:tcPr>
          <w:p>
            <w:pPr>
              <w:widowControl/>
              <w:numPr>
                <w:ilvl w:val="0"/>
                <w:numId w:val="6"/>
              </w:numPr>
              <w:jc w:val="center"/>
              <w:textAlignment w:val="center"/>
              <w:rPr>
                <w:rFonts w:asciiTheme="minorEastAsia" w:hAnsiTheme="minorEastAsia" w:eastAsiaTheme="minorEastAsia" w:cstheme="minorEastAsia"/>
                <w:sz w:val="22"/>
                <w:szCs w:val="22"/>
              </w:rPr>
            </w:pPr>
          </w:p>
        </w:tc>
        <w:tc>
          <w:tcPr>
            <w:tcW w:w="1234" w:type="dxa"/>
            <w:tcBorders>
              <w:tl2br w:val="nil"/>
              <w:tr2bl w:val="nil"/>
            </w:tcBorders>
            <w:shd w:val="clear" w:color="auto" w:fill="auto"/>
            <w:noWrap/>
            <w:vAlign w:val="center"/>
          </w:tcPr>
          <w:p>
            <w:pPr>
              <w:jc w:val="center"/>
              <w:rPr>
                <w:rFonts w:asciiTheme="minorEastAsia" w:hAnsiTheme="minorEastAsia" w:eastAsiaTheme="minorEastAsia" w:cstheme="minorEastAsia"/>
                <w:kern w:val="0"/>
                <w:sz w:val="22"/>
                <w:szCs w:val="22"/>
                <w:lang w:bidi="ar"/>
              </w:rPr>
            </w:pPr>
            <w:r>
              <w:rPr>
                <w:rFonts w:hint="eastAsia" w:ascii="宋体" w:hAnsi="宋体" w:cs="宋体"/>
                <w:sz w:val="22"/>
                <w:szCs w:val="22"/>
              </w:rPr>
              <w:t>服务器汇聚交换机</w:t>
            </w:r>
          </w:p>
        </w:tc>
        <w:tc>
          <w:tcPr>
            <w:tcW w:w="5210" w:type="dxa"/>
            <w:tcBorders>
              <w:tl2br w:val="nil"/>
              <w:tr2bl w:val="nil"/>
            </w:tcBorders>
            <w:shd w:val="clear" w:color="auto" w:fill="auto"/>
            <w:vAlign w:val="center"/>
          </w:tcPr>
          <w:p>
            <w:pPr>
              <w:ind w:firstLine="0" w:firstLineChars="0"/>
              <w:jc w:val="both"/>
              <w:rPr>
                <w:rFonts w:ascii="宋体" w:hAnsi="宋体" w:cs="宋体"/>
                <w:sz w:val="22"/>
                <w:szCs w:val="22"/>
              </w:rPr>
            </w:pPr>
            <w:r>
              <w:rPr>
                <w:rFonts w:hint="eastAsia" w:ascii="宋体" w:hAnsi="宋体" w:cs="宋体"/>
                <w:sz w:val="22"/>
                <w:szCs w:val="22"/>
                <w:lang w:val="en-US" w:eastAsia="zh-CN"/>
              </w:rPr>
              <w:t>1、</w:t>
            </w:r>
            <w:r>
              <w:rPr>
                <w:rFonts w:hint="eastAsia" w:ascii="宋体" w:hAnsi="宋体" w:cs="宋体"/>
                <w:sz w:val="22"/>
                <w:szCs w:val="22"/>
              </w:rPr>
              <w:t>交换容量：≥590Gbps，转发性能：≥220Mpps。</w:t>
            </w:r>
          </w:p>
          <w:p>
            <w:pPr>
              <w:ind w:firstLine="0" w:firstLineChars="0"/>
              <w:jc w:val="both"/>
              <w:rPr>
                <w:rFonts w:ascii="宋体" w:hAnsi="宋体" w:cs="宋体"/>
                <w:sz w:val="22"/>
                <w:szCs w:val="22"/>
              </w:rPr>
            </w:pPr>
            <w:r>
              <w:rPr>
                <w:rFonts w:hint="eastAsia" w:ascii="宋体" w:hAnsi="宋体" w:cs="宋体"/>
                <w:sz w:val="22"/>
                <w:szCs w:val="22"/>
              </w:rPr>
              <w:t>2、接口类型：≥24个10/100/1000BASE-T端口(含8 Combo口),≥4个1G/10GBASE-X SFP Plus端口,1个Slot。</w:t>
            </w:r>
          </w:p>
          <w:p>
            <w:pPr>
              <w:ind w:firstLine="0" w:firstLineChars="0"/>
              <w:jc w:val="both"/>
              <w:rPr>
                <w:rFonts w:ascii="宋体" w:hAnsi="宋体" w:cs="宋体"/>
                <w:sz w:val="22"/>
                <w:szCs w:val="22"/>
              </w:rPr>
            </w:pPr>
            <w:r>
              <w:rPr>
                <w:rFonts w:hint="eastAsia" w:ascii="宋体" w:hAnsi="宋体" w:cs="宋体"/>
                <w:sz w:val="22"/>
                <w:szCs w:val="22"/>
              </w:rPr>
              <w:t>3、可扩展板卡：支持扩展下一代防火墙模块。</w:t>
            </w:r>
          </w:p>
          <w:p>
            <w:pPr>
              <w:ind w:firstLine="0" w:firstLineChars="0"/>
              <w:jc w:val="both"/>
              <w:rPr>
                <w:rFonts w:ascii="宋体" w:hAnsi="宋体" w:cs="宋体"/>
                <w:sz w:val="22"/>
                <w:szCs w:val="22"/>
              </w:rPr>
            </w:pPr>
            <w:r>
              <w:rPr>
                <w:rFonts w:hint="eastAsia" w:ascii="宋体" w:hAnsi="宋体" w:cs="宋体"/>
                <w:sz w:val="22"/>
                <w:szCs w:val="22"/>
              </w:rPr>
              <w:t>4、堆叠：支持IRF2（第二代智能弹性架构）技术。</w:t>
            </w:r>
          </w:p>
          <w:p>
            <w:pPr>
              <w:ind w:firstLine="0" w:firstLineChars="0"/>
              <w:jc w:val="both"/>
              <w:rPr>
                <w:rFonts w:ascii="宋体" w:hAnsi="宋体" w:cs="宋体"/>
                <w:sz w:val="22"/>
                <w:szCs w:val="22"/>
              </w:rPr>
            </w:pPr>
            <w:r>
              <w:rPr>
                <w:rFonts w:hint="eastAsia" w:ascii="宋体" w:hAnsi="宋体" w:cs="宋体"/>
                <w:sz w:val="22"/>
                <w:szCs w:val="22"/>
              </w:rPr>
              <w:t>5、二层环网协议：支持STP/RSTP/MSTP；支持SmartLink；支持RRPP。</w:t>
            </w:r>
          </w:p>
          <w:p>
            <w:pPr>
              <w:ind w:firstLine="0" w:firstLineChars="0"/>
              <w:jc w:val="both"/>
              <w:rPr>
                <w:rFonts w:ascii="宋体" w:hAnsi="宋体" w:cs="宋体"/>
                <w:sz w:val="22"/>
                <w:szCs w:val="22"/>
              </w:rPr>
            </w:pPr>
            <w:r>
              <w:rPr>
                <w:rFonts w:hint="eastAsia" w:ascii="宋体" w:hAnsi="宋体" w:cs="宋体"/>
                <w:sz w:val="22"/>
                <w:szCs w:val="22"/>
              </w:rPr>
              <w:t>6、镜像：支持流镜像；支持N:4端口镜像；支持本地和远程端口镜像。</w:t>
            </w:r>
          </w:p>
          <w:p>
            <w:pPr>
              <w:ind w:firstLine="0" w:firstLineChars="0"/>
              <w:jc w:val="both"/>
              <w:rPr>
                <w:rFonts w:ascii="宋体" w:hAnsi="宋体" w:cs="宋体"/>
                <w:sz w:val="22"/>
                <w:szCs w:val="22"/>
              </w:rPr>
            </w:pPr>
            <w:r>
              <w:rPr>
                <w:rFonts w:hint="eastAsia" w:ascii="宋体" w:hAnsi="宋体" w:cs="宋体"/>
                <w:sz w:val="22"/>
                <w:szCs w:val="22"/>
              </w:rPr>
              <w:t>7、安全特性：支持EAD（终端准入控制）功能。</w:t>
            </w:r>
          </w:p>
          <w:p>
            <w:pPr>
              <w:ind w:firstLine="0" w:firstLineChars="0"/>
              <w:jc w:val="both"/>
              <w:rPr>
                <w:sz w:val="22"/>
                <w:szCs w:val="22"/>
              </w:rPr>
            </w:pPr>
            <w:r>
              <w:rPr>
                <w:rFonts w:hint="eastAsia" w:ascii="宋体" w:hAnsi="宋体" w:cs="宋体"/>
                <w:sz w:val="22"/>
                <w:szCs w:val="22"/>
              </w:rPr>
              <w:t>8、管理与维护：支持系统日志，分级告警，调试信息输出；支持电源的告警功能，风扇、温度告警。</w:t>
            </w:r>
          </w:p>
        </w:tc>
        <w:tc>
          <w:tcPr>
            <w:tcW w:w="107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kern w:val="0"/>
                <w:sz w:val="22"/>
                <w:szCs w:val="22"/>
                <w:lang w:bidi="ar"/>
              </w:rPr>
              <w:t>2台</w:t>
            </w:r>
          </w:p>
        </w:tc>
        <w:tc>
          <w:tcPr>
            <w:tcW w:w="90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p>
        </w:tc>
      </w:tr>
    </w:tbl>
    <w:p>
      <w:pPr>
        <w:numPr>
          <w:ilvl w:val="0"/>
          <w:numId w:val="5"/>
        </w:numPr>
        <w:snapToGrid w:val="0"/>
        <w:spacing w:line="460" w:lineRule="atLeast"/>
        <w:ind w:left="0" w:leftChars="0" w:firstLine="422" w:firstLineChars="200"/>
        <w:rPr>
          <w:rFonts w:hint="eastAsia" w:ascii="宋体"/>
          <w:b/>
          <w:bCs/>
          <w:sz w:val="22"/>
          <w:szCs w:val="22"/>
          <w:lang w:val="en-US" w:eastAsia="zh-CN"/>
        </w:rPr>
      </w:pPr>
      <w:r>
        <w:rPr>
          <w:rFonts w:hint="eastAsia" w:ascii="宋体" w:hAnsi="宋体" w:eastAsia="宋体" w:cs="宋体"/>
          <w:b/>
          <w:bCs/>
          <w:i w:val="0"/>
          <w:iCs w:val="0"/>
          <w:color w:val="000000"/>
          <w:sz w:val="21"/>
          <w:szCs w:val="21"/>
          <w:u w:val="none"/>
        </w:rPr>
        <w:t>新建垃圾房（非封闭场所）</w:t>
      </w:r>
      <w:r>
        <w:rPr>
          <w:rFonts w:hint="eastAsia"/>
          <w:b/>
          <w:bCs/>
        </w:rPr>
        <w:t>参数要求</w:t>
      </w:r>
    </w:p>
    <w:tbl>
      <w:tblPr>
        <w:tblStyle w:val="36"/>
        <w:tblW w:w="9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25"/>
        <w:gridCol w:w="5909"/>
        <w:gridCol w:w="109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22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产品名称</w:t>
            </w:r>
          </w:p>
        </w:tc>
        <w:tc>
          <w:tcPr>
            <w:tcW w:w="5909"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技术参数</w:t>
            </w:r>
          </w:p>
        </w:tc>
        <w:tc>
          <w:tcPr>
            <w:tcW w:w="109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数量</w:t>
            </w:r>
          </w:p>
        </w:tc>
        <w:tc>
          <w:tcPr>
            <w:tcW w:w="76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w:t>
            </w:r>
          </w:p>
        </w:tc>
        <w:tc>
          <w:tcPr>
            <w:tcW w:w="1225" w:type="dxa"/>
            <w:tcBorders>
              <w:tl2br w:val="nil"/>
              <w:tr2bl w:val="nil"/>
            </w:tcBorders>
            <w:shd w:val="clear" w:color="000000" w:fill="FFFFFF"/>
            <w:vAlign w:val="center"/>
          </w:tcPr>
          <w:p>
            <w:pPr>
              <w:widowControl/>
              <w:jc w:val="center"/>
              <w:textAlignment w:val="center"/>
              <w:rPr>
                <w:rFonts w:hAnsi="宋体" w:cs="宋体"/>
                <w:sz w:val="22"/>
                <w:szCs w:val="22"/>
              </w:rPr>
            </w:pPr>
            <w:r>
              <w:rPr>
                <w:rFonts w:hint="eastAsia" w:hAnsi="宋体" w:cs="宋体"/>
                <w:sz w:val="22"/>
                <w:szCs w:val="22"/>
              </w:rPr>
              <w:t>智能化垃圾管理双光变焦相机</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hAnsi="宋体" w:cs="宋体"/>
                <w:sz w:val="22"/>
                <w:szCs w:val="22"/>
              </w:rPr>
            </w:pPr>
            <w:r>
              <w:rPr>
                <w:rFonts w:hint="eastAsia" w:hAnsi="宋体" w:cs="宋体"/>
                <w:sz w:val="22"/>
                <w:szCs w:val="22"/>
              </w:rPr>
              <w:t>12.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2</w:t>
            </w:r>
          </w:p>
        </w:tc>
        <w:tc>
          <w:tcPr>
            <w:tcW w:w="1225" w:type="dxa"/>
            <w:tcBorders>
              <w:tl2br w:val="nil"/>
              <w:tr2bl w:val="nil"/>
            </w:tcBorders>
            <w:shd w:val="clear" w:color="auto" w:fill="auto"/>
            <w:vAlign w:val="center"/>
          </w:tcPr>
          <w:p>
            <w:pPr>
              <w:widowControl/>
              <w:jc w:val="center"/>
              <w:textAlignment w:val="center"/>
              <w:rPr>
                <w:rFonts w:hint="eastAsia" w:hAnsi="宋体" w:eastAsia="宋体" w:cs="宋体"/>
                <w:sz w:val="22"/>
                <w:szCs w:val="22"/>
                <w:lang w:eastAsia="zh-CN"/>
              </w:rPr>
            </w:pPr>
            <w:r>
              <w:rPr>
                <w:rFonts w:hint="eastAsia" w:hAnsi="宋体" w:cs="宋体"/>
                <w:sz w:val="22"/>
                <w:szCs w:val="22"/>
              </w:rPr>
              <w:t>智能化垃圾满溢相机</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hAnsi="宋体" w:cs="宋体"/>
                <w:sz w:val="22"/>
                <w:szCs w:val="22"/>
              </w:rPr>
            </w:pPr>
            <w:r>
              <w:rPr>
                <w:rFonts w:hint="eastAsia" w:hAnsi="宋体" w:cs="宋体"/>
                <w:sz w:val="22"/>
                <w:szCs w:val="22"/>
              </w:rPr>
              <w:t>12.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3</w:t>
            </w:r>
          </w:p>
        </w:tc>
        <w:tc>
          <w:tcPr>
            <w:tcW w:w="1225" w:type="dxa"/>
            <w:tcBorders>
              <w:tl2br w:val="nil"/>
              <w:tr2bl w:val="nil"/>
            </w:tcBorders>
            <w:shd w:val="clear" w:color="000000" w:fill="FFFFFF"/>
            <w:vAlign w:val="center"/>
          </w:tcPr>
          <w:p>
            <w:pPr>
              <w:pStyle w:val="20"/>
              <w:snapToGrid w:val="0"/>
              <w:spacing w:line="400" w:lineRule="exact"/>
              <w:rPr>
                <w:rFonts w:hint="default" w:hAnsi="宋体" w:cs="宋体"/>
                <w:sz w:val="22"/>
                <w:szCs w:val="22"/>
                <w:lang w:val="en-US"/>
              </w:rPr>
            </w:pPr>
            <w:r>
              <w:rPr>
                <w:rFonts w:hint="eastAsia" w:hAnsi="宋体" w:cs="宋体"/>
                <w:sz w:val="22"/>
                <w:szCs w:val="22"/>
              </w:rPr>
              <w:t>车辆检测</w:t>
            </w:r>
            <w:r>
              <w:rPr>
                <w:rFonts w:hint="eastAsia" w:hAnsi="宋体" w:cs="宋体"/>
                <w:sz w:val="22"/>
                <w:szCs w:val="22"/>
                <w:lang w:val="en-US" w:eastAsia="zh-CN"/>
              </w:rPr>
              <w:t>网络相机</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像素≥200万;传感器类型≥1/2.8英寸CMOS；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最大分辨率≥1920×1080；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最大补光距离≥80m（红外视频监控距离）30m（暖光视频监控距离）2m（暖光人脸检测距离）；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镜头类型：定焦；镜头光圈≥F1.6；</w:t>
            </w:r>
          </w:p>
          <w:p>
            <w:pPr>
              <w:pStyle w:val="20"/>
              <w:snapToGrid w:val="0"/>
              <w:spacing w:line="400" w:lineRule="exact"/>
              <w:ind w:firstLine="0" w:firstLineChars="0"/>
              <w:rPr>
                <w:rFonts w:hAnsi="宋体" w:cs="宋体"/>
                <w:sz w:val="22"/>
                <w:szCs w:val="22"/>
              </w:rPr>
            </w:pPr>
            <w:r>
              <w:rPr>
                <w:rFonts w:hint="eastAsia" w:hAnsi="宋体" w:cs="宋体"/>
                <w:sz w:val="22"/>
                <w:szCs w:val="22"/>
              </w:rPr>
              <w:t>7. 支持人脸检测：支持跟踪，支持优选，支持抓拍，支持上报最优的人脸抓图，支持人脸增强，人脸曝光</w:t>
            </w:r>
          </w:p>
          <w:p>
            <w:pPr>
              <w:pStyle w:val="20"/>
              <w:snapToGrid w:val="0"/>
              <w:spacing w:line="400" w:lineRule="exact"/>
              <w:ind w:firstLine="0" w:firstLineChars="0"/>
              <w:rPr>
                <w:rFonts w:hAnsi="宋体" w:cs="宋体"/>
                <w:sz w:val="22"/>
                <w:szCs w:val="22"/>
              </w:rPr>
            </w:pPr>
            <w:r>
              <w:rPr>
                <w:rFonts w:hint="eastAsia" w:hAnsi="宋体" w:cs="宋体"/>
                <w:sz w:val="22"/>
                <w:szCs w:val="22"/>
              </w:rPr>
              <w:t>8. 支持智能侦测：区域入侵，绊线入侵，快速移动（可人车分类及精准检测），物品遗留，物品搬移，徘徊检测，人员聚集，停车检测，热度图</w:t>
            </w:r>
          </w:p>
          <w:p>
            <w:pPr>
              <w:pStyle w:val="20"/>
              <w:snapToGrid w:val="0"/>
              <w:spacing w:line="400" w:lineRule="exact"/>
              <w:ind w:firstLine="0" w:firstLineChars="0"/>
              <w:rPr>
                <w:rFonts w:hAnsi="宋体" w:cs="宋体"/>
                <w:sz w:val="22"/>
                <w:szCs w:val="22"/>
              </w:rPr>
            </w:pPr>
            <w:r>
              <w:rPr>
                <w:rFonts w:hint="eastAsia" w:hAnsi="宋体" w:cs="宋体"/>
                <w:sz w:val="22"/>
                <w:szCs w:val="22"/>
              </w:rPr>
              <w:t>9. 支持声光报警联动，当报警产生时，可触发联动声音警报和灯光闪烁</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11. 支持内置MIC和扬声器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12. 支持DC12V/POE供电方式</w:t>
            </w:r>
          </w:p>
          <w:p>
            <w:pPr>
              <w:pStyle w:val="20"/>
              <w:snapToGrid w:val="0"/>
              <w:spacing w:line="400" w:lineRule="exact"/>
              <w:ind w:firstLine="0" w:firstLineChars="0"/>
              <w:rPr>
                <w:rFonts w:hAnsi="宋体" w:cs="宋体"/>
                <w:sz w:val="22"/>
                <w:szCs w:val="22"/>
              </w:rPr>
            </w:pPr>
            <w:r>
              <w:rPr>
                <w:rFonts w:hint="eastAsia" w:hAnsi="宋体" w:cs="宋体"/>
                <w:sz w:val="22"/>
                <w:szCs w:val="22"/>
              </w:rPr>
              <w:t>13. 支持IP67防护等级</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4</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电感烟火灾探测报警器</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采集类型：烟雾，温度</w:t>
            </w:r>
          </w:p>
          <w:p>
            <w:pPr>
              <w:pStyle w:val="20"/>
              <w:snapToGrid w:val="0"/>
              <w:spacing w:line="400" w:lineRule="exact"/>
              <w:ind w:firstLine="0" w:firstLineChars="0"/>
              <w:rPr>
                <w:rFonts w:hAnsi="宋体" w:cs="宋体"/>
                <w:sz w:val="22"/>
                <w:szCs w:val="22"/>
              </w:rPr>
            </w:pPr>
            <w:r>
              <w:rPr>
                <w:rFonts w:hint="eastAsia" w:hAnsi="宋体" w:cs="宋体"/>
                <w:sz w:val="22"/>
                <w:szCs w:val="22"/>
              </w:rPr>
              <w:t>2. 采样周期≤ 9s</w:t>
            </w:r>
          </w:p>
          <w:p>
            <w:pPr>
              <w:pStyle w:val="20"/>
              <w:snapToGrid w:val="0"/>
              <w:spacing w:line="400" w:lineRule="exact"/>
              <w:ind w:firstLine="0" w:firstLineChars="0"/>
              <w:rPr>
                <w:rFonts w:hAnsi="宋体" w:cs="宋体"/>
                <w:sz w:val="22"/>
                <w:szCs w:val="22"/>
              </w:rPr>
            </w:pPr>
            <w:r>
              <w:rPr>
                <w:rFonts w:hint="eastAsia" w:hAnsi="宋体" w:cs="宋体"/>
                <w:sz w:val="22"/>
                <w:szCs w:val="22"/>
              </w:rPr>
              <w:t>3. ≥24小时</w:t>
            </w:r>
          </w:p>
          <w:p>
            <w:pPr>
              <w:pStyle w:val="20"/>
              <w:snapToGrid w:val="0"/>
              <w:spacing w:line="400" w:lineRule="exact"/>
              <w:ind w:firstLine="0" w:firstLineChars="0"/>
              <w:rPr>
                <w:rFonts w:hAnsi="宋体" w:cs="宋体"/>
                <w:sz w:val="22"/>
                <w:szCs w:val="22"/>
              </w:rPr>
            </w:pPr>
            <w:r>
              <w:rPr>
                <w:rFonts w:hint="eastAsia" w:hAnsi="宋体" w:cs="宋体"/>
                <w:sz w:val="22"/>
                <w:szCs w:val="22"/>
              </w:rPr>
              <w:t>4. 60 m2~120 m2</w:t>
            </w:r>
          </w:p>
          <w:p>
            <w:pPr>
              <w:pStyle w:val="20"/>
              <w:snapToGrid w:val="0"/>
              <w:spacing w:line="400" w:lineRule="exact"/>
              <w:ind w:firstLine="0" w:firstLineChars="0"/>
              <w:rPr>
                <w:rFonts w:hAnsi="宋体" w:cs="宋体"/>
                <w:sz w:val="22"/>
                <w:szCs w:val="22"/>
              </w:rPr>
            </w:pPr>
            <w:r>
              <w:rPr>
                <w:rFonts w:hint="eastAsia" w:hAnsi="宋体" w:cs="宋体"/>
                <w:sz w:val="22"/>
                <w:szCs w:val="22"/>
              </w:rPr>
              <w:t>5. 光电式，NTC热敏电阻</w:t>
            </w:r>
          </w:p>
          <w:p>
            <w:pPr>
              <w:pStyle w:val="20"/>
              <w:snapToGrid w:val="0"/>
              <w:spacing w:line="400" w:lineRule="exact"/>
              <w:ind w:firstLine="0" w:firstLineChars="0"/>
              <w:rPr>
                <w:rFonts w:hAnsi="宋体" w:cs="宋体"/>
                <w:sz w:val="22"/>
                <w:szCs w:val="22"/>
              </w:rPr>
            </w:pPr>
            <w:r>
              <w:rPr>
                <w:rFonts w:hint="eastAsia" w:hAnsi="宋体" w:cs="宋体"/>
                <w:sz w:val="22"/>
                <w:szCs w:val="22"/>
              </w:rPr>
              <w:t>6. 通讯方式：NB-IoT通讯</w:t>
            </w:r>
          </w:p>
          <w:p>
            <w:pPr>
              <w:pStyle w:val="20"/>
              <w:snapToGrid w:val="0"/>
              <w:spacing w:line="400" w:lineRule="exact"/>
              <w:ind w:firstLine="0" w:firstLineChars="0"/>
              <w:rPr>
                <w:rFonts w:hAnsi="宋体" w:cs="宋体"/>
                <w:sz w:val="22"/>
                <w:szCs w:val="22"/>
              </w:rPr>
            </w:pPr>
            <w:r>
              <w:rPr>
                <w:rFonts w:hint="eastAsia" w:hAnsi="宋体" w:cs="宋体"/>
                <w:sz w:val="22"/>
                <w:szCs w:val="22"/>
              </w:rPr>
              <w:t>7. 环境温度≥57℃时产生告警，环境温度变化≥8℃/min</w:t>
            </w:r>
          </w:p>
          <w:p>
            <w:pPr>
              <w:pStyle w:val="20"/>
              <w:snapToGrid w:val="0"/>
              <w:spacing w:line="400" w:lineRule="exact"/>
              <w:ind w:firstLine="0" w:firstLineChars="0"/>
              <w:rPr>
                <w:rFonts w:hAnsi="宋体" w:cs="宋体"/>
                <w:sz w:val="22"/>
                <w:szCs w:val="22"/>
              </w:rPr>
            </w:pPr>
            <w:r>
              <w:rPr>
                <w:rFonts w:hint="eastAsia" w:hAnsi="宋体" w:cs="宋体"/>
                <w:sz w:val="22"/>
                <w:szCs w:val="22"/>
              </w:rPr>
              <w:t>8. 报警方式：声、光报警</w:t>
            </w:r>
          </w:p>
          <w:p>
            <w:pPr>
              <w:pStyle w:val="20"/>
              <w:snapToGrid w:val="0"/>
              <w:spacing w:line="400" w:lineRule="exact"/>
              <w:ind w:firstLine="0" w:firstLineChars="0"/>
              <w:rPr>
                <w:rFonts w:hAnsi="宋体" w:cs="宋体"/>
                <w:sz w:val="22"/>
                <w:szCs w:val="22"/>
              </w:rPr>
            </w:pPr>
            <w:r>
              <w:rPr>
                <w:rFonts w:hint="eastAsia"/>
              </w:rPr>
              <w:t>★</w:t>
            </w:r>
            <w:r>
              <w:rPr>
                <w:rFonts w:hint="eastAsia" w:hAnsi="宋体" w:cs="宋体"/>
                <w:sz w:val="22"/>
                <w:szCs w:val="22"/>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ind w:firstLine="0" w:firstLineChars="0"/>
              <w:rPr>
                <w:rFonts w:hAnsi="宋体" w:cs="宋体"/>
                <w:sz w:val="22"/>
                <w:szCs w:val="22"/>
              </w:rPr>
            </w:pPr>
            <w:r>
              <w:rPr>
                <w:rFonts w:hint="eastAsia"/>
              </w:rPr>
              <w:t>★</w:t>
            </w:r>
            <w:r>
              <w:rPr>
                <w:rFonts w:hint="eastAsia" w:hAnsi="宋体" w:cs="宋体"/>
                <w:sz w:val="22"/>
                <w:szCs w:val="22"/>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ind w:firstLine="0" w:firstLineChars="0"/>
              <w:rPr>
                <w:rFonts w:hAnsi="宋体" w:cs="宋体"/>
                <w:sz w:val="22"/>
                <w:szCs w:val="22"/>
              </w:rPr>
            </w:pPr>
            <w:r>
              <w:rPr>
                <w:rFonts w:hint="eastAsia"/>
              </w:rPr>
              <w:t>★</w:t>
            </w:r>
            <w:r>
              <w:rPr>
                <w:rFonts w:hint="eastAsia" w:hAnsi="宋体" w:cs="宋体"/>
                <w:sz w:val="22"/>
                <w:szCs w:val="22"/>
              </w:rPr>
              <w:t>本次项目所投标设备需取得中国人民共和国工业和信息化部颁发的《电信设备进网许可证》。</w:t>
            </w:r>
          </w:p>
          <w:p>
            <w:pPr>
              <w:pStyle w:val="20"/>
              <w:snapToGrid w:val="0"/>
              <w:spacing w:line="400" w:lineRule="exact"/>
              <w:ind w:firstLine="0" w:firstLineChars="0"/>
              <w:rPr>
                <w:rFonts w:hAnsi="宋体" w:cs="宋体"/>
                <w:sz w:val="22"/>
                <w:szCs w:val="22"/>
              </w:rPr>
            </w:pPr>
            <w:r>
              <w:rPr>
                <w:rFonts w:hint="eastAsia"/>
              </w:rPr>
              <w:t>★</w:t>
            </w:r>
            <w:r>
              <w:rPr>
                <w:rFonts w:hint="eastAsia" w:hAnsi="宋体" w:cs="宋体"/>
                <w:sz w:val="22"/>
                <w:szCs w:val="22"/>
              </w:rPr>
              <w:t>本次项目所投标设备需取得中国人民共和国工业和信息化部颁发的《无线电发射设备型号核准证》。</w:t>
            </w:r>
          </w:p>
          <w:p>
            <w:pPr>
              <w:pStyle w:val="20"/>
              <w:snapToGrid w:val="0"/>
              <w:spacing w:line="400" w:lineRule="exact"/>
              <w:ind w:firstLine="0" w:firstLineChars="0"/>
              <w:rPr>
                <w:rFonts w:hAnsi="宋体" w:cs="宋体"/>
                <w:sz w:val="22"/>
                <w:szCs w:val="22"/>
              </w:rPr>
            </w:pPr>
            <w:r>
              <w:rPr>
                <w:rFonts w:hint="eastAsia" w:hAnsi="宋体" w:cs="宋体"/>
                <w:sz w:val="22"/>
                <w:szCs w:val="22"/>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ind w:firstLine="0" w:firstLineChars="0"/>
              <w:rPr>
                <w:rFonts w:hAnsi="宋体" w:cs="宋体"/>
                <w:sz w:val="22"/>
                <w:szCs w:val="22"/>
              </w:rPr>
            </w:pPr>
            <w:r>
              <w:rPr>
                <w:rFonts w:hint="eastAsia" w:hAnsi="宋体" w:cs="宋体"/>
                <w:sz w:val="22"/>
                <w:szCs w:val="22"/>
              </w:rPr>
              <w:t>设备迷宫和迷宫防护罩结构支持快速拆卸。</w:t>
            </w:r>
          </w:p>
          <w:p>
            <w:pPr>
              <w:pStyle w:val="20"/>
              <w:snapToGrid w:val="0"/>
              <w:spacing w:line="400" w:lineRule="exact"/>
              <w:ind w:firstLine="0" w:firstLineChars="0"/>
              <w:rPr>
                <w:rFonts w:hAnsi="宋体" w:cs="宋体"/>
                <w:sz w:val="22"/>
                <w:szCs w:val="22"/>
              </w:rPr>
            </w:pPr>
            <w:r>
              <w:rPr>
                <w:rFonts w:hint="eastAsia" w:hAnsi="宋体" w:cs="宋体"/>
                <w:sz w:val="22"/>
                <w:szCs w:val="22"/>
              </w:rPr>
              <w:t>设备光信号器件采用1个红色光信号发射管、1个蓝光信号发射管和1个光信号接收管。</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设备具有电池安装防呆功能。</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设备应具有黑匣子功能，使用专用软件通过串口读取设备内部数据，包括SN号、软件版本号、硬件版本号、本底值、报警阈值、电池电压。</w:t>
            </w:r>
          </w:p>
          <w:p>
            <w:pPr>
              <w:pStyle w:val="20"/>
              <w:snapToGrid w:val="0"/>
              <w:spacing w:line="400" w:lineRule="exact"/>
              <w:ind w:firstLine="0" w:firstLineChars="0"/>
              <w:rPr>
                <w:rFonts w:hAnsi="宋体" w:cs="宋体"/>
                <w:sz w:val="22"/>
                <w:szCs w:val="22"/>
              </w:rPr>
            </w:pPr>
            <w:r>
              <w:rPr>
                <w:rFonts w:hint="eastAsia" w:hAnsi="宋体" w:cs="宋体"/>
                <w:sz w:val="22"/>
                <w:szCs w:val="22"/>
              </w:rPr>
              <w:t>设备支持阈值参数（灵敏度）、电池电量、红光传感器采样值、红光本底值、蓝光传感器采样值、蓝光本底值上传管理平台。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设备具有防水汽干扰能力，并能采集水汽干扰源的实时浓度信号值</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设备采用DC3.0V、容量不小于2400mAh高质量锂电池供电</w:t>
            </w:r>
          </w:p>
          <w:p>
            <w:pPr>
              <w:pStyle w:val="20"/>
              <w:snapToGrid w:val="0"/>
              <w:spacing w:line="400" w:lineRule="exact"/>
              <w:ind w:firstLine="0" w:firstLineChars="0"/>
              <w:rPr>
                <w:rFonts w:hAnsi="宋体" w:cs="宋体"/>
                <w:sz w:val="22"/>
                <w:szCs w:val="22"/>
              </w:rPr>
            </w:pPr>
            <w:r>
              <w:rPr>
                <w:rFonts w:hint="eastAsia" w:hAnsi="宋体" w:cs="宋体"/>
                <w:sz w:val="22"/>
                <w:szCs w:val="22"/>
              </w:rPr>
              <w:t>设备拆除报警功能，当设备与安装底板分离时，设备应能将拆除报警信号上传至远程管理平台。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设备具有红外消音功能，能够响应普通红外遥控器任一按键的操作，对报警音实现消音（提供视频演示）</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设备采用多色指示灯，通过指示灯不同颜色状态显示设备状态。</w:t>
            </w:r>
          </w:p>
          <w:p>
            <w:pPr>
              <w:pStyle w:val="20"/>
              <w:snapToGrid w:val="0"/>
              <w:spacing w:line="400" w:lineRule="exact"/>
              <w:ind w:firstLine="0" w:firstLineChars="0"/>
              <w:rPr>
                <w:rFonts w:hAnsi="宋体" w:cs="宋体"/>
                <w:sz w:val="22"/>
                <w:szCs w:val="22"/>
              </w:rPr>
            </w:pPr>
            <w:r>
              <w:rPr>
                <w:rFonts w:hint="eastAsia" w:hAnsi="宋体" w:cs="宋体"/>
                <w:sz w:val="22"/>
                <w:szCs w:val="22"/>
              </w:rPr>
              <w:t>报警分类：火警报警、故障报警、拆除报警</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设备具有电池取走警示功能，当电池被取走后，设备应由明显警示标识。</w:t>
            </w:r>
          </w:p>
          <w:p>
            <w:pPr>
              <w:pStyle w:val="20"/>
              <w:snapToGrid w:val="0"/>
              <w:spacing w:line="400" w:lineRule="exact"/>
              <w:ind w:firstLine="0" w:firstLineChars="0"/>
              <w:rPr>
                <w:rFonts w:hAnsi="宋体" w:cs="宋体"/>
                <w:sz w:val="22"/>
                <w:szCs w:val="22"/>
              </w:rPr>
            </w:pPr>
            <w:r>
              <w:rPr>
                <w:rFonts w:hint="eastAsia" w:hAnsi="宋体" w:cs="宋体"/>
                <w:sz w:val="22"/>
                <w:szCs w:val="22"/>
              </w:rPr>
              <w:t>报警音量：≥85db（A），3米</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设备具有自检功能，自检时能够发出声、光报警信号</w:t>
            </w:r>
          </w:p>
          <w:p>
            <w:pPr>
              <w:pStyle w:val="20"/>
              <w:snapToGrid w:val="0"/>
              <w:spacing w:line="400" w:lineRule="exact"/>
              <w:ind w:firstLine="0" w:firstLineChars="0"/>
              <w:rPr>
                <w:sz w:val="22"/>
                <w:szCs w:val="22"/>
              </w:rPr>
            </w:pPr>
            <w:r>
              <w:rPr>
                <w:rFonts w:hint="eastAsia" w:hAnsi="宋体" w:cs="宋体"/>
                <w:sz w:val="22"/>
                <w:szCs w:val="22"/>
              </w:rPr>
              <w:t>设备采用不大于0.8mm</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5</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异味检测传感器</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NH3测量原理：电化学</w:t>
            </w:r>
          </w:p>
          <w:p>
            <w:pPr>
              <w:pStyle w:val="20"/>
              <w:snapToGrid w:val="0"/>
              <w:spacing w:line="400" w:lineRule="exact"/>
              <w:ind w:firstLine="0" w:firstLineChars="0"/>
              <w:rPr>
                <w:rFonts w:hAnsi="宋体" w:cs="宋体"/>
                <w:sz w:val="22"/>
                <w:szCs w:val="22"/>
              </w:rPr>
            </w:pPr>
            <w:r>
              <w:rPr>
                <w:rFonts w:hint="eastAsia" w:hAnsi="宋体" w:cs="宋体"/>
                <w:sz w:val="22"/>
                <w:szCs w:val="22"/>
              </w:rPr>
              <w:t>NH3检测方法：在线监测、扩散式</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NH3测量范围：0~50ppm</w:t>
            </w:r>
          </w:p>
          <w:p>
            <w:pPr>
              <w:pStyle w:val="20"/>
              <w:snapToGrid w:val="0"/>
              <w:spacing w:line="400" w:lineRule="exact"/>
              <w:ind w:firstLine="0" w:firstLineChars="0"/>
              <w:rPr>
                <w:rFonts w:hAnsi="宋体" w:cs="宋体"/>
                <w:sz w:val="22"/>
                <w:szCs w:val="22"/>
              </w:rPr>
            </w:pPr>
            <w:r>
              <w:rPr>
                <w:rFonts w:hint="eastAsia" w:hAnsi="宋体" w:cs="宋体"/>
                <w:sz w:val="22"/>
                <w:szCs w:val="22"/>
              </w:rPr>
              <w:t>NH3分辨率：0.1PPM</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NH3测量精度：＜±4%</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NH3测量稳定性：＜±2%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NH3测量重复性：＜±2%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NH3测量灵敏度：0.1±0.03uA （ppm）</w:t>
            </w:r>
          </w:p>
          <w:p>
            <w:pPr>
              <w:pStyle w:val="20"/>
              <w:snapToGrid w:val="0"/>
              <w:spacing w:line="400" w:lineRule="exact"/>
              <w:ind w:firstLine="0" w:firstLineChars="0"/>
              <w:rPr>
                <w:rFonts w:hAnsi="宋体" w:cs="宋体"/>
                <w:sz w:val="22"/>
                <w:szCs w:val="22"/>
              </w:rPr>
            </w:pPr>
            <w:r>
              <w:rPr>
                <w:rFonts w:hint="eastAsia" w:hAnsi="宋体" w:cs="宋体"/>
                <w:sz w:val="22"/>
                <w:szCs w:val="22"/>
              </w:rPr>
              <w:t>NH3探头寿命：2年  (2ppm/NH3)</w:t>
            </w:r>
          </w:p>
          <w:p>
            <w:pPr>
              <w:pStyle w:val="20"/>
              <w:snapToGrid w:val="0"/>
              <w:spacing w:line="400" w:lineRule="exact"/>
              <w:ind w:firstLine="0" w:firstLineChars="0"/>
              <w:rPr>
                <w:rFonts w:hAnsi="宋体" w:cs="宋体"/>
                <w:sz w:val="22"/>
                <w:szCs w:val="22"/>
              </w:rPr>
            </w:pPr>
            <w:r>
              <w:rPr>
                <w:rFonts w:hint="eastAsia" w:hAnsi="宋体" w:cs="宋体"/>
                <w:sz w:val="22"/>
                <w:szCs w:val="22"/>
              </w:rPr>
              <w:t>测量稳定时间：2秒</w:t>
            </w:r>
          </w:p>
          <w:p>
            <w:pPr>
              <w:pStyle w:val="20"/>
              <w:snapToGrid w:val="0"/>
              <w:spacing w:line="400" w:lineRule="exact"/>
              <w:ind w:firstLine="0" w:firstLineChars="0"/>
              <w:rPr>
                <w:rFonts w:hAnsi="宋体" w:cs="宋体"/>
                <w:sz w:val="22"/>
                <w:szCs w:val="22"/>
              </w:rPr>
            </w:pPr>
            <w:r>
              <w:rPr>
                <w:rFonts w:hint="eastAsia" w:hAnsi="宋体" w:cs="宋体"/>
                <w:sz w:val="22"/>
                <w:szCs w:val="22"/>
              </w:rPr>
              <w:t>响应时间：＜60秒</w:t>
            </w:r>
          </w:p>
          <w:p>
            <w:pPr>
              <w:pStyle w:val="20"/>
              <w:snapToGrid w:val="0"/>
              <w:spacing w:line="400" w:lineRule="exact"/>
              <w:ind w:firstLine="0" w:firstLineChars="0"/>
              <w:rPr>
                <w:rFonts w:hAnsi="宋体" w:cs="宋体"/>
                <w:sz w:val="22"/>
                <w:szCs w:val="22"/>
              </w:rPr>
            </w:pPr>
            <w:r>
              <w:rPr>
                <w:rFonts w:hint="eastAsia" w:hAnsi="宋体" w:cs="宋体"/>
                <w:sz w:val="22"/>
                <w:szCs w:val="22"/>
              </w:rPr>
              <w:t>温度补偿：具备</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内部过滤：滤除H2S、SOX、NOX气体交叉干扰                                               </w:t>
            </w:r>
          </w:p>
        </w:tc>
        <w:tc>
          <w:tcPr>
            <w:tcW w:w="109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6</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POE交换机</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ind w:firstLine="0" w:firstLineChars="0"/>
              <w:rPr>
                <w:rFonts w:hAnsi="宋体" w:cs="宋体"/>
                <w:sz w:val="22"/>
                <w:szCs w:val="22"/>
              </w:rPr>
            </w:pPr>
            <w:r>
              <w:rPr>
                <w:rFonts w:hint="eastAsia" w:hAnsi="宋体" w:cs="宋体"/>
                <w:sz w:val="22"/>
                <w:szCs w:val="22"/>
                <w:lang w:val="en-US" w:eastAsia="zh-CN"/>
              </w:rPr>
              <w:t>2、</w:t>
            </w:r>
            <w:r>
              <w:rPr>
                <w:rFonts w:hint="eastAsia" w:hAnsi="宋体" w:cs="宋体"/>
                <w:sz w:val="22"/>
                <w:szCs w:val="22"/>
              </w:rPr>
              <w:t>交换容量≥16Gbps，包转发率≥13Mpps，桌面式，静音款，不支持挂耳,POE功率≥70W</w:t>
            </w:r>
          </w:p>
          <w:p>
            <w:pPr>
              <w:pStyle w:val="20"/>
              <w:snapToGrid w:val="0"/>
              <w:spacing w:line="400" w:lineRule="exact"/>
              <w:rPr>
                <w:rFonts w:hint="eastAsia" w:hAnsi="宋体" w:cs="宋体"/>
                <w:sz w:val="22"/>
                <w:szCs w:val="22"/>
              </w:rPr>
            </w:pPr>
            <w:r>
              <w:rPr>
                <w:rFonts w:hint="eastAsia" w:hAnsi="宋体" w:cs="宋体"/>
                <w:sz w:val="22"/>
                <w:szCs w:val="22"/>
                <w:lang w:val="en-US" w:eastAsia="zh-CN"/>
              </w:rPr>
              <w:t>3、</w:t>
            </w:r>
            <w:r>
              <w:rPr>
                <w:rFonts w:hint="eastAsia" w:hAnsi="宋体" w:cs="宋体"/>
                <w:sz w:val="22"/>
                <w:szCs w:val="22"/>
              </w:rPr>
              <w:t>POE非满供。</w:t>
            </w:r>
          </w:p>
          <w:p>
            <w:pPr>
              <w:pStyle w:val="21"/>
              <w:rPr>
                <w:sz w:val="22"/>
                <w:szCs w:val="22"/>
              </w:rPr>
            </w:pP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7</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外接音柱</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有效频率范围100Hz~16KHz。</w:t>
            </w:r>
          </w:p>
          <w:p>
            <w:pPr>
              <w:pStyle w:val="20"/>
              <w:snapToGrid w:val="0"/>
              <w:spacing w:line="400" w:lineRule="exact"/>
              <w:ind w:firstLine="0" w:firstLineChars="0"/>
              <w:rPr>
                <w:rFonts w:hAnsi="宋体" w:cs="宋体"/>
                <w:sz w:val="22"/>
                <w:szCs w:val="22"/>
              </w:rPr>
            </w:pPr>
            <w:r>
              <w:rPr>
                <w:rFonts w:hint="eastAsia" w:hAnsi="宋体" w:cs="宋体"/>
                <w:sz w:val="22"/>
                <w:szCs w:val="22"/>
              </w:rPr>
              <w:t>2. 灵敏度89dB(±3dB)。</w:t>
            </w:r>
          </w:p>
          <w:p>
            <w:pPr>
              <w:pStyle w:val="20"/>
              <w:snapToGrid w:val="0"/>
              <w:spacing w:line="400" w:lineRule="exact"/>
              <w:ind w:firstLine="0" w:firstLineChars="0"/>
              <w:rPr>
                <w:rFonts w:hAnsi="宋体" w:cs="宋体"/>
                <w:sz w:val="22"/>
                <w:szCs w:val="22"/>
              </w:rPr>
            </w:pPr>
            <w:r>
              <w:rPr>
                <w:rFonts w:hint="eastAsia" w:hAnsi="宋体" w:cs="宋体"/>
                <w:sz w:val="22"/>
                <w:szCs w:val="22"/>
              </w:rPr>
              <w:t>3. 信噪比：≥80dB；</w:t>
            </w:r>
          </w:p>
          <w:p>
            <w:pPr>
              <w:pStyle w:val="20"/>
              <w:snapToGrid w:val="0"/>
              <w:spacing w:line="400" w:lineRule="exact"/>
              <w:ind w:firstLine="0" w:firstLineChars="0"/>
              <w:rPr>
                <w:rFonts w:hAnsi="宋体" w:cs="宋体"/>
                <w:sz w:val="22"/>
                <w:szCs w:val="22"/>
              </w:rPr>
            </w:pPr>
            <w:r>
              <w:rPr>
                <w:rFonts w:hint="eastAsia" w:hAnsi="宋体" w:cs="宋体"/>
                <w:sz w:val="22"/>
                <w:szCs w:val="22"/>
              </w:rPr>
              <w:t>4. 指向特性：全指向性；</w:t>
            </w:r>
          </w:p>
          <w:p>
            <w:pPr>
              <w:pStyle w:val="20"/>
              <w:snapToGrid w:val="0"/>
              <w:spacing w:line="400" w:lineRule="exact"/>
              <w:ind w:firstLine="0" w:firstLineChars="0"/>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ind w:firstLine="0" w:firstLineChars="0"/>
              <w:rPr>
                <w:sz w:val="22"/>
                <w:szCs w:val="22"/>
              </w:rPr>
            </w:pPr>
            <w:r>
              <w:rPr>
                <w:rFonts w:hint="eastAsia" w:hAnsi="宋体" w:cs="宋体"/>
                <w:sz w:val="22"/>
                <w:szCs w:val="22"/>
              </w:rPr>
              <w:t>6. 工作电压范围：DC10V~15V/2A。</w:t>
            </w:r>
          </w:p>
        </w:tc>
        <w:tc>
          <w:tcPr>
            <w:tcW w:w="109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int="eastAsia" w:hAnsi="宋体" w:cs="宋体"/>
                <w:sz w:val="22"/>
                <w:szCs w:val="22"/>
              </w:rPr>
            </w:pPr>
            <w:r>
              <w:rPr>
                <w:rFonts w:hint="eastAsia" w:hAnsi="宋体" w:cs="宋体"/>
                <w:sz w:val="22"/>
                <w:szCs w:val="22"/>
              </w:rPr>
              <w:t>8</w:t>
            </w:r>
          </w:p>
        </w:tc>
        <w:tc>
          <w:tcPr>
            <w:tcW w:w="1225" w:type="dxa"/>
            <w:tcBorders>
              <w:tl2br w:val="nil"/>
              <w:tr2bl w:val="nil"/>
            </w:tcBorders>
            <w:shd w:val="clear" w:color="000000" w:fill="FFFFFF"/>
            <w:vAlign w:val="center"/>
          </w:tcPr>
          <w:p>
            <w:pPr>
              <w:pStyle w:val="20"/>
              <w:snapToGrid w:val="0"/>
              <w:spacing w:line="400" w:lineRule="exact"/>
              <w:rPr>
                <w:rFonts w:hint="eastAsia" w:hAnsi="宋体" w:cs="宋体"/>
                <w:sz w:val="22"/>
                <w:szCs w:val="22"/>
              </w:rPr>
            </w:pPr>
            <w:r>
              <w:rPr>
                <w:rFonts w:hint="eastAsia" w:hAnsi="宋体" w:cs="宋体"/>
                <w:sz w:val="22"/>
                <w:szCs w:val="22"/>
              </w:rPr>
              <w:t>实施费</w:t>
            </w:r>
          </w:p>
        </w:tc>
        <w:tc>
          <w:tcPr>
            <w:tcW w:w="5909" w:type="dxa"/>
            <w:tcBorders>
              <w:tl2br w:val="nil"/>
              <w:tr2bl w:val="nil"/>
            </w:tcBorders>
            <w:shd w:val="clear" w:color="000000" w:fill="FFFFFF"/>
            <w:vAlign w:val="center"/>
          </w:tcPr>
          <w:p>
            <w:pPr>
              <w:pStyle w:val="20"/>
              <w:snapToGrid w:val="0"/>
              <w:spacing w:line="400" w:lineRule="exact"/>
              <w:ind w:firstLine="0" w:firstLineChars="0"/>
              <w:rPr>
                <w:rFonts w:hint="eastAsia" w:hAnsi="宋体" w:cs="宋体"/>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95" w:type="dxa"/>
            <w:tcBorders>
              <w:tl2br w:val="nil"/>
              <w:tr2bl w:val="nil"/>
            </w:tcBorders>
            <w:shd w:val="clear" w:color="000000" w:fill="FFFFFF"/>
            <w:vAlign w:val="center"/>
          </w:tcPr>
          <w:p>
            <w:pPr>
              <w:pStyle w:val="20"/>
              <w:snapToGrid w:val="0"/>
              <w:spacing w:line="400" w:lineRule="exact"/>
              <w:rPr>
                <w:rFonts w:hint="eastAsia" w:hAnsi="宋体" w:cs="宋体"/>
                <w:sz w:val="22"/>
                <w:szCs w:val="22"/>
              </w:rPr>
            </w:pPr>
            <w:r>
              <w:rPr>
                <w:rFonts w:hint="eastAsia" w:hAnsi="宋体" w:cs="宋体"/>
                <w:sz w:val="22"/>
                <w:szCs w:val="22"/>
              </w:rPr>
              <w:t>90</w:t>
            </w:r>
          </w:p>
        </w:tc>
        <w:tc>
          <w:tcPr>
            <w:tcW w:w="76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bl>
    <w:p>
      <w:pPr>
        <w:numPr>
          <w:ilvl w:val="0"/>
          <w:numId w:val="5"/>
        </w:numPr>
        <w:snapToGrid w:val="0"/>
        <w:spacing w:line="460" w:lineRule="atLeast"/>
        <w:ind w:left="0" w:leftChars="0" w:firstLine="422" w:firstLineChars="200"/>
        <w:rPr>
          <w:rFonts w:hint="eastAsia" w:ascii="宋体"/>
          <w:b/>
          <w:bCs/>
          <w:sz w:val="22"/>
          <w:szCs w:val="22"/>
          <w:lang w:val="en-US" w:eastAsia="zh-CN"/>
        </w:rPr>
      </w:pPr>
      <w:r>
        <w:rPr>
          <w:rFonts w:hint="eastAsia"/>
          <w:b/>
          <w:bCs/>
          <w:lang w:eastAsia="zh-CN"/>
        </w:rPr>
        <w:t>新建垃圾房（封闭场所）</w:t>
      </w:r>
      <w:r>
        <w:rPr>
          <w:rFonts w:hint="eastAsia"/>
          <w:b/>
          <w:bCs/>
        </w:rPr>
        <w:t>参数要求</w:t>
      </w:r>
    </w:p>
    <w:tbl>
      <w:tblPr>
        <w:tblStyle w:val="36"/>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25"/>
        <w:gridCol w:w="5924"/>
        <w:gridCol w:w="106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22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产品名称</w:t>
            </w:r>
          </w:p>
        </w:tc>
        <w:tc>
          <w:tcPr>
            <w:tcW w:w="5924"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技术参数</w:t>
            </w:r>
          </w:p>
        </w:tc>
        <w:tc>
          <w:tcPr>
            <w:tcW w:w="106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数量</w:t>
            </w:r>
          </w:p>
        </w:tc>
        <w:tc>
          <w:tcPr>
            <w:tcW w:w="795" w:type="dxa"/>
            <w:tcBorders>
              <w:tl2br w:val="nil"/>
              <w:tr2bl w:val="nil"/>
            </w:tcBorders>
            <w:vAlign w:val="center"/>
          </w:tcPr>
          <w:p>
            <w:pPr>
              <w:pStyle w:val="20"/>
              <w:snapToGrid w:val="0"/>
              <w:spacing w:line="400" w:lineRule="exact"/>
              <w:rPr>
                <w:rFonts w:hAnsi="宋体" w:cs="宋体"/>
                <w:sz w:val="22"/>
                <w:szCs w:val="22"/>
              </w:rPr>
            </w:pPr>
            <w:r>
              <w:rPr>
                <w:rFonts w:hint="eastAsia"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1</w:t>
            </w:r>
          </w:p>
        </w:tc>
        <w:tc>
          <w:tcPr>
            <w:tcW w:w="1225" w:type="dxa"/>
            <w:tcBorders>
              <w:tl2br w:val="nil"/>
              <w:tr2bl w:val="nil"/>
            </w:tcBorders>
            <w:shd w:val="clear" w:color="000000" w:fill="FFFFFF"/>
            <w:vAlign w:val="center"/>
          </w:tcPr>
          <w:p>
            <w:pPr>
              <w:widowControl/>
              <w:jc w:val="center"/>
              <w:textAlignment w:val="center"/>
              <w:rPr>
                <w:rFonts w:hAnsi="宋体" w:cs="宋体"/>
                <w:sz w:val="22"/>
                <w:szCs w:val="22"/>
              </w:rPr>
            </w:pPr>
            <w:r>
              <w:rPr>
                <w:rFonts w:hint="eastAsia" w:hAnsi="宋体" w:cs="宋体"/>
                <w:sz w:val="22"/>
                <w:szCs w:val="22"/>
              </w:rPr>
              <w:t>智能化垃圾管理双光变焦相机</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hAnsi="宋体" w:cs="宋体"/>
                <w:sz w:val="22"/>
                <w:szCs w:val="22"/>
              </w:rPr>
            </w:pPr>
            <w:r>
              <w:rPr>
                <w:rFonts w:hint="eastAsia" w:hAnsi="宋体" w:cs="宋体"/>
                <w:sz w:val="22"/>
                <w:szCs w:val="22"/>
              </w:rPr>
              <w:t>12. 支持IP67防护等级</w:t>
            </w:r>
          </w:p>
        </w:tc>
        <w:tc>
          <w:tcPr>
            <w:tcW w:w="106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2</w:t>
            </w:r>
          </w:p>
        </w:tc>
        <w:tc>
          <w:tcPr>
            <w:tcW w:w="1225" w:type="dxa"/>
            <w:tcBorders>
              <w:tl2br w:val="nil"/>
              <w:tr2bl w:val="nil"/>
            </w:tcBorders>
            <w:shd w:val="clear" w:color="auto" w:fill="auto"/>
            <w:vAlign w:val="center"/>
          </w:tcPr>
          <w:p>
            <w:pPr>
              <w:widowControl/>
              <w:jc w:val="center"/>
              <w:textAlignment w:val="center"/>
              <w:rPr>
                <w:rFonts w:hint="eastAsia" w:hAnsi="宋体" w:eastAsia="宋体" w:cs="宋体"/>
                <w:sz w:val="22"/>
                <w:szCs w:val="22"/>
                <w:lang w:eastAsia="zh-CN"/>
              </w:rPr>
            </w:pPr>
            <w:r>
              <w:rPr>
                <w:rFonts w:hint="eastAsia" w:hAnsi="宋体" w:cs="宋体"/>
                <w:sz w:val="22"/>
                <w:szCs w:val="22"/>
              </w:rPr>
              <w:t>智能化垃圾满溢相机</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hAnsi="宋体" w:cs="宋体"/>
                <w:sz w:val="22"/>
                <w:szCs w:val="22"/>
              </w:rPr>
            </w:pPr>
            <w:r>
              <w:rPr>
                <w:rFonts w:hint="eastAsia" w:hAnsi="宋体" w:cs="宋体"/>
                <w:sz w:val="22"/>
                <w:szCs w:val="22"/>
              </w:rPr>
              <w:t>12. 支持IP67防护等级</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3</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电感烟火灾探测报警器</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采集类型：烟雾，温度</w:t>
            </w:r>
          </w:p>
          <w:p>
            <w:pPr>
              <w:pStyle w:val="20"/>
              <w:snapToGrid w:val="0"/>
              <w:spacing w:line="400" w:lineRule="exact"/>
              <w:ind w:firstLine="0" w:firstLineChars="0"/>
              <w:rPr>
                <w:rFonts w:hAnsi="宋体" w:cs="宋体"/>
                <w:sz w:val="22"/>
                <w:szCs w:val="22"/>
              </w:rPr>
            </w:pPr>
            <w:r>
              <w:rPr>
                <w:rFonts w:hint="eastAsia" w:hAnsi="宋体" w:cs="宋体"/>
                <w:sz w:val="22"/>
                <w:szCs w:val="22"/>
              </w:rPr>
              <w:t>2. 采样周期≤ 9s</w:t>
            </w:r>
          </w:p>
          <w:p>
            <w:pPr>
              <w:pStyle w:val="20"/>
              <w:snapToGrid w:val="0"/>
              <w:spacing w:line="400" w:lineRule="exact"/>
              <w:ind w:firstLine="0" w:firstLineChars="0"/>
              <w:rPr>
                <w:rFonts w:hAnsi="宋体" w:cs="宋体"/>
                <w:sz w:val="22"/>
                <w:szCs w:val="22"/>
              </w:rPr>
            </w:pPr>
            <w:r>
              <w:rPr>
                <w:rFonts w:hint="eastAsia" w:hAnsi="宋体" w:cs="宋体"/>
                <w:sz w:val="22"/>
                <w:szCs w:val="22"/>
              </w:rPr>
              <w:t>3. ≥24小时</w:t>
            </w:r>
          </w:p>
          <w:p>
            <w:pPr>
              <w:pStyle w:val="20"/>
              <w:snapToGrid w:val="0"/>
              <w:spacing w:line="400" w:lineRule="exact"/>
              <w:ind w:firstLine="0" w:firstLineChars="0"/>
              <w:rPr>
                <w:rFonts w:hAnsi="宋体" w:cs="宋体"/>
                <w:sz w:val="22"/>
                <w:szCs w:val="22"/>
              </w:rPr>
            </w:pPr>
            <w:r>
              <w:rPr>
                <w:rFonts w:hint="eastAsia" w:hAnsi="宋体" w:cs="宋体"/>
                <w:sz w:val="22"/>
                <w:szCs w:val="22"/>
              </w:rPr>
              <w:t>4. 60 m2~120 m2</w:t>
            </w:r>
          </w:p>
          <w:p>
            <w:pPr>
              <w:pStyle w:val="20"/>
              <w:snapToGrid w:val="0"/>
              <w:spacing w:line="400" w:lineRule="exact"/>
              <w:ind w:firstLine="0" w:firstLineChars="0"/>
              <w:rPr>
                <w:rFonts w:hAnsi="宋体" w:cs="宋体"/>
                <w:sz w:val="22"/>
                <w:szCs w:val="22"/>
              </w:rPr>
            </w:pPr>
            <w:r>
              <w:rPr>
                <w:rFonts w:hint="eastAsia" w:hAnsi="宋体" w:cs="宋体"/>
                <w:sz w:val="22"/>
                <w:szCs w:val="22"/>
              </w:rPr>
              <w:t>5. 光电式，NTC热敏电阻</w:t>
            </w:r>
          </w:p>
          <w:p>
            <w:pPr>
              <w:pStyle w:val="20"/>
              <w:snapToGrid w:val="0"/>
              <w:spacing w:line="400" w:lineRule="exact"/>
              <w:ind w:firstLine="0" w:firstLineChars="0"/>
              <w:rPr>
                <w:rFonts w:hAnsi="宋体" w:cs="宋体"/>
                <w:sz w:val="22"/>
                <w:szCs w:val="22"/>
              </w:rPr>
            </w:pPr>
            <w:r>
              <w:rPr>
                <w:rFonts w:hint="eastAsia" w:hAnsi="宋体" w:cs="宋体"/>
                <w:sz w:val="22"/>
                <w:szCs w:val="22"/>
              </w:rPr>
              <w:t>6. 通讯方式：NB-IoT通讯</w:t>
            </w:r>
          </w:p>
          <w:p>
            <w:pPr>
              <w:pStyle w:val="20"/>
              <w:snapToGrid w:val="0"/>
              <w:spacing w:line="400" w:lineRule="exact"/>
              <w:ind w:firstLine="0" w:firstLineChars="0"/>
              <w:rPr>
                <w:rFonts w:hAnsi="宋体" w:cs="宋体"/>
                <w:sz w:val="22"/>
                <w:szCs w:val="22"/>
              </w:rPr>
            </w:pPr>
            <w:r>
              <w:rPr>
                <w:rFonts w:hint="eastAsia" w:hAnsi="宋体" w:cs="宋体"/>
                <w:sz w:val="22"/>
                <w:szCs w:val="22"/>
              </w:rPr>
              <w:t>7. 环境温度≥57℃时产生告警，环境温度变化≥8℃/min</w:t>
            </w:r>
          </w:p>
          <w:p>
            <w:pPr>
              <w:pStyle w:val="20"/>
              <w:snapToGrid w:val="0"/>
              <w:spacing w:line="400" w:lineRule="exact"/>
              <w:ind w:firstLine="0" w:firstLineChars="0"/>
              <w:rPr>
                <w:rFonts w:hAnsi="宋体" w:cs="宋体"/>
                <w:sz w:val="22"/>
                <w:szCs w:val="22"/>
              </w:rPr>
            </w:pPr>
            <w:r>
              <w:rPr>
                <w:rFonts w:hint="eastAsia" w:hAnsi="宋体" w:cs="宋体"/>
                <w:sz w:val="22"/>
                <w:szCs w:val="22"/>
              </w:rPr>
              <w:t>8. 报警方式：声、光报警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本次项目所投标设备需取得中国人民共和国工业和信息化部颁发的《电信设备进网许可证》。</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本次项目所投标设备需取得中国人民共和国工业和信息化部颁发的《无线电发射设备型号核准证》。</w:t>
            </w:r>
          </w:p>
          <w:p>
            <w:pPr>
              <w:pStyle w:val="20"/>
              <w:snapToGrid w:val="0"/>
              <w:spacing w:line="400" w:lineRule="exact"/>
              <w:ind w:firstLine="0" w:firstLineChars="0"/>
              <w:rPr>
                <w:rFonts w:hAnsi="宋体" w:cs="宋体"/>
                <w:sz w:val="22"/>
                <w:szCs w:val="22"/>
              </w:rPr>
            </w:pPr>
            <w:r>
              <w:rPr>
                <w:rFonts w:hint="eastAsia" w:hAnsi="宋体" w:cs="宋体"/>
                <w:sz w:val="22"/>
                <w:szCs w:val="22"/>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ind w:firstLine="0" w:firstLineChars="0"/>
              <w:rPr>
                <w:rFonts w:hAnsi="宋体" w:cs="宋体"/>
                <w:sz w:val="22"/>
                <w:szCs w:val="22"/>
              </w:rPr>
            </w:pPr>
            <w:r>
              <w:rPr>
                <w:rFonts w:hint="eastAsia" w:hAnsi="宋体" w:cs="宋体"/>
                <w:sz w:val="22"/>
                <w:szCs w:val="22"/>
              </w:rPr>
              <w:t>设备迷宫和迷宫防护罩结构支持快速拆卸。</w:t>
            </w:r>
          </w:p>
          <w:p>
            <w:pPr>
              <w:pStyle w:val="20"/>
              <w:snapToGrid w:val="0"/>
              <w:spacing w:line="400" w:lineRule="exact"/>
              <w:ind w:firstLine="0" w:firstLineChars="0"/>
              <w:rPr>
                <w:rFonts w:hAnsi="宋体" w:cs="宋体"/>
                <w:sz w:val="22"/>
                <w:szCs w:val="22"/>
              </w:rPr>
            </w:pPr>
            <w:r>
              <w:rPr>
                <w:rFonts w:hint="eastAsia" w:hAnsi="宋体" w:cs="宋体"/>
                <w:sz w:val="22"/>
                <w:szCs w:val="22"/>
              </w:rPr>
              <w:t>设备光信号器件采用1个红色光信号发射管、1个蓝光信号发射管和1个光信号接收管。</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设备具有电池安装防呆功能。</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设备应具有黑匣子功能，使用专用软件通过串口读取设备内部数据，包括SN号、软件版本号、硬件版本号、本底值、报警阈值、电池电压。</w:t>
            </w:r>
          </w:p>
          <w:p>
            <w:pPr>
              <w:pStyle w:val="20"/>
              <w:snapToGrid w:val="0"/>
              <w:spacing w:line="400" w:lineRule="exact"/>
              <w:ind w:firstLine="0" w:firstLineChars="0"/>
              <w:rPr>
                <w:rFonts w:hAnsi="宋体" w:cs="宋体"/>
                <w:sz w:val="22"/>
                <w:szCs w:val="22"/>
              </w:rPr>
            </w:pPr>
            <w:r>
              <w:rPr>
                <w:rFonts w:hint="eastAsia" w:hAnsi="宋体" w:cs="宋体"/>
                <w:sz w:val="22"/>
                <w:szCs w:val="22"/>
              </w:rPr>
              <w:t>设备支持阈值参数（灵敏度）、电池电量、红光传感器采样值、红光本底值、蓝光传感器采样值、蓝光本底值上传管理平台。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设备具有防水汽干扰能力，并能采集水汽干扰源的实时浓度信号值</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设备采用DC3.0V、容量不小于2400mAh高质量锂电池供电</w:t>
            </w:r>
          </w:p>
          <w:p>
            <w:pPr>
              <w:pStyle w:val="20"/>
              <w:snapToGrid w:val="0"/>
              <w:spacing w:line="400" w:lineRule="exact"/>
              <w:ind w:firstLine="0" w:firstLineChars="0"/>
              <w:rPr>
                <w:rFonts w:hAnsi="宋体" w:cs="宋体"/>
                <w:sz w:val="22"/>
                <w:szCs w:val="22"/>
              </w:rPr>
            </w:pPr>
            <w:r>
              <w:rPr>
                <w:rFonts w:hint="eastAsia" w:hAnsi="宋体" w:cs="宋体"/>
                <w:sz w:val="22"/>
                <w:szCs w:val="22"/>
              </w:rPr>
              <w:t>设备拆除报警功能，当设备与安装底板分离时，设备应能将拆除报警信号上传至远程管理平台。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设备具有红外消音功能，能够响应普通红外遥控器任一按键的操作，对报警音实现消音（提供视频演示）</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设备采用多色指示灯，通过指示灯不同颜色状态显示设备状态。</w:t>
            </w:r>
          </w:p>
          <w:p>
            <w:pPr>
              <w:pStyle w:val="20"/>
              <w:snapToGrid w:val="0"/>
              <w:spacing w:line="400" w:lineRule="exact"/>
              <w:ind w:firstLine="0" w:firstLineChars="0"/>
              <w:rPr>
                <w:rFonts w:hAnsi="宋体" w:cs="宋体"/>
                <w:sz w:val="22"/>
                <w:szCs w:val="22"/>
              </w:rPr>
            </w:pPr>
            <w:r>
              <w:rPr>
                <w:rFonts w:hint="eastAsia" w:hAnsi="宋体" w:cs="宋体"/>
                <w:sz w:val="22"/>
                <w:szCs w:val="22"/>
              </w:rPr>
              <w:t>报警分类：火警报警、故障报警、拆除报警</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设备具有电池取走警示功能，当电池被取走后，设备应由明显警示标识。</w:t>
            </w:r>
          </w:p>
          <w:p>
            <w:pPr>
              <w:pStyle w:val="20"/>
              <w:snapToGrid w:val="0"/>
              <w:spacing w:line="400" w:lineRule="exact"/>
              <w:ind w:firstLine="0" w:firstLineChars="0"/>
              <w:rPr>
                <w:rFonts w:hAnsi="宋体" w:cs="宋体"/>
                <w:sz w:val="22"/>
                <w:szCs w:val="22"/>
              </w:rPr>
            </w:pPr>
            <w:r>
              <w:rPr>
                <w:rFonts w:hint="eastAsia" w:hAnsi="宋体" w:cs="宋体"/>
                <w:sz w:val="22"/>
                <w:szCs w:val="22"/>
              </w:rPr>
              <w:t>报警音量：≥85db（A），3米</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设备具有自检功能，自检时能够发出声、光报警信号</w:t>
            </w:r>
          </w:p>
          <w:p>
            <w:pPr>
              <w:pStyle w:val="20"/>
              <w:snapToGrid w:val="0"/>
              <w:spacing w:line="400" w:lineRule="exact"/>
              <w:ind w:firstLine="0" w:firstLineChars="0"/>
              <w:rPr>
                <w:sz w:val="22"/>
                <w:szCs w:val="22"/>
              </w:rPr>
            </w:pPr>
            <w:r>
              <w:rPr>
                <w:rFonts w:hint="eastAsia" w:hAnsi="宋体" w:cs="宋体"/>
                <w:sz w:val="22"/>
                <w:szCs w:val="22"/>
              </w:rPr>
              <w:t>设备采用不大于0.8mm</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4</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异味检测传感器</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NH3测量原理：电化学</w:t>
            </w:r>
          </w:p>
          <w:p>
            <w:pPr>
              <w:pStyle w:val="20"/>
              <w:snapToGrid w:val="0"/>
              <w:spacing w:line="400" w:lineRule="exact"/>
              <w:ind w:firstLine="0" w:firstLineChars="0"/>
              <w:rPr>
                <w:rFonts w:hAnsi="宋体" w:cs="宋体"/>
                <w:sz w:val="22"/>
                <w:szCs w:val="22"/>
              </w:rPr>
            </w:pPr>
            <w:r>
              <w:rPr>
                <w:rFonts w:hint="eastAsia" w:hAnsi="宋体" w:cs="宋体"/>
                <w:sz w:val="22"/>
                <w:szCs w:val="22"/>
              </w:rPr>
              <w:t>NH3检测方法：在线监测、扩散式</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NH3测量范围：0~50ppm</w:t>
            </w:r>
          </w:p>
          <w:p>
            <w:pPr>
              <w:pStyle w:val="20"/>
              <w:snapToGrid w:val="0"/>
              <w:spacing w:line="400" w:lineRule="exact"/>
              <w:ind w:firstLine="0" w:firstLineChars="0"/>
              <w:rPr>
                <w:rFonts w:hAnsi="宋体" w:cs="宋体"/>
                <w:sz w:val="22"/>
                <w:szCs w:val="22"/>
              </w:rPr>
            </w:pPr>
            <w:r>
              <w:rPr>
                <w:rFonts w:hint="eastAsia" w:hAnsi="宋体" w:cs="宋体"/>
                <w:sz w:val="22"/>
                <w:szCs w:val="22"/>
              </w:rPr>
              <w:t>NH3分辨率：0.1PPM</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NH3测量精度：＜±4%</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NH3测量稳定性：＜±2%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NH3测量重复性：＜±2%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NH3测量灵敏度：0.1±0.03uA （ppm）</w:t>
            </w:r>
          </w:p>
          <w:p>
            <w:pPr>
              <w:pStyle w:val="20"/>
              <w:snapToGrid w:val="0"/>
              <w:spacing w:line="400" w:lineRule="exact"/>
              <w:ind w:firstLine="0" w:firstLineChars="0"/>
              <w:rPr>
                <w:rFonts w:hAnsi="宋体" w:cs="宋体"/>
                <w:sz w:val="22"/>
                <w:szCs w:val="22"/>
              </w:rPr>
            </w:pPr>
            <w:r>
              <w:rPr>
                <w:rFonts w:hint="eastAsia" w:hAnsi="宋体" w:cs="宋体"/>
                <w:sz w:val="22"/>
                <w:szCs w:val="22"/>
              </w:rPr>
              <w:t>NH3探头寿命：2年  (2ppm/NH3)</w:t>
            </w:r>
          </w:p>
          <w:p>
            <w:pPr>
              <w:pStyle w:val="20"/>
              <w:snapToGrid w:val="0"/>
              <w:spacing w:line="400" w:lineRule="exact"/>
              <w:ind w:firstLine="0" w:firstLineChars="0"/>
              <w:rPr>
                <w:rFonts w:hAnsi="宋体" w:cs="宋体"/>
                <w:sz w:val="22"/>
                <w:szCs w:val="22"/>
              </w:rPr>
            </w:pPr>
            <w:r>
              <w:rPr>
                <w:rFonts w:hint="eastAsia" w:hAnsi="宋体" w:cs="宋体"/>
                <w:sz w:val="22"/>
                <w:szCs w:val="22"/>
              </w:rPr>
              <w:t>测量稳定时间：2秒</w:t>
            </w:r>
          </w:p>
          <w:p>
            <w:pPr>
              <w:pStyle w:val="20"/>
              <w:snapToGrid w:val="0"/>
              <w:spacing w:line="400" w:lineRule="exact"/>
              <w:ind w:firstLine="0" w:firstLineChars="0"/>
              <w:rPr>
                <w:rFonts w:hAnsi="宋体" w:cs="宋体"/>
                <w:sz w:val="22"/>
                <w:szCs w:val="22"/>
              </w:rPr>
            </w:pPr>
            <w:r>
              <w:rPr>
                <w:rFonts w:hint="eastAsia" w:hAnsi="宋体" w:cs="宋体"/>
                <w:sz w:val="22"/>
                <w:szCs w:val="22"/>
              </w:rPr>
              <w:t>响应时间：＜60秒</w:t>
            </w:r>
          </w:p>
          <w:p>
            <w:pPr>
              <w:pStyle w:val="20"/>
              <w:snapToGrid w:val="0"/>
              <w:spacing w:line="400" w:lineRule="exact"/>
              <w:ind w:firstLine="0" w:firstLineChars="0"/>
              <w:rPr>
                <w:rFonts w:hAnsi="宋体" w:cs="宋体"/>
                <w:sz w:val="22"/>
                <w:szCs w:val="22"/>
              </w:rPr>
            </w:pPr>
            <w:r>
              <w:rPr>
                <w:rFonts w:hint="eastAsia" w:hAnsi="宋体" w:cs="宋体"/>
                <w:sz w:val="22"/>
                <w:szCs w:val="22"/>
              </w:rPr>
              <w:t>温度补偿：具备</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内部过滤：滤除H2S、SOX、NOX气体交叉干扰                                               </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5</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POE交换机</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端口及硬件要求：≥9个10/100/1000BASE-T以太网端口,POE+,国标交流适配器)</w:t>
            </w:r>
          </w:p>
          <w:p>
            <w:pPr>
              <w:pStyle w:val="20"/>
              <w:snapToGrid w:val="0"/>
              <w:spacing w:line="400" w:lineRule="exact"/>
              <w:ind w:firstLine="0" w:firstLineChars="0"/>
              <w:rPr>
                <w:rFonts w:hAnsi="宋体" w:cs="宋体"/>
                <w:sz w:val="22"/>
                <w:szCs w:val="22"/>
              </w:rPr>
            </w:pPr>
            <w:r>
              <w:rPr>
                <w:rFonts w:hint="eastAsia" w:hAnsi="宋体" w:cs="宋体"/>
                <w:sz w:val="22"/>
                <w:szCs w:val="22"/>
              </w:rPr>
              <w:t>交换容量≥16Gbps，包转发率≥13Mpps，桌面式，静音款，不支持挂耳,POE功率≥70W</w:t>
            </w:r>
          </w:p>
          <w:p>
            <w:pPr>
              <w:pStyle w:val="20"/>
              <w:snapToGrid w:val="0"/>
              <w:spacing w:line="400" w:lineRule="exact"/>
              <w:rPr>
                <w:rFonts w:hAnsi="宋体" w:cs="宋体"/>
                <w:sz w:val="22"/>
                <w:szCs w:val="22"/>
              </w:rPr>
            </w:pPr>
            <w:r>
              <w:rPr>
                <w:rFonts w:hint="eastAsia" w:hAnsi="宋体" w:cs="宋体"/>
                <w:sz w:val="22"/>
                <w:szCs w:val="22"/>
              </w:rPr>
              <w:t>POE非满供</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6</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外接音柱</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有效频率范围100Hz~16KHz。</w:t>
            </w:r>
          </w:p>
          <w:p>
            <w:pPr>
              <w:pStyle w:val="20"/>
              <w:snapToGrid w:val="0"/>
              <w:spacing w:line="400" w:lineRule="exact"/>
              <w:ind w:firstLine="0" w:firstLineChars="0"/>
              <w:rPr>
                <w:rFonts w:hAnsi="宋体" w:cs="宋体"/>
                <w:sz w:val="22"/>
                <w:szCs w:val="22"/>
              </w:rPr>
            </w:pPr>
            <w:r>
              <w:rPr>
                <w:rFonts w:hint="eastAsia" w:hAnsi="宋体" w:cs="宋体"/>
                <w:sz w:val="22"/>
                <w:szCs w:val="22"/>
              </w:rPr>
              <w:t>2. 灵敏度89dB(±3dB)。</w:t>
            </w:r>
          </w:p>
          <w:p>
            <w:pPr>
              <w:pStyle w:val="20"/>
              <w:snapToGrid w:val="0"/>
              <w:spacing w:line="400" w:lineRule="exact"/>
              <w:ind w:firstLine="0" w:firstLineChars="0"/>
              <w:rPr>
                <w:rFonts w:hAnsi="宋体" w:cs="宋体"/>
                <w:sz w:val="22"/>
                <w:szCs w:val="22"/>
              </w:rPr>
            </w:pPr>
            <w:r>
              <w:rPr>
                <w:rFonts w:hint="eastAsia" w:hAnsi="宋体" w:cs="宋体"/>
                <w:sz w:val="22"/>
                <w:szCs w:val="22"/>
              </w:rPr>
              <w:t>3. 信噪比：≥80dB；</w:t>
            </w:r>
          </w:p>
          <w:p>
            <w:pPr>
              <w:pStyle w:val="20"/>
              <w:snapToGrid w:val="0"/>
              <w:spacing w:line="400" w:lineRule="exact"/>
              <w:ind w:firstLine="0" w:firstLineChars="0"/>
              <w:rPr>
                <w:rFonts w:hAnsi="宋体" w:cs="宋体"/>
                <w:sz w:val="22"/>
                <w:szCs w:val="22"/>
              </w:rPr>
            </w:pPr>
            <w:r>
              <w:rPr>
                <w:rFonts w:hint="eastAsia" w:hAnsi="宋体" w:cs="宋体"/>
                <w:sz w:val="22"/>
                <w:szCs w:val="22"/>
              </w:rPr>
              <w:t>4. 指向特性：全指向性；</w:t>
            </w:r>
          </w:p>
          <w:p>
            <w:pPr>
              <w:pStyle w:val="20"/>
              <w:snapToGrid w:val="0"/>
              <w:spacing w:line="400" w:lineRule="exact"/>
              <w:ind w:firstLine="0" w:firstLineChars="0"/>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ind w:firstLine="0" w:firstLineChars="0"/>
              <w:rPr>
                <w:sz w:val="22"/>
                <w:szCs w:val="22"/>
              </w:rPr>
            </w:pPr>
            <w:r>
              <w:rPr>
                <w:rFonts w:hint="eastAsia" w:hAnsi="宋体" w:cs="宋体"/>
                <w:sz w:val="22"/>
                <w:szCs w:val="22"/>
              </w:rPr>
              <w:t>6. 工作电压范围：DC10V~15V/2A。</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6"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7</w:t>
            </w:r>
          </w:p>
        </w:tc>
        <w:tc>
          <w:tcPr>
            <w:tcW w:w="1225" w:type="dxa"/>
            <w:tcBorders>
              <w:tl2br w:val="nil"/>
              <w:tr2bl w:val="nil"/>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实施费</w:t>
            </w:r>
          </w:p>
        </w:tc>
        <w:tc>
          <w:tcPr>
            <w:tcW w:w="5924" w:type="dxa"/>
            <w:tcBorders>
              <w:tl2br w:val="nil"/>
              <w:tr2bl w:val="nil"/>
            </w:tcBorders>
            <w:shd w:val="clear" w:color="000000" w:fill="FFFFFF"/>
            <w:vAlign w:val="center"/>
          </w:tcPr>
          <w:p>
            <w:pPr>
              <w:pStyle w:val="20"/>
              <w:snapToGrid w:val="0"/>
              <w:spacing w:line="400" w:lineRule="exact"/>
              <w:ind w:firstLine="0" w:firstLineChars="0"/>
              <w:rPr>
                <w:rFonts w:hint="eastAsia" w:hAnsi="宋体" w:eastAsia="宋体" w:cs="宋体"/>
                <w:sz w:val="22"/>
                <w:szCs w:val="22"/>
                <w:lang w:val="en-US" w:eastAsia="zh-CN"/>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65" w:type="dxa"/>
            <w:tcBorders>
              <w:tl2br w:val="nil"/>
              <w:tr2bl w:val="nil"/>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90</w:t>
            </w:r>
          </w:p>
        </w:tc>
        <w:tc>
          <w:tcPr>
            <w:tcW w:w="795" w:type="dxa"/>
            <w:tcBorders>
              <w:tl2br w:val="nil"/>
              <w:tr2bl w:val="nil"/>
            </w:tcBorders>
            <w:shd w:val="clear" w:color="000000" w:fill="FFFFFF"/>
            <w:vAlign w:val="center"/>
          </w:tcPr>
          <w:p>
            <w:pPr>
              <w:pStyle w:val="20"/>
              <w:snapToGrid w:val="0"/>
              <w:spacing w:line="400" w:lineRule="exact"/>
              <w:rPr>
                <w:rFonts w:hAnsi="宋体" w:cs="宋体"/>
                <w:sz w:val="22"/>
                <w:szCs w:val="22"/>
              </w:rPr>
            </w:pPr>
          </w:p>
        </w:tc>
      </w:tr>
    </w:tbl>
    <w:p>
      <w:pPr>
        <w:numPr>
          <w:ilvl w:val="0"/>
          <w:numId w:val="5"/>
        </w:numPr>
        <w:snapToGrid w:val="0"/>
        <w:spacing w:line="460" w:lineRule="atLeast"/>
        <w:ind w:left="0" w:leftChars="0" w:firstLine="422" w:firstLineChars="200"/>
        <w:rPr>
          <w:rFonts w:hint="eastAsia" w:ascii="宋体"/>
          <w:b/>
          <w:bCs/>
          <w:sz w:val="22"/>
          <w:szCs w:val="22"/>
          <w:lang w:val="en-US" w:eastAsia="zh-CN"/>
        </w:rPr>
      </w:pPr>
      <w:r>
        <w:rPr>
          <w:rFonts w:hint="eastAsia" w:ascii="宋体" w:hAnsi="宋体" w:eastAsia="宋体" w:cs="宋体"/>
          <w:b/>
          <w:bCs/>
          <w:i w:val="0"/>
          <w:iCs w:val="0"/>
          <w:color w:val="000000"/>
          <w:sz w:val="21"/>
          <w:szCs w:val="21"/>
          <w:u w:val="none"/>
        </w:rPr>
        <w:t>原有垃圾房改造（单面）参数要求</w:t>
      </w:r>
    </w:p>
    <w:tbl>
      <w:tblPr>
        <w:tblStyle w:val="36"/>
        <w:tblW w:w="9409"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6"/>
        <w:gridCol w:w="1326"/>
        <w:gridCol w:w="5223"/>
        <w:gridCol w:w="1099"/>
        <w:gridCol w:w="8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23"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参数要求</w:t>
            </w:r>
          </w:p>
        </w:tc>
        <w:tc>
          <w:tcPr>
            <w:tcW w:w="1099"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hAnsi="宋体" w:cs="宋体"/>
                <w:sz w:val="22"/>
                <w:szCs w:val="22"/>
              </w:rPr>
              <w:t>智能化垃圾管理双光变焦相机</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5"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2</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hAnsi="宋体" w:cs="宋体"/>
                <w:sz w:val="22"/>
                <w:szCs w:val="22"/>
              </w:rPr>
              <w:t>智能化垃圾满溢相机</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946"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kern w:val="0"/>
                <w:sz w:val="22"/>
                <w:szCs w:val="22"/>
                <w:lang w:val="en-US" w:eastAsia="zh-CN" w:bidi="ar"/>
              </w:rPr>
              <w:t>3</w:t>
            </w:r>
          </w:p>
        </w:tc>
        <w:tc>
          <w:tcPr>
            <w:tcW w:w="1326"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电感烟火灾探测报警器</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采集类型：烟雾，温度</w:t>
            </w:r>
          </w:p>
          <w:p>
            <w:pPr>
              <w:pStyle w:val="20"/>
              <w:snapToGrid w:val="0"/>
              <w:spacing w:line="400" w:lineRule="exact"/>
              <w:ind w:firstLine="0" w:firstLineChars="0"/>
              <w:rPr>
                <w:rFonts w:hAnsi="宋体" w:cs="宋体"/>
                <w:sz w:val="22"/>
                <w:szCs w:val="22"/>
              </w:rPr>
            </w:pPr>
            <w:r>
              <w:rPr>
                <w:rFonts w:hint="eastAsia" w:hAnsi="宋体" w:cs="宋体"/>
                <w:sz w:val="22"/>
                <w:szCs w:val="22"/>
              </w:rPr>
              <w:t>2. 采样周期≤ 9s</w:t>
            </w:r>
          </w:p>
          <w:p>
            <w:pPr>
              <w:pStyle w:val="20"/>
              <w:snapToGrid w:val="0"/>
              <w:spacing w:line="400" w:lineRule="exact"/>
              <w:ind w:firstLine="0" w:firstLineChars="0"/>
              <w:rPr>
                <w:rFonts w:hAnsi="宋体" w:cs="宋体"/>
                <w:sz w:val="22"/>
                <w:szCs w:val="22"/>
              </w:rPr>
            </w:pPr>
            <w:r>
              <w:rPr>
                <w:rFonts w:hint="eastAsia" w:hAnsi="宋体" w:cs="宋体"/>
                <w:sz w:val="22"/>
                <w:szCs w:val="22"/>
              </w:rPr>
              <w:t>3. ≥24小时</w:t>
            </w:r>
          </w:p>
          <w:p>
            <w:pPr>
              <w:pStyle w:val="20"/>
              <w:snapToGrid w:val="0"/>
              <w:spacing w:line="400" w:lineRule="exact"/>
              <w:ind w:firstLine="0" w:firstLineChars="0"/>
              <w:rPr>
                <w:rFonts w:hAnsi="宋体" w:cs="宋体"/>
                <w:sz w:val="22"/>
                <w:szCs w:val="22"/>
              </w:rPr>
            </w:pPr>
            <w:r>
              <w:rPr>
                <w:rFonts w:hint="eastAsia" w:hAnsi="宋体" w:cs="宋体"/>
                <w:sz w:val="22"/>
                <w:szCs w:val="22"/>
              </w:rPr>
              <w:t>4. 60 m2~120 m2</w:t>
            </w:r>
          </w:p>
          <w:p>
            <w:pPr>
              <w:pStyle w:val="20"/>
              <w:snapToGrid w:val="0"/>
              <w:spacing w:line="400" w:lineRule="exact"/>
              <w:ind w:firstLine="0" w:firstLineChars="0"/>
              <w:rPr>
                <w:rFonts w:hAnsi="宋体" w:cs="宋体"/>
                <w:sz w:val="22"/>
                <w:szCs w:val="22"/>
              </w:rPr>
            </w:pPr>
            <w:r>
              <w:rPr>
                <w:rFonts w:hint="eastAsia" w:hAnsi="宋体" w:cs="宋体"/>
                <w:sz w:val="22"/>
                <w:szCs w:val="22"/>
              </w:rPr>
              <w:t>5. 光电式，NTC热敏电阻</w:t>
            </w:r>
          </w:p>
          <w:p>
            <w:pPr>
              <w:pStyle w:val="20"/>
              <w:snapToGrid w:val="0"/>
              <w:spacing w:line="400" w:lineRule="exact"/>
              <w:ind w:firstLine="0" w:firstLineChars="0"/>
              <w:rPr>
                <w:rFonts w:hAnsi="宋体" w:cs="宋体"/>
                <w:sz w:val="22"/>
                <w:szCs w:val="22"/>
              </w:rPr>
            </w:pPr>
            <w:r>
              <w:rPr>
                <w:rFonts w:hint="eastAsia" w:hAnsi="宋体" w:cs="宋体"/>
                <w:sz w:val="22"/>
                <w:szCs w:val="22"/>
              </w:rPr>
              <w:t>6. 通讯方式：NB-IoT通讯</w:t>
            </w:r>
          </w:p>
          <w:p>
            <w:pPr>
              <w:pStyle w:val="20"/>
              <w:snapToGrid w:val="0"/>
              <w:spacing w:line="400" w:lineRule="exact"/>
              <w:ind w:firstLine="0" w:firstLineChars="0"/>
              <w:rPr>
                <w:rFonts w:hAnsi="宋体" w:cs="宋体"/>
                <w:sz w:val="22"/>
                <w:szCs w:val="22"/>
              </w:rPr>
            </w:pPr>
            <w:r>
              <w:rPr>
                <w:rFonts w:hint="eastAsia" w:hAnsi="宋体" w:cs="宋体"/>
                <w:sz w:val="22"/>
                <w:szCs w:val="22"/>
              </w:rPr>
              <w:t>7. 环境温度≥57℃时产生告警，环境温度变化≥8℃/min</w:t>
            </w:r>
          </w:p>
          <w:p>
            <w:pPr>
              <w:pStyle w:val="20"/>
              <w:snapToGrid w:val="0"/>
              <w:spacing w:line="400" w:lineRule="exact"/>
              <w:ind w:firstLine="0" w:firstLineChars="0"/>
              <w:rPr>
                <w:rFonts w:hAnsi="宋体" w:cs="宋体"/>
                <w:sz w:val="22"/>
                <w:szCs w:val="22"/>
              </w:rPr>
            </w:pPr>
            <w:r>
              <w:rPr>
                <w:rFonts w:hint="eastAsia" w:hAnsi="宋体" w:cs="宋体"/>
                <w:sz w:val="22"/>
                <w:szCs w:val="22"/>
              </w:rPr>
              <w:t>8. 报警方式：声、光报警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本次项目所投标设备需取得中国人民共和国工业和信息化部颁发的《电信设备进网许可证》。</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本次项目所投标设备需取得中国人民共和国工业和信息化部颁发的《无线电发射设备型号核准证》。</w:t>
            </w:r>
          </w:p>
          <w:p>
            <w:pPr>
              <w:pStyle w:val="20"/>
              <w:snapToGrid w:val="0"/>
              <w:spacing w:line="400" w:lineRule="exact"/>
              <w:ind w:firstLine="0" w:firstLineChars="0"/>
              <w:rPr>
                <w:rFonts w:hAnsi="宋体" w:cs="宋体"/>
                <w:sz w:val="22"/>
                <w:szCs w:val="22"/>
              </w:rPr>
            </w:pPr>
            <w:r>
              <w:rPr>
                <w:rFonts w:hint="eastAsia" w:hAnsi="宋体" w:cs="宋体"/>
                <w:sz w:val="22"/>
                <w:szCs w:val="22"/>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ind w:firstLine="0" w:firstLineChars="0"/>
              <w:rPr>
                <w:rFonts w:hAnsi="宋体" w:cs="宋体"/>
                <w:sz w:val="22"/>
                <w:szCs w:val="22"/>
              </w:rPr>
            </w:pPr>
            <w:r>
              <w:rPr>
                <w:rFonts w:hint="eastAsia" w:hAnsi="宋体" w:cs="宋体"/>
                <w:sz w:val="22"/>
                <w:szCs w:val="22"/>
              </w:rPr>
              <w:t>设备迷宫和迷宫防护罩结构支持快速拆卸。</w:t>
            </w:r>
          </w:p>
          <w:p>
            <w:pPr>
              <w:pStyle w:val="20"/>
              <w:snapToGrid w:val="0"/>
              <w:spacing w:line="400" w:lineRule="exact"/>
              <w:ind w:firstLine="0" w:firstLineChars="0"/>
              <w:rPr>
                <w:rFonts w:hAnsi="宋体" w:cs="宋体"/>
                <w:sz w:val="22"/>
                <w:szCs w:val="22"/>
              </w:rPr>
            </w:pPr>
            <w:r>
              <w:rPr>
                <w:rFonts w:hint="eastAsia" w:hAnsi="宋体" w:cs="宋体"/>
                <w:sz w:val="22"/>
                <w:szCs w:val="22"/>
              </w:rPr>
              <w:t>设备光信号器件采用1个红色光信号发射管、1个蓝光信号发射管和1个光信号接收管。</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设备具有电池安装防呆功能。</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设备应具有黑匣子功能，使用专用软件通过串口读取设备内部数据，包括SN号、软件版本号、硬件版本号、本底值、报警阈值、电池电压。</w:t>
            </w:r>
          </w:p>
          <w:p>
            <w:pPr>
              <w:pStyle w:val="20"/>
              <w:snapToGrid w:val="0"/>
              <w:spacing w:line="400" w:lineRule="exact"/>
              <w:ind w:firstLine="0" w:firstLineChars="0"/>
              <w:rPr>
                <w:rFonts w:hAnsi="宋体" w:cs="宋体"/>
                <w:sz w:val="22"/>
                <w:szCs w:val="22"/>
              </w:rPr>
            </w:pPr>
            <w:r>
              <w:rPr>
                <w:rFonts w:hint="eastAsia" w:hAnsi="宋体" w:cs="宋体"/>
                <w:sz w:val="22"/>
                <w:szCs w:val="22"/>
              </w:rPr>
              <w:t>设备支持阈值参数（灵敏度）、电池电量、红光传感器采样值、红光本底值、蓝光传感器采样值、蓝光本底值上传管理平台。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设备具有防水汽干扰能力，并能采集水汽干扰源的实时浓度信号值</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设备采用DC3.0V、容量不小于2400mAh高质量锂电池供电</w:t>
            </w:r>
          </w:p>
          <w:p>
            <w:pPr>
              <w:pStyle w:val="20"/>
              <w:snapToGrid w:val="0"/>
              <w:spacing w:line="400" w:lineRule="exact"/>
              <w:ind w:firstLine="0" w:firstLineChars="0"/>
              <w:rPr>
                <w:rFonts w:hAnsi="宋体" w:cs="宋体"/>
                <w:sz w:val="22"/>
                <w:szCs w:val="22"/>
              </w:rPr>
            </w:pPr>
            <w:r>
              <w:rPr>
                <w:rFonts w:hint="eastAsia" w:hAnsi="宋体" w:cs="宋体"/>
                <w:sz w:val="22"/>
                <w:szCs w:val="22"/>
              </w:rPr>
              <w:t>设备拆除报警功能，当设备与安装底板分离时，设备应能将拆除报警信号上传至远程管理平台。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设备具有红外消音功能，能够响应普通红外遥控器任一按键的操作，对报警音实现消音（提供视频演示）</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设备采用多色指示灯，通过指示灯不同颜色状态显示设备状态。</w:t>
            </w:r>
          </w:p>
          <w:p>
            <w:pPr>
              <w:pStyle w:val="20"/>
              <w:snapToGrid w:val="0"/>
              <w:spacing w:line="400" w:lineRule="exact"/>
              <w:ind w:firstLine="0" w:firstLineChars="0"/>
              <w:rPr>
                <w:rFonts w:hAnsi="宋体" w:cs="宋体"/>
                <w:sz w:val="22"/>
                <w:szCs w:val="22"/>
              </w:rPr>
            </w:pPr>
            <w:r>
              <w:rPr>
                <w:rFonts w:hint="eastAsia" w:hAnsi="宋体" w:cs="宋体"/>
                <w:sz w:val="22"/>
                <w:szCs w:val="22"/>
              </w:rPr>
              <w:t>报警分类：火警报警、故障报警、拆除报警</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设备具有电池取走警示功能，当电池被取走后，设备应由明显警示标识。</w:t>
            </w:r>
          </w:p>
          <w:p>
            <w:pPr>
              <w:pStyle w:val="20"/>
              <w:snapToGrid w:val="0"/>
              <w:spacing w:line="400" w:lineRule="exact"/>
              <w:ind w:firstLine="0" w:firstLineChars="0"/>
              <w:rPr>
                <w:rFonts w:hAnsi="宋体" w:cs="宋体"/>
                <w:sz w:val="22"/>
                <w:szCs w:val="22"/>
              </w:rPr>
            </w:pPr>
            <w:r>
              <w:rPr>
                <w:rFonts w:hint="eastAsia" w:hAnsi="宋体" w:cs="宋体"/>
                <w:sz w:val="22"/>
                <w:szCs w:val="22"/>
              </w:rPr>
              <w:t>报警音量：≥85db（A），3米</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设备具有自检功能，自检时能够发出声、光报警信号</w:t>
            </w:r>
          </w:p>
          <w:p>
            <w:pPr>
              <w:pStyle w:val="20"/>
              <w:snapToGrid w:val="0"/>
              <w:spacing w:line="400" w:lineRule="exact"/>
              <w:ind w:firstLine="0" w:firstLineChars="0"/>
              <w:rPr>
                <w:sz w:val="22"/>
                <w:szCs w:val="22"/>
              </w:rPr>
            </w:pPr>
            <w:r>
              <w:rPr>
                <w:rFonts w:hint="eastAsia" w:hAnsi="宋体" w:cs="宋体"/>
                <w:sz w:val="22"/>
                <w:szCs w:val="22"/>
              </w:rPr>
              <w:t>设备采用不大于0.8mm</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3"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6</w:t>
            </w:r>
          </w:p>
        </w:tc>
        <w:tc>
          <w:tcPr>
            <w:tcW w:w="1326" w:type="dxa"/>
            <w:tcBorders>
              <w:tl2br w:val="nil"/>
              <w:tr2bl w:val="nil"/>
            </w:tcBorders>
            <w:shd w:val="clear" w:color="auto" w:fill="auto"/>
            <w:noWrap/>
            <w:vAlign w:val="center"/>
          </w:tcPr>
          <w:p>
            <w:pPr>
              <w:pStyle w:val="20"/>
              <w:snapToGrid w:val="0"/>
              <w:spacing w:line="400" w:lineRule="exact"/>
              <w:ind w:firstLine="0" w:firstLineChars="0"/>
              <w:jc w:val="center"/>
              <w:rPr>
                <w:rFonts w:asciiTheme="minorEastAsia" w:hAnsiTheme="minorEastAsia" w:eastAsiaTheme="minorEastAsia" w:cstheme="minorEastAsia"/>
                <w:sz w:val="22"/>
                <w:szCs w:val="22"/>
              </w:rPr>
            </w:pPr>
            <w:r>
              <w:rPr>
                <w:rFonts w:hint="eastAsia" w:hAnsi="宋体" w:cs="宋体"/>
                <w:sz w:val="22"/>
                <w:szCs w:val="22"/>
              </w:rPr>
              <w:t>异味检测传感器</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NH3测量原理：电化学</w:t>
            </w:r>
          </w:p>
          <w:p>
            <w:pPr>
              <w:pStyle w:val="20"/>
              <w:snapToGrid w:val="0"/>
              <w:spacing w:line="400" w:lineRule="exact"/>
              <w:ind w:firstLine="0" w:firstLineChars="0"/>
              <w:rPr>
                <w:rFonts w:hAnsi="宋体" w:cs="宋体"/>
                <w:sz w:val="22"/>
                <w:szCs w:val="22"/>
              </w:rPr>
            </w:pPr>
            <w:r>
              <w:rPr>
                <w:rFonts w:hint="eastAsia" w:hAnsi="宋体" w:cs="宋体"/>
                <w:sz w:val="22"/>
                <w:szCs w:val="22"/>
              </w:rPr>
              <w:t>NH3检测方法：在线监测、扩散式</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NH3测量范围：0~50ppm</w:t>
            </w:r>
          </w:p>
          <w:p>
            <w:pPr>
              <w:pStyle w:val="20"/>
              <w:snapToGrid w:val="0"/>
              <w:spacing w:line="400" w:lineRule="exact"/>
              <w:ind w:firstLine="0" w:firstLineChars="0"/>
              <w:rPr>
                <w:rFonts w:hAnsi="宋体" w:cs="宋体"/>
                <w:sz w:val="22"/>
                <w:szCs w:val="22"/>
              </w:rPr>
            </w:pPr>
            <w:r>
              <w:rPr>
                <w:rFonts w:hint="eastAsia" w:hAnsi="宋体" w:cs="宋体"/>
                <w:sz w:val="22"/>
                <w:szCs w:val="22"/>
              </w:rPr>
              <w:t>NH3分辨率：0.1PPM</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NH3测量精度：＜±4%</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NH3测量稳定性：＜±2%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NH3测量重复性：＜±2%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NH3测量灵敏度：0.1±0.03uA （ppm）</w:t>
            </w:r>
          </w:p>
          <w:p>
            <w:pPr>
              <w:pStyle w:val="20"/>
              <w:snapToGrid w:val="0"/>
              <w:spacing w:line="400" w:lineRule="exact"/>
              <w:ind w:firstLine="0" w:firstLineChars="0"/>
              <w:rPr>
                <w:rFonts w:hAnsi="宋体" w:cs="宋体"/>
                <w:sz w:val="22"/>
                <w:szCs w:val="22"/>
              </w:rPr>
            </w:pPr>
            <w:r>
              <w:rPr>
                <w:rFonts w:hint="eastAsia" w:hAnsi="宋体" w:cs="宋体"/>
                <w:sz w:val="22"/>
                <w:szCs w:val="22"/>
              </w:rPr>
              <w:t>NH3探头寿命：2年  (2ppm/NH3)</w:t>
            </w:r>
          </w:p>
          <w:p>
            <w:pPr>
              <w:pStyle w:val="20"/>
              <w:snapToGrid w:val="0"/>
              <w:spacing w:line="400" w:lineRule="exact"/>
              <w:ind w:firstLine="0" w:firstLineChars="0"/>
              <w:rPr>
                <w:rFonts w:hAnsi="宋体" w:cs="宋体"/>
                <w:sz w:val="22"/>
                <w:szCs w:val="22"/>
              </w:rPr>
            </w:pPr>
            <w:r>
              <w:rPr>
                <w:rFonts w:hint="eastAsia" w:hAnsi="宋体" w:cs="宋体"/>
                <w:sz w:val="22"/>
                <w:szCs w:val="22"/>
              </w:rPr>
              <w:t>测量稳定时间：2秒</w:t>
            </w:r>
          </w:p>
          <w:p>
            <w:pPr>
              <w:pStyle w:val="20"/>
              <w:snapToGrid w:val="0"/>
              <w:spacing w:line="400" w:lineRule="exact"/>
              <w:ind w:firstLine="0" w:firstLineChars="0"/>
              <w:rPr>
                <w:rFonts w:hAnsi="宋体" w:cs="宋体"/>
                <w:sz w:val="22"/>
                <w:szCs w:val="22"/>
              </w:rPr>
            </w:pPr>
            <w:r>
              <w:rPr>
                <w:rFonts w:hint="eastAsia" w:hAnsi="宋体" w:cs="宋体"/>
                <w:sz w:val="22"/>
                <w:szCs w:val="22"/>
              </w:rPr>
              <w:t>响应时间：＜60秒</w:t>
            </w:r>
          </w:p>
          <w:p>
            <w:pPr>
              <w:pStyle w:val="20"/>
              <w:snapToGrid w:val="0"/>
              <w:spacing w:line="400" w:lineRule="exact"/>
              <w:ind w:firstLine="0" w:firstLineChars="0"/>
              <w:rPr>
                <w:rFonts w:hAnsi="宋体" w:cs="宋体"/>
                <w:sz w:val="22"/>
                <w:szCs w:val="22"/>
              </w:rPr>
            </w:pPr>
            <w:r>
              <w:rPr>
                <w:rFonts w:hint="eastAsia" w:hAnsi="宋体" w:cs="宋体"/>
                <w:sz w:val="22"/>
                <w:szCs w:val="22"/>
              </w:rPr>
              <w:t>温度补偿：具备</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 xml:space="preserve">内部过滤：滤除H2S、SOX、NOX气体交叉干扰                                               </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POE交换机</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ind w:firstLine="0" w:firstLineChars="0"/>
              <w:rPr>
                <w:rFonts w:hAnsi="宋体" w:cs="宋体"/>
                <w:sz w:val="22"/>
                <w:szCs w:val="22"/>
              </w:rPr>
            </w:pPr>
            <w:r>
              <w:rPr>
                <w:rFonts w:hint="eastAsia" w:hAnsi="宋体" w:cs="宋体"/>
                <w:sz w:val="22"/>
                <w:szCs w:val="22"/>
              </w:rPr>
              <w:t>交换容量≥16Gbps，包转发率≥13Mpps，桌面式，静音款，不支持挂耳,POE功率≥70W</w:t>
            </w:r>
          </w:p>
          <w:p>
            <w:pPr>
              <w:widowControl/>
              <w:jc w:val="left"/>
              <w:textAlignment w:val="center"/>
              <w:rPr>
                <w:rFonts w:asciiTheme="minorEastAsia" w:hAnsiTheme="minorEastAsia" w:eastAsiaTheme="minorEastAsia" w:cstheme="minorEastAsia"/>
                <w:sz w:val="22"/>
                <w:szCs w:val="22"/>
              </w:rPr>
            </w:pPr>
            <w:r>
              <w:rPr>
                <w:rFonts w:hint="eastAsia" w:hAnsi="宋体" w:cs="宋体"/>
                <w:sz w:val="22"/>
                <w:szCs w:val="22"/>
              </w:rPr>
              <w:t>POE非满供</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2"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外接音柱</w:t>
            </w:r>
          </w:p>
        </w:tc>
        <w:tc>
          <w:tcPr>
            <w:tcW w:w="5223"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有效频率范围100Hz~16KHz。</w:t>
            </w:r>
          </w:p>
          <w:p>
            <w:pPr>
              <w:pStyle w:val="20"/>
              <w:snapToGrid w:val="0"/>
              <w:spacing w:line="400" w:lineRule="exact"/>
              <w:ind w:firstLine="0" w:firstLineChars="0"/>
              <w:rPr>
                <w:rFonts w:hAnsi="宋体" w:cs="宋体"/>
                <w:sz w:val="22"/>
                <w:szCs w:val="22"/>
              </w:rPr>
            </w:pPr>
            <w:r>
              <w:rPr>
                <w:rFonts w:hint="eastAsia" w:hAnsi="宋体" w:cs="宋体"/>
                <w:sz w:val="22"/>
                <w:szCs w:val="22"/>
              </w:rPr>
              <w:t>2. 灵敏度89dB(±3dB)。</w:t>
            </w:r>
          </w:p>
          <w:p>
            <w:pPr>
              <w:pStyle w:val="20"/>
              <w:snapToGrid w:val="0"/>
              <w:spacing w:line="400" w:lineRule="exact"/>
              <w:ind w:firstLine="0" w:firstLineChars="0"/>
              <w:rPr>
                <w:rFonts w:hAnsi="宋体" w:cs="宋体"/>
                <w:sz w:val="22"/>
                <w:szCs w:val="22"/>
              </w:rPr>
            </w:pPr>
            <w:r>
              <w:rPr>
                <w:rFonts w:hint="eastAsia" w:hAnsi="宋体" w:cs="宋体"/>
                <w:sz w:val="22"/>
                <w:szCs w:val="22"/>
              </w:rPr>
              <w:t>3. 信噪比：≥80dB；</w:t>
            </w:r>
          </w:p>
          <w:p>
            <w:pPr>
              <w:pStyle w:val="20"/>
              <w:snapToGrid w:val="0"/>
              <w:spacing w:line="400" w:lineRule="exact"/>
              <w:ind w:firstLine="0" w:firstLineChars="0"/>
              <w:rPr>
                <w:rFonts w:hAnsi="宋体" w:cs="宋体"/>
                <w:sz w:val="22"/>
                <w:szCs w:val="22"/>
              </w:rPr>
            </w:pPr>
            <w:r>
              <w:rPr>
                <w:rFonts w:hint="eastAsia" w:hAnsi="宋体" w:cs="宋体"/>
                <w:sz w:val="22"/>
                <w:szCs w:val="22"/>
              </w:rPr>
              <w:t>4. 指向特性：全指向性；</w:t>
            </w:r>
          </w:p>
          <w:p>
            <w:pPr>
              <w:pStyle w:val="20"/>
              <w:snapToGrid w:val="0"/>
              <w:spacing w:line="400" w:lineRule="exact"/>
              <w:ind w:firstLine="0" w:firstLineChars="0"/>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6. 工作电压范围：DC10V~15V/2A。</w:t>
            </w:r>
          </w:p>
        </w:tc>
        <w:tc>
          <w:tcPr>
            <w:tcW w:w="1099" w:type="dxa"/>
            <w:tcBorders>
              <w:tl2br w:val="nil"/>
              <w:tr2bl w:val="nil"/>
            </w:tcBorders>
            <w:shd w:val="clear" w:color="auto" w:fill="auto"/>
            <w:noWrap/>
            <w:vAlign w:val="center"/>
          </w:tcPr>
          <w:p>
            <w:pPr>
              <w:widowControl/>
              <w:jc w:val="center"/>
              <w:textAlignment w:val="center"/>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0" w:hRule="atLeast"/>
        </w:trPr>
        <w:tc>
          <w:tcPr>
            <w:tcW w:w="94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9</w:t>
            </w:r>
          </w:p>
        </w:tc>
        <w:tc>
          <w:tcPr>
            <w:tcW w:w="1326"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实施费</w:t>
            </w:r>
          </w:p>
        </w:tc>
        <w:tc>
          <w:tcPr>
            <w:tcW w:w="5223" w:type="dxa"/>
            <w:tcBorders>
              <w:tl2br w:val="nil"/>
              <w:tr2bl w:val="nil"/>
            </w:tcBorders>
            <w:shd w:val="clear" w:color="auto" w:fill="auto"/>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包含摄像头安装及拍摄事件角度调整，网络交换机调试，异味传感器安装调试，烟感设备安装调试，垃圾房智能化设备整体联调</w:t>
            </w:r>
          </w:p>
        </w:tc>
        <w:tc>
          <w:tcPr>
            <w:tcW w:w="1099" w:type="dxa"/>
            <w:tcBorders>
              <w:tl2br w:val="nil"/>
              <w:tr2bl w:val="nil"/>
            </w:tcBorders>
            <w:shd w:val="clear" w:color="auto" w:fill="auto"/>
            <w:noWrap/>
            <w:vAlign w:val="center"/>
          </w:tcPr>
          <w:p>
            <w:pPr>
              <w:widowControl/>
              <w:jc w:val="center"/>
              <w:textAlignment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kern w:val="0"/>
                <w:sz w:val="22"/>
                <w:szCs w:val="22"/>
                <w:lang w:bidi="ar"/>
              </w:rPr>
              <w:t>7</w:t>
            </w:r>
            <w:r>
              <w:rPr>
                <w:rFonts w:hint="eastAsia" w:asciiTheme="minorEastAsia" w:hAnsiTheme="minorEastAsia" w:eastAsiaTheme="minorEastAsia" w:cstheme="minorEastAsia"/>
                <w:kern w:val="0"/>
                <w:sz w:val="22"/>
                <w:szCs w:val="22"/>
                <w:lang w:val="en-US" w:eastAsia="zh-CN" w:bidi="ar"/>
              </w:rPr>
              <w:t>5</w:t>
            </w:r>
          </w:p>
        </w:tc>
        <w:tc>
          <w:tcPr>
            <w:tcW w:w="81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bl>
    <w:p>
      <w:pPr>
        <w:numPr>
          <w:ilvl w:val="0"/>
          <w:numId w:val="5"/>
        </w:numPr>
        <w:adjustRightInd w:val="0"/>
        <w:snapToGrid w:val="0"/>
        <w:spacing w:line="460" w:lineRule="atLeast"/>
        <w:ind w:left="0" w:leftChars="0" w:firstLine="422" w:firstLineChars="200"/>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sz w:val="21"/>
          <w:szCs w:val="21"/>
          <w:u w:val="none"/>
        </w:rPr>
        <w:t>原有垃圾房改造（双面）参数要求</w:t>
      </w:r>
    </w:p>
    <w:tbl>
      <w:tblPr>
        <w:tblStyle w:val="36"/>
        <w:tblW w:w="9424" w:type="dxa"/>
        <w:tblInd w:w="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2"/>
        <w:gridCol w:w="1330"/>
        <w:gridCol w:w="5250"/>
        <w:gridCol w:w="112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3"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序号</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产品名称</w:t>
            </w:r>
          </w:p>
        </w:tc>
        <w:tc>
          <w:tcPr>
            <w:tcW w:w="525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参数要求</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数量</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r>
              <w:rPr>
                <w:rFonts w:hint="eastAsia" w:asciiTheme="minorEastAsia" w:hAnsiTheme="minorEastAsia" w:eastAsiaTheme="minorEastAsia" w:cstheme="minorEastAsia"/>
                <w:sz w:val="22"/>
                <w:szCs w:val="2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1"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1</w:t>
            </w:r>
          </w:p>
        </w:tc>
        <w:tc>
          <w:tcPr>
            <w:tcW w:w="1330"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智能化垃圾管理双光变焦相机</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88</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2</w:t>
            </w:r>
          </w:p>
        </w:tc>
        <w:tc>
          <w:tcPr>
            <w:tcW w:w="1330"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智能化垃圾满溢相机</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参数要求：</w:t>
            </w:r>
          </w:p>
          <w:p>
            <w:pPr>
              <w:pStyle w:val="20"/>
              <w:snapToGrid w:val="0"/>
              <w:spacing w:line="400" w:lineRule="exact"/>
              <w:ind w:firstLine="0" w:firstLineChars="0"/>
              <w:rPr>
                <w:rFonts w:hAnsi="宋体" w:cs="宋体"/>
                <w:sz w:val="22"/>
                <w:szCs w:val="22"/>
              </w:rPr>
            </w:pPr>
            <w:r>
              <w:rPr>
                <w:rFonts w:hint="eastAsia" w:hAnsi="宋体" w:cs="宋体"/>
                <w:sz w:val="22"/>
                <w:szCs w:val="22"/>
              </w:rPr>
              <w:t>1. 像素≥400万；传感器类型≥1/2.7英寸CMOS；</w:t>
            </w:r>
          </w:p>
          <w:p>
            <w:pPr>
              <w:pStyle w:val="20"/>
              <w:snapToGrid w:val="0"/>
              <w:spacing w:line="400" w:lineRule="exact"/>
              <w:ind w:firstLine="0" w:firstLineChars="0"/>
              <w:rPr>
                <w:rFonts w:hAnsi="宋体" w:cs="宋体"/>
                <w:sz w:val="22"/>
                <w:szCs w:val="22"/>
              </w:rPr>
            </w:pPr>
            <w:r>
              <w:rPr>
                <w:rFonts w:hint="eastAsia" w:hAnsi="宋体" w:cs="宋体"/>
                <w:sz w:val="22"/>
                <w:szCs w:val="22"/>
              </w:rPr>
              <w:t>2. 最大分辨率≥2880×1620；</w:t>
            </w:r>
          </w:p>
          <w:p>
            <w:pPr>
              <w:pStyle w:val="20"/>
              <w:snapToGrid w:val="0"/>
              <w:spacing w:line="400" w:lineRule="exact"/>
              <w:ind w:firstLine="0" w:firstLineChars="0"/>
              <w:rPr>
                <w:rFonts w:hAnsi="宋体" w:cs="宋体"/>
                <w:sz w:val="22"/>
                <w:szCs w:val="22"/>
              </w:rPr>
            </w:pPr>
            <w:r>
              <w:rPr>
                <w:rFonts w:hint="eastAsia" w:hAnsi="宋体" w:cs="宋体"/>
                <w:sz w:val="22"/>
                <w:szCs w:val="22"/>
              </w:rPr>
              <w:t>3. 最低照度：≥0.002Lux(彩色模式);≥0.0002Lux(黑白模式);0Lux(补光灯开启)。；</w:t>
            </w:r>
          </w:p>
          <w:p>
            <w:pPr>
              <w:pStyle w:val="20"/>
              <w:snapToGrid w:val="0"/>
              <w:spacing w:line="400" w:lineRule="exact"/>
              <w:ind w:firstLine="0" w:firstLineChars="0"/>
              <w:rPr>
                <w:rFonts w:hAnsi="宋体" w:cs="宋体"/>
                <w:sz w:val="22"/>
                <w:szCs w:val="22"/>
              </w:rPr>
            </w:pPr>
            <w:r>
              <w:rPr>
                <w:rFonts w:hint="eastAsia" w:hAnsi="宋体" w:cs="宋体"/>
                <w:sz w:val="22"/>
                <w:szCs w:val="22"/>
              </w:rPr>
              <w:t>4. 最大补光距离：60m（红外视频监控距离）30m（暖光视频监控距离）10m（暖光人脸检测距离）；</w:t>
            </w:r>
          </w:p>
          <w:p>
            <w:pPr>
              <w:pStyle w:val="20"/>
              <w:snapToGrid w:val="0"/>
              <w:spacing w:line="400" w:lineRule="exact"/>
              <w:ind w:firstLine="0" w:firstLineChars="0"/>
              <w:rPr>
                <w:rFonts w:hAnsi="宋体" w:cs="宋体"/>
                <w:sz w:val="22"/>
                <w:szCs w:val="22"/>
              </w:rPr>
            </w:pPr>
            <w:r>
              <w:rPr>
                <w:rFonts w:hint="eastAsia" w:hAnsi="宋体" w:cs="宋体"/>
                <w:sz w:val="22"/>
                <w:szCs w:val="22"/>
              </w:rPr>
              <w:t>5. 补光灯：2颗（红外灯）;2颗（暖光灯）；</w:t>
            </w:r>
          </w:p>
          <w:p>
            <w:pPr>
              <w:pStyle w:val="20"/>
              <w:snapToGrid w:val="0"/>
              <w:spacing w:line="400" w:lineRule="exact"/>
              <w:ind w:firstLine="0" w:firstLineChars="0"/>
              <w:rPr>
                <w:rFonts w:hAnsi="宋体" w:cs="宋体"/>
                <w:sz w:val="22"/>
                <w:szCs w:val="22"/>
              </w:rPr>
            </w:pPr>
            <w:r>
              <w:rPr>
                <w:rFonts w:hint="eastAsia" w:hAnsi="宋体" w:cs="宋体"/>
                <w:sz w:val="22"/>
                <w:szCs w:val="22"/>
              </w:rPr>
              <w:t>6. 镜头焦距≥2.7-13.5mm；</w:t>
            </w:r>
          </w:p>
          <w:p>
            <w:pPr>
              <w:pStyle w:val="20"/>
              <w:snapToGrid w:val="0"/>
              <w:spacing w:line="400" w:lineRule="exact"/>
              <w:ind w:firstLine="0" w:firstLineChars="0"/>
              <w:rPr>
                <w:rFonts w:hAnsi="宋体" w:cs="宋体"/>
                <w:sz w:val="22"/>
                <w:szCs w:val="22"/>
              </w:rPr>
            </w:pPr>
            <w:r>
              <w:rPr>
                <w:rFonts w:hint="eastAsia" w:hAnsi="宋体" w:cs="宋体"/>
                <w:sz w:val="22"/>
                <w:szCs w:val="22"/>
              </w:rPr>
              <w:t>7. 镜头光圈≥F1.5；</w:t>
            </w:r>
          </w:p>
          <w:p>
            <w:pPr>
              <w:pStyle w:val="20"/>
              <w:snapToGrid w:val="0"/>
              <w:spacing w:line="400" w:lineRule="exact"/>
              <w:ind w:firstLine="0" w:firstLineChars="0"/>
              <w:rPr>
                <w:rFonts w:hAnsi="宋体" w:cs="宋体"/>
                <w:sz w:val="22"/>
                <w:szCs w:val="22"/>
              </w:rPr>
            </w:pPr>
            <w:r>
              <w:rPr>
                <w:rFonts w:hint="eastAsia" w:hAnsi="宋体" w:cs="宋体"/>
                <w:sz w:val="22"/>
                <w:szCs w:val="22"/>
              </w:rPr>
              <w:t>8. 支持垃圾满溢、垃圾暴露、垃圾桶未撤离、垃圾未破袋检测、垃圾混投、垃圾分时投放、离岗检测、人员拎袋检测功能</w:t>
            </w:r>
          </w:p>
          <w:p>
            <w:pPr>
              <w:pStyle w:val="20"/>
              <w:snapToGrid w:val="0"/>
              <w:spacing w:line="400" w:lineRule="exact"/>
              <w:ind w:firstLine="0" w:firstLineChars="0"/>
              <w:rPr>
                <w:rFonts w:hAnsi="宋体" w:cs="宋体"/>
                <w:sz w:val="22"/>
                <w:szCs w:val="22"/>
              </w:rPr>
            </w:pPr>
            <w:r>
              <w:rPr>
                <w:rFonts w:hint="eastAsia" w:hAnsi="宋体" w:cs="宋体"/>
                <w:sz w:val="22"/>
                <w:szCs w:val="22"/>
              </w:rPr>
              <w:t>9. 支持走廊模式，宽动态，3D降噪，强光抑制，背光补偿，数字水印</w:t>
            </w:r>
          </w:p>
          <w:p>
            <w:pPr>
              <w:pStyle w:val="20"/>
              <w:snapToGrid w:val="0"/>
              <w:spacing w:line="400" w:lineRule="exact"/>
              <w:ind w:firstLine="0" w:firstLineChars="0"/>
              <w:rPr>
                <w:rFonts w:hAnsi="宋体" w:cs="宋体"/>
                <w:sz w:val="22"/>
                <w:szCs w:val="22"/>
              </w:rPr>
            </w:pPr>
            <w:r>
              <w:rPr>
                <w:rFonts w:hint="eastAsia" w:hAnsi="宋体" w:cs="宋体"/>
                <w:sz w:val="22"/>
                <w:szCs w:val="22"/>
              </w:rPr>
              <w:t>10. 支持报警3进2出，音频1进1出，内置MIC和扬声器</w:t>
            </w:r>
          </w:p>
          <w:p>
            <w:pPr>
              <w:pStyle w:val="20"/>
              <w:snapToGrid w:val="0"/>
              <w:spacing w:line="400" w:lineRule="exact"/>
              <w:ind w:firstLine="0" w:firstLineChars="0"/>
              <w:rPr>
                <w:rFonts w:hAnsi="宋体" w:cs="宋体"/>
                <w:sz w:val="22"/>
                <w:szCs w:val="22"/>
              </w:rPr>
            </w:pPr>
            <w:r>
              <w:rPr>
                <w:rFonts w:hint="eastAsia" w:hAnsi="宋体" w:cs="宋体"/>
                <w:sz w:val="22"/>
                <w:szCs w:val="22"/>
              </w:rPr>
              <w:t xml:space="preserve">11. 支持DC12V/POE供电方式 </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12. 支持IP67防护等级</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88</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5</w:t>
            </w:r>
          </w:p>
        </w:tc>
        <w:tc>
          <w:tcPr>
            <w:tcW w:w="1330"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电感烟火灾探测报警器</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采集类型：烟雾，温度</w:t>
            </w:r>
          </w:p>
          <w:p>
            <w:pPr>
              <w:pStyle w:val="20"/>
              <w:snapToGrid w:val="0"/>
              <w:spacing w:line="400" w:lineRule="exact"/>
              <w:ind w:firstLine="0" w:firstLineChars="0"/>
              <w:rPr>
                <w:rFonts w:hAnsi="宋体" w:cs="宋体"/>
                <w:sz w:val="22"/>
                <w:szCs w:val="22"/>
              </w:rPr>
            </w:pPr>
            <w:r>
              <w:rPr>
                <w:rFonts w:hint="eastAsia" w:hAnsi="宋体" w:cs="宋体"/>
                <w:sz w:val="22"/>
                <w:szCs w:val="22"/>
              </w:rPr>
              <w:t>2. 采样周期≤ 9s</w:t>
            </w:r>
          </w:p>
          <w:p>
            <w:pPr>
              <w:pStyle w:val="20"/>
              <w:snapToGrid w:val="0"/>
              <w:spacing w:line="400" w:lineRule="exact"/>
              <w:ind w:firstLine="0" w:firstLineChars="0"/>
              <w:rPr>
                <w:rFonts w:hAnsi="宋体" w:cs="宋体"/>
                <w:sz w:val="22"/>
                <w:szCs w:val="22"/>
              </w:rPr>
            </w:pPr>
            <w:r>
              <w:rPr>
                <w:rFonts w:hint="eastAsia" w:hAnsi="宋体" w:cs="宋体"/>
                <w:sz w:val="22"/>
                <w:szCs w:val="22"/>
              </w:rPr>
              <w:t>3. ≥24小时</w:t>
            </w:r>
          </w:p>
          <w:p>
            <w:pPr>
              <w:pStyle w:val="20"/>
              <w:snapToGrid w:val="0"/>
              <w:spacing w:line="400" w:lineRule="exact"/>
              <w:ind w:firstLine="0" w:firstLineChars="0"/>
              <w:rPr>
                <w:rFonts w:hAnsi="宋体" w:cs="宋体"/>
                <w:sz w:val="22"/>
                <w:szCs w:val="22"/>
              </w:rPr>
            </w:pPr>
            <w:r>
              <w:rPr>
                <w:rFonts w:hint="eastAsia" w:hAnsi="宋体" w:cs="宋体"/>
                <w:sz w:val="22"/>
                <w:szCs w:val="22"/>
              </w:rPr>
              <w:t>4. 60 m2~120 m2</w:t>
            </w:r>
          </w:p>
          <w:p>
            <w:pPr>
              <w:pStyle w:val="20"/>
              <w:snapToGrid w:val="0"/>
              <w:spacing w:line="400" w:lineRule="exact"/>
              <w:ind w:firstLine="0" w:firstLineChars="0"/>
              <w:rPr>
                <w:rFonts w:hAnsi="宋体" w:cs="宋体"/>
                <w:sz w:val="22"/>
                <w:szCs w:val="22"/>
              </w:rPr>
            </w:pPr>
            <w:r>
              <w:rPr>
                <w:rFonts w:hint="eastAsia" w:hAnsi="宋体" w:cs="宋体"/>
                <w:sz w:val="22"/>
                <w:szCs w:val="22"/>
              </w:rPr>
              <w:t>5. 光电式，NTC热敏电阻</w:t>
            </w:r>
          </w:p>
          <w:p>
            <w:pPr>
              <w:pStyle w:val="20"/>
              <w:snapToGrid w:val="0"/>
              <w:spacing w:line="400" w:lineRule="exact"/>
              <w:ind w:firstLine="0" w:firstLineChars="0"/>
              <w:rPr>
                <w:rFonts w:hAnsi="宋体" w:cs="宋体"/>
                <w:sz w:val="22"/>
                <w:szCs w:val="22"/>
              </w:rPr>
            </w:pPr>
            <w:r>
              <w:rPr>
                <w:rFonts w:hint="eastAsia" w:hAnsi="宋体" w:cs="宋体"/>
                <w:sz w:val="22"/>
                <w:szCs w:val="22"/>
              </w:rPr>
              <w:t>6. 通讯方式：NB-IoT通讯</w:t>
            </w:r>
          </w:p>
          <w:p>
            <w:pPr>
              <w:pStyle w:val="20"/>
              <w:snapToGrid w:val="0"/>
              <w:spacing w:line="400" w:lineRule="exact"/>
              <w:ind w:firstLine="0" w:firstLineChars="0"/>
              <w:rPr>
                <w:rFonts w:hAnsi="宋体" w:cs="宋体"/>
                <w:sz w:val="22"/>
                <w:szCs w:val="22"/>
              </w:rPr>
            </w:pPr>
            <w:r>
              <w:rPr>
                <w:rFonts w:hint="eastAsia" w:hAnsi="宋体" w:cs="宋体"/>
                <w:sz w:val="22"/>
                <w:szCs w:val="22"/>
              </w:rPr>
              <w:t>7. 环境温度≥57℃时产生告警，环境温度变化≥8℃/min</w:t>
            </w:r>
          </w:p>
          <w:p>
            <w:pPr>
              <w:pStyle w:val="20"/>
              <w:snapToGrid w:val="0"/>
              <w:spacing w:line="400" w:lineRule="exact"/>
              <w:ind w:firstLine="0" w:firstLineChars="0"/>
              <w:rPr>
                <w:rFonts w:hAnsi="宋体" w:cs="宋体"/>
                <w:sz w:val="22"/>
                <w:szCs w:val="22"/>
              </w:rPr>
            </w:pPr>
            <w:r>
              <w:rPr>
                <w:rFonts w:hint="eastAsia" w:hAnsi="宋体" w:cs="宋体"/>
                <w:sz w:val="22"/>
                <w:szCs w:val="22"/>
              </w:rPr>
              <w:t>8. 报警方式：声、光报警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本工程安装的独立式光电感烟火灾探测报警器设备需符合GB 20517-2006《独立式感烟火灾探测报警器》要求，并取得国家消防电子设备质量监督检验中心出具的型式检验报告。</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本工程安装的独立式光电感烟火灾探测报警器设备，必须取得应急管理部消防设备合格评定中心执行国家标准GB 20517-2006《独立式感烟火灾探测报警器》的强制性设备认证证书。</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本次项目所投标设备需取得中国人民共和国工业和信息化部颁发的《电信设备进网许可证》。</w:t>
            </w:r>
          </w:p>
          <w:p>
            <w:pPr>
              <w:pStyle w:val="20"/>
              <w:snapToGrid w:val="0"/>
              <w:spacing w:line="400" w:lineRule="exact"/>
              <w:ind w:firstLine="0" w:firstLineChars="0"/>
              <w:rPr>
                <w:rFonts w:hAnsi="宋体" w:cs="宋体"/>
                <w:sz w:val="22"/>
                <w:szCs w:val="22"/>
              </w:rPr>
            </w:pPr>
            <w:r>
              <w:rPr>
                <w:rFonts w:hint="eastAsia" w:ascii="宋体" w:hAnsi="宋体" w:cs="宋体"/>
                <w:color w:val="auto"/>
                <w:kern w:val="0"/>
                <w:sz w:val="22"/>
                <w:szCs w:val="22"/>
                <w:highlight w:val="none"/>
                <w:lang w:bidi="ar"/>
              </w:rPr>
              <w:t>★</w:t>
            </w:r>
            <w:r>
              <w:rPr>
                <w:rFonts w:hint="eastAsia" w:hAnsi="宋体" w:cs="宋体"/>
                <w:sz w:val="22"/>
                <w:szCs w:val="22"/>
              </w:rPr>
              <w:t>本次项目所投标设备需取得中国人民共和国工业和信息化部颁发的《无线电发射设备型号核准证》。</w:t>
            </w:r>
          </w:p>
          <w:p>
            <w:pPr>
              <w:pStyle w:val="20"/>
              <w:snapToGrid w:val="0"/>
              <w:spacing w:line="400" w:lineRule="exact"/>
              <w:ind w:firstLine="0" w:firstLineChars="0"/>
              <w:rPr>
                <w:rFonts w:hAnsi="宋体" w:cs="宋体"/>
                <w:sz w:val="22"/>
                <w:szCs w:val="22"/>
              </w:rPr>
            </w:pPr>
            <w:r>
              <w:rPr>
                <w:rFonts w:hint="eastAsia" w:hAnsi="宋体" w:cs="宋体"/>
                <w:sz w:val="22"/>
                <w:szCs w:val="22"/>
              </w:rPr>
              <w:t>为保障设备的稳定性、可靠性，需提供国家级检验中心出具的检测报告，且检测报告的检测依据或判定依据应包含或参考GB20517-2006《独立式光电感烟火灾探测器》。</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设备应能通过移动运营商NB-IoT网络制式、联通运营商NB-IoT网络制式、电信运营商NB-IoT网络制式通讯。并能与电信运营商AEP平台、电信运营商IOT平台或移动运营商onenet平台进行数据交互。</w:t>
            </w:r>
          </w:p>
          <w:p>
            <w:pPr>
              <w:pStyle w:val="20"/>
              <w:snapToGrid w:val="0"/>
              <w:spacing w:line="400" w:lineRule="exact"/>
              <w:ind w:firstLine="0" w:firstLineChars="0"/>
              <w:rPr>
                <w:rFonts w:hAnsi="宋体" w:cs="宋体"/>
                <w:sz w:val="22"/>
                <w:szCs w:val="22"/>
              </w:rPr>
            </w:pPr>
            <w:r>
              <w:rPr>
                <w:rFonts w:hint="eastAsia" w:hAnsi="宋体" w:cs="宋体"/>
                <w:sz w:val="22"/>
                <w:szCs w:val="22"/>
              </w:rPr>
              <w:t>设备迷宫和迷宫防护罩结构支持快速拆卸。</w:t>
            </w:r>
          </w:p>
          <w:p>
            <w:pPr>
              <w:pStyle w:val="20"/>
              <w:snapToGrid w:val="0"/>
              <w:spacing w:line="400" w:lineRule="exact"/>
              <w:ind w:firstLine="0" w:firstLineChars="0"/>
              <w:rPr>
                <w:rFonts w:hAnsi="宋体" w:cs="宋体"/>
                <w:sz w:val="22"/>
                <w:szCs w:val="22"/>
              </w:rPr>
            </w:pPr>
            <w:r>
              <w:rPr>
                <w:rFonts w:hint="eastAsia" w:hAnsi="宋体" w:cs="宋体"/>
                <w:sz w:val="22"/>
                <w:szCs w:val="22"/>
              </w:rPr>
              <w:t>设备光信号器件采用1个红色光信号发射管、1个蓝光信号发射管和1个光信号接收管。</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设备具有电池安装防呆功能。</w:t>
            </w:r>
          </w:p>
          <w:p>
            <w:pPr>
              <w:pStyle w:val="20"/>
              <w:snapToGrid w:val="0"/>
              <w:spacing w:line="400" w:lineRule="exact"/>
              <w:ind w:firstLine="0" w:firstLineChars="0"/>
              <w:rPr>
                <w:rFonts w:hAnsi="宋体" w:cs="宋体"/>
                <w:sz w:val="22"/>
                <w:szCs w:val="22"/>
              </w:rPr>
            </w:pPr>
            <w:r>
              <w:rPr>
                <w:rFonts w:hint="eastAsia" w:hAnsi="宋体" w:cs="宋体"/>
                <w:sz w:val="22"/>
                <w:szCs w:val="22"/>
              </w:rPr>
              <w:t>设备应具有黑匣子功能，使用专用软件通过串口读取设备内部数据，包括SN号、软件版本号、硬件版本号、本底值、报警阈值、电池电压。</w:t>
            </w:r>
          </w:p>
          <w:p>
            <w:pPr>
              <w:pStyle w:val="20"/>
              <w:snapToGrid w:val="0"/>
              <w:spacing w:line="400" w:lineRule="exact"/>
              <w:ind w:firstLine="0" w:firstLineChars="0"/>
              <w:rPr>
                <w:rFonts w:hAnsi="宋体" w:cs="宋体"/>
                <w:sz w:val="22"/>
                <w:szCs w:val="22"/>
              </w:rPr>
            </w:pPr>
            <w:r>
              <w:rPr>
                <w:rFonts w:hint="eastAsia" w:hAnsi="宋体" w:cs="宋体"/>
                <w:sz w:val="22"/>
                <w:szCs w:val="22"/>
              </w:rPr>
              <w:t>设备支持阈值参数（灵敏度）、电池电量、红光传感器采样值、红光本底值、蓝光传感器采样值、蓝光本底值上传管理平台。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设备具有防水汽干扰能力，并能采集水汽干扰源的实时浓度信号值</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设备采用DC3.0V、容量不小于2400mAh高质量锂电池供电</w:t>
            </w:r>
          </w:p>
          <w:p>
            <w:pPr>
              <w:pStyle w:val="20"/>
              <w:snapToGrid w:val="0"/>
              <w:spacing w:line="400" w:lineRule="exact"/>
              <w:ind w:firstLine="0" w:firstLineChars="0"/>
              <w:rPr>
                <w:rFonts w:hAnsi="宋体" w:cs="宋体"/>
                <w:sz w:val="22"/>
                <w:szCs w:val="22"/>
              </w:rPr>
            </w:pPr>
            <w:r>
              <w:rPr>
                <w:rFonts w:hint="eastAsia" w:hAnsi="宋体" w:cs="宋体"/>
                <w:sz w:val="22"/>
                <w:szCs w:val="22"/>
              </w:rPr>
              <w:t>设备拆除报警功能，当设备与安装底板分离时，设备应能将拆除报警信号上传至远程管理平台。</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设备具有红外消音功能，能够响应普通红外遥控器任一按键的操作，对报警音实现消音（提供视频演示）</w:t>
            </w:r>
          </w:p>
          <w:p>
            <w:pPr>
              <w:pStyle w:val="20"/>
              <w:snapToGrid w:val="0"/>
              <w:spacing w:line="400" w:lineRule="exact"/>
              <w:ind w:firstLine="0" w:firstLineChars="0"/>
              <w:rPr>
                <w:rFonts w:hAnsi="宋体" w:cs="宋体"/>
                <w:sz w:val="22"/>
                <w:szCs w:val="22"/>
              </w:rPr>
            </w:pPr>
            <w:r>
              <w:rPr>
                <w:rFonts w:hint="eastAsia" w:hAnsi="宋体" w:cs="宋体"/>
                <w:sz w:val="22"/>
                <w:szCs w:val="22"/>
              </w:rPr>
              <w:t>设备采用多色指示灯，通过指示灯不同颜色状态显示设备状态。</w:t>
            </w:r>
          </w:p>
          <w:p>
            <w:pPr>
              <w:pStyle w:val="20"/>
              <w:snapToGrid w:val="0"/>
              <w:spacing w:line="400" w:lineRule="exact"/>
              <w:ind w:firstLine="0" w:firstLineChars="0"/>
              <w:rPr>
                <w:rFonts w:hAnsi="宋体" w:cs="宋体"/>
                <w:sz w:val="22"/>
                <w:szCs w:val="22"/>
              </w:rPr>
            </w:pPr>
            <w:r>
              <w:rPr>
                <w:rFonts w:hint="eastAsia" w:hAnsi="宋体" w:cs="宋体"/>
                <w:sz w:val="22"/>
                <w:szCs w:val="22"/>
              </w:rPr>
              <w:t>报警分类：火警报警、故障报警、拆除报警</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设备具有电池取走警示功能，当电池被取走后，设备应由明显警示标识。</w:t>
            </w:r>
          </w:p>
          <w:p>
            <w:pPr>
              <w:pStyle w:val="20"/>
              <w:snapToGrid w:val="0"/>
              <w:spacing w:line="400" w:lineRule="exact"/>
              <w:ind w:firstLine="0" w:firstLineChars="0"/>
              <w:rPr>
                <w:rFonts w:hAnsi="宋体" w:cs="宋体"/>
                <w:sz w:val="22"/>
                <w:szCs w:val="22"/>
              </w:rPr>
            </w:pPr>
            <w:r>
              <w:rPr>
                <w:rFonts w:hint="eastAsia" w:hAnsi="宋体" w:cs="宋体"/>
                <w:sz w:val="22"/>
                <w:szCs w:val="22"/>
              </w:rPr>
              <w:t>报警音量：≥85db（A），3米</w:t>
            </w:r>
          </w:p>
          <w:p>
            <w:pPr>
              <w:pStyle w:val="20"/>
              <w:snapToGrid w:val="0"/>
              <w:spacing w:line="400" w:lineRule="exact"/>
              <w:ind w:firstLine="0" w:firstLineChars="0"/>
              <w:rPr>
                <w:rFonts w:hAnsi="宋体" w:cs="宋体"/>
                <w:sz w:val="22"/>
                <w:szCs w:val="22"/>
              </w:rPr>
            </w:pPr>
            <w:r>
              <w:rPr>
                <w:rFonts w:hint="eastAsia" w:hAnsi="宋体" w:cs="宋体"/>
                <w:sz w:val="22"/>
                <w:szCs w:val="22"/>
              </w:rPr>
              <w:t>设备具有自检功能，自检时能够发出声、光报警信号</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设备采用不大于0.8mm</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6</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异味检测传感器</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NH3测量原理：电化学</w:t>
            </w:r>
          </w:p>
          <w:p>
            <w:pPr>
              <w:pStyle w:val="20"/>
              <w:snapToGrid w:val="0"/>
              <w:spacing w:line="400" w:lineRule="exact"/>
              <w:ind w:firstLine="0" w:firstLineChars="0"/>
              <w:rPr>
                <w:rFonts w:hAnsi="宋体" w:cs="宋体"/>
                <w:sz w:val="22"/>
                <w:szCs w:val="22"/>
              </w:rPr>
            </w:pPr>
            <w:r>
              <w:rPr>
                <w:rFonts w:hint="eastAsia" w:hAnsi="宋体" w:cs="宋体"/>
                <w:sz w:val="22"/>
                <w:szCs w:val="22"/>
              </w:rPr>
              <w:t>NH3检测方法：在线监测、扩散式</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NH3测量范围：0~50ppm</w:t>
            </w:r>
          </w:p>
          <w:p>
            <w:pPr>
              <w:pStyle w:val="20"/>
              <w:snapToGrid w:val="0"/>
              <w:spacing w:line="400" w:lineRule="exact"/>
              <w:ind w:firstLine="0" w:firstLineChars="0"/>
              <w:rPr>
                <w:rFonts w:hAnsi="宋体" w:cs="宋体"/>
                <w:sz w:val="22"/>
                <w:szCs w:val="22"/>
              </w:rPr>
            </w:pPr>
            <w:r>
              <w:rPr>
                <w:rFonts w:hint="eastAsia" w:hAnsi="宋体" w:cs="宋体"/>
                <w:sz w:val="22"/>
                <w:szCs w:val="22"/>
              </w:rPr>
              <w:t>NH3分辨率：0.1PPM</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NH3测量精度：＜±4%</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NH3测量稳定性：＜±2%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NH3测量重复性：＜±2%</w:t>
            </w:r>
          </w:p>
          <w:p>
            <w:pPr>
              <w:pStyle w:val="20"/>
              <w:snapToGrid w:val="0"/>
              <w:spacing w:line="400" w:lineRule="exact"/>
              <w:ind w:firstLine="0" w:firstLineChars="0"/>
              <w:rPr>
                <w:rFonts w:hAnsi="宋体" w:cs="宋体"/>
                <w:sz w:val="22"/>
                <w:szCs w:val="22"/>
              </w:rPr>
            </w:pPr>
            <w:r>
              <w:rPr>
                <w:rFonts w:hint="eastAsia" w:hAnsi="宋体" w:cs="宋体"/>
                <w:sz w:val="22"/>
                <w:szCs w:val="22"/>
              </w:rPr>
              <w:t>NH3测量灵敏度：0.1±0.03uA （ppm）</w:t>
            </w:r>
          </w:p>
          <w:p>
            <w:pPr>
              <w:pStyle w:val="20"/>
              <w:snapToGrid w:val="0"/>
              <w:spacing w:line="400" w:lineRule="exact"/>
              <w:ind w:firstLine="0" w:firstLineChars="0"/>
              <w:rPr>
                <w:rFonts w:hAnsi="宋体" w:cs="宋体"/>
                <w:sz w:val="22"/>
                <w:szCs w:val="22"/>
              </w:rPr>
            </w:pPr>
            <w:r>
              <w:rPr>
                <w:rFonts w:hint="eastAsia" w:hAnsi="宋体" w:cs="宋体"/>
                <w:sz w:val="22"/>
                <w:szCs w:val="22"/>
              </w:rPr>
              <w:t>NH3探头寿命：2年  (2ppm/NH3)</w:t>
            </w:r>
          </w:p>
          <w:p>
            <w:pPr>
              <w:pStyle w:val="20"/>
              <w:snapToGrid w:val="0"/>
              <w:spacing w:line="400" w:lineRule="exact"/>
              <w:ind w:firstLine="0" w:firstLineChars="0"/>
              <w:rPr>
                <w:rFonts w:hAnsi="宋体" w:cs="宋体"/>
                <w:sz w:val="22"/>
                <w:szCs w:val="22"/>
              </w:rPr>
            </w:pPr>
            <w:r>
              <w:rPr>
                <w:rFonts w:hint="eastAsia" w:hAnsi="宋体" w:cs="宋体"/>
                <w:sz w:val="22"/>
                <w:szCs w:val="22"/>
              </w:rPr>
              <w:t>测量稳定时间：2秒</w:t>
            </w:r>
          </w:p>
          <w:p>
            <w:pPr>
              <w:pStyle w:val="20"/>
              <w:snapToGrid w:val="0"/>
              <w:spacing w:line="400" w:lineRule="exact"/>
              <w:ind w:firstLine="0" w:firstLineChars="0"/>
              <w:rPr>
                <w:rFonts w:hAnsi="宋体" w:cs="宋体"/>
                <w:sz w:val="22"/>
                <w:szCs w:val="22"/>
              </w:rPr>
            </w:pPr>
            <w:r>
              <w:rPr>
                <w:rFonts w:hint="eastAsia" w:hAnsi="宋体" w:cs="宋体"/>
                <w:sz w:val="22"/>
                <w:szCs w:val="22"/>
              </w:rPr>
              <w:t>响应时间：＜60秒</w:t>
            </w:r>
          </w:p>
          <w:p>
            <w:pPr>
              <w:pStyle w:val="20"/>
              <w:snapToGrid w:val="0"/>
              <w:spacing w:line="400" w:lineRule="exact"/>
              <w:ind w:firstLine="0" w:firstLineChars="0"/>
              <w:rPr>
                <w:rFonts w:hAnsi="宋体" w:cs="宋体"/>
                <w:sz w:val="22"/>
                <w:szCs w:val="22"/>
              </w:rPr>
            </w:pPr>
            <w:r>
              <w:rPr>
                <w:rFonts w:hint="eastAsia" w:hAnsi="宋体" w:cs="宋体"/>
                <w:sz w:val="22"/>
                <w:szCs w:val="22"/>
              </w:rPr>
              <w:t>温度补偿：具备</w:t>
            </w:r>
          </w:p>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 xml:space="preserve">内部过滤：滤除H2S、SOX、NOX气体交叉干扰                                               </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9"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7</w:t>
            </w:r>
          </w:p>
        </w:tc>
        <w:tc>
          <w:tcPr>
            <w:tcW w:w="1330"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POE交换机</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1、端口及硬件要求：≥9个10/100/1000BASE-T以太网端口,POE+,国标交流适配器)</w:t>
            </w:r>
          </w:p>
          <w:p>
            <w:pPr>
              <w:pStyle w:val="20"/>
              <w:snapToGrid w:val="0"/>
              <w:spacing w:line="400" w:lineRule="exact"/>
              <w:ind w:firstLine="0" w:firstLineChars="0"/>
              <w:rPr>
                <w:rFonts w:hAnsi="宋体" w:cs="宋体"/>
                <w:sz w:val="22"/>
                <w:szCs w:val="22"/>
              </w:rPr>
            </w:pPr>
            <w:r>
              <w:rPr>
                <w:rFonts w:hint="eastAsia" w:hAnsi="宋体" w:cs="宋体"/>
                <w:sz w:val="22"/>
                <w:szCs w:val="22"/>
              </w:rPr>
              <w:t>交换容量≥16Gbps，包转发率≥13Mpps，桌面式，静音款，不支持挂耳,POE功率≥70W</w:t>
            </w:r>
          </w:p>
          <w:p>
            <w:pPr>
              <w:widowControl/>
              <w:jc w:val="left"/>
              <w:textAlignment w:val="center"/>
              <w:rPr>
                <w:rFonts w:asciiTheme="minorEastAsia" w:hAnsiTheme="minorEastAsia" w:eastAsiaTheme="minorEastAsia" w:cstheme="minorEastAsia"/>
                <w:sz w:val="22"/>
                <w:szCs w:val="22"/>
              </w:rPr>
            </w:pPr>
            <w:r>
              <w:rPr>
                <w:rFonts w:hint="eastAsia" w:hAnsi="宋体" w:cs="宋体"/>
                <w:sz w:val="22"/>
                <w:szCs w:val="22"/>
              </w:rPr>
              <w:t>POE非满供</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82"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8</w:t>
            </w:r>
          </w:p>
        </w:tc>
        <w:tc>
          <w:tcPr>
            <w:tcW w:w="1330"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外接音柱</w:t>
            </w:r>
          </w:p>
        </w:tc>
        <w:tc>
          <w:tcPr>
            <w:tcW w:w="5250" w:type="dxa"/>
            <w:tcBorders>
              <w:tl2br w:val="nil"/>
              <w:tr2bl w:val="nil"/>
            </w:tcBorders>
            <w:shd w:val="clear" w:color="auto" w:fill="auto"/>
            <w:vAlign w:val="center"/>
          </w:tcPr>
          <w:p>
            <w:pPr>
              <w:pStyle w:val="20"/>
              <w:snapToGrid w:val="0"/>
              <w:spacing w:line="400" w:lineRule="exact"/>
              <w:ind w:firstLine="0" w:firstLineChars="0"/>
              <w:rPr>
                <w:rFonts w:hAnsi="宋体" w:cs="宋体"/>
                <w:sz w:val="22"/>
                <w:szCs w:val="22"/>
              </w:rPr>
            </w:pPr>
            <w:r>
              <w:rPr>
                <w:rFonts w:hint="eastAsia" w:hAnsi="宋体" w:cs="宋体"/>
                <w:sz w:val="22"/>
                <w:szCs w:val="22"/>
              </w:rPr>
              <w:t>1. 有效频率范围100Hz~16KHz。</w:t>
            </w:r>
          </w:p>
          <w:p>
            <w:pPr>
              <w:pStyle w:val="20"/>
              <w:snapToGrid w:val="0"/>
              <w:spacing w:line="400" w:lineRule="exact"/>
              <w:ind w:firstLine="0" w:firstLineChars="0"/>
              <w:rPr>
                <w:rFonts w:hAnsi="宋体" w:cs="宋体"/>
                <w:sz w:val="22"/>
                <w:szCs w:val="22"/>
              </w:rPr>
            </w:pPr>
            <w:r>
              <w:rPr>
                <w:rFonts w:hint="eastAsia" w:hAnsi="宋体" w:cs="宋体"/>
                <w:sz w:val="22"/>
                <w:szCs w:val="22"/>
              </w:rPr>
              <w:t>2. 灵敏度89dB(±3dB)。</w:t>
            </w:r>
          </w:p>
          <w:p>
            <w:pPr>
              <w:pStyle w:val="20"/>
              <w:snapToGrid w:val="0"/>
              <w:spacing w:line="400" w:lineRule="exact"/>
              <w:ind w:firstLine="0" w:firstLineChars="0"/>
              <w:rPr>
                <w:rFonts w:hAnsi="宋体" w:cs="宋体"/>
                <w:sz w:val="22"/>
                <w:szCs w:val="22"/>
              </w:rPr>
            </w:pPr>
            <w:r>
              <w:rPr>
                <w:rFonts w:hint="eastAsia" w:hAnsi="宋体" w:cs="宋体"/>
                <w:sz w:val="22"/>
                <w:szCs w:val="22"/>
              </w:rPr>
              <w:t>3. 信噪比：≥80dB；</w:t>
            </w:r>
          </w:p>
          <w:p>
            <w:pPr>
              <w:pStyle w:val="20"/>
              <w:snapToGrid w:val="0"/>
              <w:spacing w:line="400" w:lineRule="exact"/>
              <w:ind w:firstLine="0" w:firstLineChars="0"/>
              <w:rPr>
                <w:rFonts w:hAnsi="宋体" w:cs="宋体"/>
                <w:sz w:val="22"/>
                <w:szCs w:val="22"/>
              </w:rPr>
            </w:pPr>
            <w:r>
              <w:rPr>
                <w:rFonts w:hint="eastAsia" w:hAnsi="宋体" w:cs="宋体"/>
                <w:sz w:val="22"/>
                <w:szCs w:val="22"/>
              </w:rPr>
              <w:t>4. 指向特性：全指向性；</w:t>
            </w:r>
          </w:p>
          <w:p>
            <w:pPr>
              <w:pStyle w:val="20"/>
              <w:snapToGrid w:val="0"/>
              <w:spacing w:line="400" w:lineRule="exact"/>
              <w:ind w:firstLine="0" w:firstLineChars="0"/>
              <w:rPr>
                <w:rFonts w:hAnsi="宋体" w:cs="宋体"/>
                <w:sz w:val="22"/>
                <w:szCs w:val="22"/>
              </w:rPr>
            </w:pPr>
            <w:r>
              <w:rPr>
                <w:rFonts w:hint="eastAsia" w:hAnsi="宋体" w:cs="宋体"/>
                <w:sz w:val="22"/>
                <w:szCs w:val="22"/>
              </w:rPr>
              <w:t>5. 外置一路线路输入接口，可以播放外部音源。</w:t>
            </w:r>
          </w:p>
          <w:p>
            <w:pPr>
              <w:pStyle w:val="20"/>
              <w:snapToGrid w:val="0"/>
              <w:spacing w:line="400" w:lineRule="exact"/>
              <w:ind w:firstLine="0" w:firstLineChars="0"/>
              <w:rPr>
                <w:sz w:val="22"/>
                <w:szCs w:val="22"/>
              </w:rPr>
            </w:pPr>
            <w:r>
              <w:rPr>
                <w:rFonts w:hint="eastAsia" w:hAnsi="宋体" w:cs="宋体"/>
                <w:sz w:val="22"/>
                <w:szCs w:val="22"/>
              </w:rPr>
              <w:t>6. 工作电压范围：DC10V~15V/2A。</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9" w:hRule="atLeast"/>
        </w:trPr>
        <w:tc>
          <w:tcPr>
            <w:tcW w:w="942"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9</w:t>
            </w:r>
          </w:p>
        </w:tc>
        <w:tc>
          <w:tcPr>
            <w:tcW w:w="1330" w:type="dxa"/>
            <w:tcBorders>
              <w:tl2br w:val="nil"/>
              <w:tr2bl w:val="nil"/>
            </w:tcBorders>
            <w:shd w:val="clear" w:color="auto" w:fill="auto"/>
            <w:noWrap/>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实施费</w:t>
            </w:r>
          </w:p>
        </w:tc>
        <w:tc>
          <w:tcPr>
            <w:tcW w:w="5250" w:type="dxa"/>
            <w:tcBorders>
              <w:tl2br w:val="nil"/>
              <w:tr2bl w:val="nil"/>
            </w:tcBorders>
            <w:shd w:val="clear" w:color="auto" w:fill="auto"/>
            <w:vAlign w:val="center"/>
          </w:tcPr>
          <w:p>
            <w:pPr>
              <w:pStyle w:val="20"/>
              <w:snapToGrid w:val="0"/>
              <w:spacing w:line="400" w:lineRule="exact"/>
              <w:ind w:firstLine="0" w:firstLineChars="0"/>
              <w:rPr>
                <w:rFonts w:asciiTheme="minorEastAsia" w:hAnsiTheme="minorEastAsia" w:eastAsiaTheme="minorEastAsia" w:cstheme="minorEastAsia"/>
                <w:sz w:val="22"/>
                <w:szCs w:val="22"/>
              </w:rPr>
            </w:pPr>
            <w:r>
              <w:rPr>
                <w:rFonts w:hint="eastAsia" w:hAnsi="宋体" w:cs="宋体"/>
                <w:sz w:val="22"/>
                <w:szCs w:val="22"/>
              </w:rPr>
              <w:t>包含</w:t>
            </w:r>
            <w:bookmarkStart w:id="56" w:name="_GoBack"/>
            <w:bookmarkEnd w:id="56"/>
            <w:r>
              <w:rPr>
                <w:rFonts w:hint="eastAsia" w:hAnsi="宋体" w:cs="宋体"/>
                <w:sz w:val="22"/>
                <w:szCs w:val="22"/>
              </w:rPr>
              <w:t>摄像头安装及拍摄事件角度调整，网络交换机调试，异味传感器安装调试，烟感设备安装调试，垃圾房智能化设备整体联调</w:t>
            </w:r>
          </w:p>
        </w:tc>
        <w:tc>
          <w:tcPr>
            <w:tcW w:w="1125"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lang w:bidi="ar"/>
              </w:rPr>
              <w:t>44</w:t>
            </w:r>
          </w:p>
        </w:tc>
        <w:tc>
          <w:tcPr>
            <w:tcW w:w="777" w:type="dxa"/>
            <w:tcBorders>
              <w:tl2br w:val="nil"/>
              <w:tr2bl w:val="nil"/>
            </w:tcBorders>
            <w:shd w:val="clear" w:color="auto" w:fill="auto"/>
            <w:noWrap/>
            <w:vAlign w:val="center"/>
          </w:tcPr>
          <w:p>
            <w:pPr>
              <w:widowControl/>
              <w:jc w:val="center"/>
              <w:textAlignment w:val="center"/>
              <w:rPr>
                <w:rFonts w:asciiTheme="minorEastAsia" w:hAnsiTheme="minorEastAsia" w:eastAsiaTheme="minorEastAsia" w:cstheme="minorEastAsia"/>
                <w:kern w:val="0"/>
                <w:sz w:val="22"/>
                <w:szCs w:val="22"/>
                <w:lang w:bidi="ar"/>
              </w:rPr>
            </w:pPr>
          </w:p>
        </w:tc>
      </w:tr>
    </w:tbl>
    <w:p>
      <w:pPr>
        <w:numPr>
          <w:ilvl w:val="0"/>
          <w:numId w:val="0"/>
        </w:numPr>
        <w:adjustRightInd w:val="0"/>
        <w:snapToGrid w:val="0"/>
        <w:spacing w:line="460" w:lineRule="atLeast"/>
        <w:ind w:leftChars="200"/>
        <w:rPr>
          <w:rFonts w:hint="eastAsia" w:ascii="宋体" w:hAnsi="宋体" w:cs="宋体"/>
          <w:b/>
          <w:bCs/>
          <w:i w:val="0"/>
          <w:iCs w:val="0"/>
          <w:color w:val="000000"/>
          <w:sz w:val="21"/>
          <w:szCs w:val="21"/>
          <w:u w:val="none"/>
          <w:lang w:val="en-US" w:eastAsia="zh-CN"/>
        </w:rPr>
      </w:pPr>
    </w:p>
    <w:p>
      <w:pPr>
        <w:numPr>
          <w:ilvl w:val="0"/>
          <w:numId w:val="0"/>
        </w:numPr>
        <w:adjustRightInd w:val="0"/>
        <w:snapToGrid w:val="0"/>
        <w:spacing w:line="460" w:lineRule="atLeast"/>
        <w:ind w:leftChars="200"/>
        <w:rPr>
          <w:rFonts w:hint="eastAsia" w:ascii="宋体" w:hAnsi="宋体" w:eastAsia="宋体" w:cs="宋体"/>
          <w:b/>
          <w:bCs/>
          <w:i w:val="0"/>
          <w:iCs w:val="0"/>
          <w:color w:val="000000"/>
          <w:sz w:val="21"/>
          <w:szCs w:val="21"/>
          <w:u w:val="none"/>
          <w:lang w:val="en-US" w:eastAsia="zh-CN"/>
        </w:rPr>
      </w:pPr>
      <w:r>
        <w:rPr>
          <w:rFonts w:hint="eastAsia" w:ascii="宋体" w:hAnsi="宋体" w:cs="宋体"/>
          <w:b/>
          <w:bCs/>
          <w:i w:val="0"/>
          <w:iCs w:val="0"/>
          <w:color w:val="000000"/>
          <w:sz w:val="21"/>
          <w:szCs w:val="21"/>
          <w:u w:val="none"/>
          <w:lang w:val="en-US" w:eastAsia="zh-CN"/>
        </w:rPr>
        <w:t>（三）其他</w:t>
      </w:r>
    </w:p>
    <w:tbl>
      <w:tblPr>
        <w:tblStyle w:val="36"/>
        <w:tblW w:w="0" w:type="auto"/>
        <w:jc w:val="center"/>
        <w:tblLayout w:type="autofit"/>
        <w:tblCellMar>
          <w:top w:w="0" w:type="dxa"/>
          <w:left w:w="108" w:type="dxa"/>
          <w:bottom w:w="0" w:type="dxa"/>
          <w:right w:w="108" w:type="dxa"/>
        </w:tblCellMar>
      </w:tblPr>
      <w:tblGrid>
        <w:gridCol w:w="724"/>
        <w:gridCol w:w="1882"/>
        <w:gridCol w:w="4909"/>
        <w:gridCol w:w="1732"/>
      </w:tblGrid>
      <w:tr>
        <w:tblPrEx>
          <w:tblCellMar>
            <w:top w:w="0" w:type="dxa"/>
            <w:left w:w="108" w:type="dxa"/>
            <w:bottom w:w="0" w:type="dxa"/>
            <w:right w:w="108" w:type="dxa"/>
          </w:tblCellMar>
        </w:tblPrEx>
        <w:trPr>
          <w:trHeight w:val="983" w:hRule="atLeast"/>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rPr>
                <w:rFonts w:hAnsi="宋体" w:cs="宋体"/>
                <w:sz w:val="22"/>
                <w:szCs w:val="22"/>
              </w:rPr>
            </w:pPr>
            <w:r>
              <w:rPr>
                <w:rFonts w:hint="eastAsia" w:hAnsi="宋体" w:cs="宋体"/>
                <w:sz w:val="22"/>
                <w:szCs w:val="22"/>
              </w:rPr>
              <w:t>序号</w:t>
            </w:r>
          </w:p>
        </w:tc>
        <w:tc>
          <w:tcPr>
            <w:tcW w:w="1882"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jc w:val="center"/>
              <w:rPr>
                <w:rFonts w:hAnsi="宋体" w:cs="宋体"/>
                <w:sz w:val="22"/>
                <w:szCs w:val="22"/>
              </w:rPr>
            </w:pPr>
            <w:r>
              <w:rPr>
                <w:rFonts w:hint="eastAsia" w:hAnsi="宋体" w:cs="宋体"/>
                <w:sz w:val="22"/>
                <w:szCs w:val="22"/>
              </w:rPr>
              <w:t>名称</w:t>
            </w:r>
          </w:p>
        </w:tc>
        <w:tc>
          <w:tcPr>
            <w:tcW w:w="490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0"/>
              <w:snapToGrid w:val="0"/>
              <w:spacing w:line="400" w:lineRule="exact"/>
              <w:jc w:val="center"/>
              <w:rPr>
                <w:rFonts w:hint="eastAsia" w:hAnsi="宋体" w:eastAsia="宋体" w:cs="宋体"/>
                <w:sz w:val="22"/>
                <w:szCs w:val="22"/>
                <w:lang w:eastAsia="zh-CN"/>
              </w:rPr>
            </w:pPr>
            <w:r>
              <w:rPr>
                <w:rFonts w:hint="eastAsia" w:hAnsi="宋体" w:cs="宋体"/>
                <w:sz w:val="22"/>
                <w:szCs w:val="22"/>
                <w:lang w:val="en-US" w:eastAsia="zh-CN"/>
              </w:rPr>
              <w:t>要求</w:t>
            </w:r>
          </w:p>
        </w:tc>
        <w:tc>
          <w:tcPr>
            <w:tcW w:w="17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2"/>
                <w:szCs w:val="22"/>
              </w:rPr>
            </w:pPr>
            <w:r>
              <w:rPr>
                <w:rFonts w:hint="eastAsia" w:ascii="宋体" w:hAnsi="宋体" w:cs="宋体"/>
                <w:sz w:val="22"/>
                <w:szCs w:val="22"/>
              </w:rPr>
              <w:t>数量</w:t>
            </w:r>
          </w:p>
        </w:tc>
      </w:tr>
      <w:tr>
        <w:tblPrEx>
          <w:tblCellMar>
            <w:top w:w="0" w:type="dxa"/>
            <w:left w:w="108" w:type="dxa"/>
            <w:bottom w:w="0" w:type="dxa"/>
            <w:right w:w="108" w:type="dxa"/>
          </w:tblCellMar>
        </w:tblPrEx>
        <w:trPr>
          <w:trHeight w:val="500" w:hRule="atLeast"/>
          <w:jc w:val="center"/>
        </w:trPr>
        <w:tc>
          <w:tcPr>
            <w:tcW w:w="72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sz w:val="22"/>
                <w:szCs w:val="22"/>
              </w:rPr>
            </w:pPr>
            <w:r>
              <w:rPr>
                <w:rFonts w:hint="eastAsia" w:ascii="宋体" w:hAnsi="宋体" w:cs="宋体"/>
                <w:sz w:val="22"/>
                <w:szCs w:val="22"/>
              </w:rPr>
              <w:t>1</w:t>
            </w:r>
          </w:p>
        </w:tc>
        <w:tc>
          <w:tcPr>
            <w:tcW w:w="188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cs="宋体"/>
                <w:sz w:val="22"/>
                <w:szCs w:val="22"/>
              </w:rPr>
            </w:pPr>
            <w:r>
              <w:rPr>
                <w:rFonts w:hint="eastAsia" w:ascii="宋体" w:hAnsi="宋体" w:cs="宋体"/>
                <w:sz w:val="22"/>
                <w:szCs w:val="22"/>
              </w:rPr>
              <w:t>工单告警信息费</w:t>
            </w:r>
          </w:p>
        </w:tc>
        <w:tc>
          <w:tcPr>
            <w:tcW w:w="49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default" w:ascii="宋体" w:hAnsi="宋体" w:eastAsia="宋体" w:cs="宋体"/>
                <w:sz w:val="22"/>
                <w:szCs w:val="22"/>
                <w:lang w:val="en-US" w:eastAsia="zh-CN"/>
              </w:rPr>
            </w:pPr>
            <w:r>
              <w:rPr>
                <w:rFonts w:hint="eastAsia" w:ascii="宋体" w:hAnsi="宋体" w:cs="宋体"/>
                <w:sz w:val="22"/>
                <w:szCs w:val="22"/>
              </w:rPr>
              <w:t>299座垃圾房信息量</w:t>
            </w:r>
            <w:r>
              <w:rPr>
                <w:rFonts w:hint="eastAsia" w:ascii="宋体" w:hAnsi="宋体" w:cs="宋体"/>
                <w:sz w:val="22"/>
                <w:szCs w:val="22"/>
                <w:lang w:eastAsia="zh-CN"/>
              </w:rPr>
              <w:t>。</w:t>
            </w:r>
            <w:r>
              <w:rPr>
                <w:rFonts w:hint="eastAsia" w:ascii="宋体" w:hAnsi="宋体" w:cs="宋体"/>
                <w:sz w:val="22"/>
                <w:szCs w:val="22"/>
                <w:lang w:val="en-US" w:eastAsia="zh-CN"/>
              </w:rPr>
              <w:t>该项内容为充值项，供采购人使用，短信数量不少于125万条。</w:t>
            </w:r>
          </w:p>
        </w:tc>
        <w:tc>
          <w:tcPr>
            <w:tcW w:w="17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不少于125万条</w:t>
            </w:r>
          </w:p>
        </w:tc>
      </w:tr>
    </w:tbl>
    <w:p>
      <w:pPr>
        <w:adjustRightInd w:val="0"/>
        <w:snapToGrid w:val="0"/>
        <w:spacing w:line="460" w:lineRule="atLeast"/>
        <w:ind w:firstLine="420" w:firstLineChars="0"/>
        <w:rPr>
          <w:rFonts w:hint="eastAsia" w:ascii="宋体"/>
          <w:b/>
          <w:sz w:val="22"/>
          <w:szCs w:val="22"/>
        </w:rPr>
      </w:pPr>
      <w:r>
        <w:rPr>
          <w:rFonts w:hint="eastAsia" w:ascii="宋体"/>
          <w:b/>
          <w:sz w:val="22"/>
          <w:szCs w:val="22"/>
          <w:lang w:val="en-US" w:eastAsia="zh-CN"/>
        </w:rPr>
        <w:t>四</w:t>
      </w:r>
      <w:r>
        <w:rPr>
          <w:rFonts w:hint="eastAsia" w:ascii="宋体"/>
          <w:b/>
          <w:sz w:val="22"/>
          <w:szCs w:val="22"/>
        </w:rPr>
        <w:t>、商务条款</w:t>
      </w:r>
    </w:p>
    <w:p>
      <w:pPr>
        <w:snapToGrid w:val="0"/>
        <w:spacing w:line="460" w:lineRule="atLeast"/>
        <w:ind w:firstLine="440" w:firstLineChars="200"/>
        <w:rPr>
          <w:rFonts w:ascii="宋体"/>
          <w:bCs/>
          <w:sz w:val="22"/>
          <w:szCs w:val="22"/>
        </w:rPr>
      </w:pPr>
      <w:r>
        <w:rPr>
          <w:rFonts w:hint="eastAsia" w:ascii="宋体"/>
          <w:bCs/>
          <w:sz w:val="22"/>
          <w:szCs w:val="22"/>
        </w:rPr>
        <w:t>1、质保期</w:t>
      </w:r>
    </w:p>
    <w:p>
      <w:pPr>
        <w:snapToGrid w:val="0"/>
        <w:spacing w:line="460" w:lineRule="atLeast"/>
        <w:ind w:firstLine="440" w:firstLineChars="200"/>
        <w:rPr>
          <w:rFonts w:ascii="宋体"/>
          <w:bCs/>
          <w:sz w:val="22"/>
          <w:szCs w:val="22"/>
        </w:rPr>
      </w:pPr>
      <w:r>
        <w:rPr>
          <w:rFonts w:hint="eastAsia" w:ascii="宋体"/>
          <w:bCs/>
          <w:sz w:val="22"/>
          <w:szCs w:val="22"/>
        </w:rPr>
        <w:t>1.1、</w:t>
      </w:r>
      <w:r>
        <w:rPr>
          <w:rFonts w:hint="eastAsia" w:ascii="宋体"/>
          <w:b/>
          <w:sz w:val="22"/>
          <w:szCs w:val="22"/>
        </w:rPr>
        <w:t>▲</w:t>
      </w:r>
      <w:r>
        <w:rPr>
          <w:rFonts w:hint="eastAsia" w:ascii="宋体"/>
          <w:bCs/>
          <w:sz w:val="22"/>
          <w:szCs w:val="22"/>
        </w:rPr>
        <w:t>本项目所有</w:t>
      </w:r>
      <w:r>
        <w:rPr>
          <w:rFonts w:hint="eastAsia" w:ascii="宋体"/>
          <w:bCs/>
          <w:sz w:val="22"/>
          <w:szCs w:val="22"/>
          <w:lang w:val="en-US" w:eastAsia="zh-CN"/>
        </w:rPr>
        <w:t>设备</w:t>
      </w:r>
      <w:r>
        <w:rPr>
          <w:rFonts w:hint="eastAsia" w:ascii="宋体"/>
          <w:bCs/>
          <w:sz w:val="22"/>
          <w:szCs w:val="22"/>
          <w:highlight w:val="none"/>
        </w:rPr>
        <w:t>提供不少于</w:t>
      </w:r>
      <w:r>
        <w:rPr>
          <w:rFonts w:hint="eastAsia" w:ascii="宋体"/>
          <w:bCs/>
          <w:sz w:val="22"/>
          <w:szCs w:val="22"/>
          <w:highlight w:val="none"/>
          <w:u w:val="single"/>
          <w:lang w:val="en-US" w:eastAsia="zh-CN"/>
        </w:rPr>
        <w:t>3</w:t>
      </w:r>
      <w:r>
        <w:rPr>
          <w:rFonts w:hint="eastAsia" w:ascii="宋体"/>
          <w:bCs/>
          <w:sz w:val="22"/>
          <w:szCs w:val="22"/>
          <w:highlight w:val="none"/>
        </w:rPr>
        <w:t>年的质保期</w:t>
      </w:r>
      <w:r>
        <w:rPr>
          <w:rFonts w:hint="eastAsia" w:ascii="宋体"/>
          <w:bCs/>
          <w:sz w:val="22"/>
          <w:szCs w:val="22"/>
        </w:rPr>
        <w:t>。</w:t>
      </w:r>
    </w:p>
    <w:p>
      <w:pPr>
        <w:snapToGrid w:val="0"/>
        <w:spacing w:line="460" w:lineRule="atLeast"/>
        <w:ind w:firstLine="440" w:firstLineChars="200"/>
        <w:rPr>
          <w:rFonts w:ascii="宋体"/>
          <w:bCs/>
          <w:sz w:val="22"/>
          <w:szCs w:val="22"/>
        </w:rPr>
      </w:pPr>
      <w:r>
        <w:rPr>
          <w:rFonts w:hint="eastAsia" w:ascii="宋体"/>
          <w:bCs/>
          <w:sz w:val="22"/>
          <w:szCs w:val="22"/>
        </w:rPr>
        <w:t>1.2、质保期内因设备本身缺陷造成各种故障应由中标供应商免费技术服务和维修。</w:t>
      </w:r>
    </w:p>
    <w:p>
      <w:pPr>
        <w:snapToGrid w:val="0"/>
        <w:spacing w:line="460" w:lineRule="atLeast"/>
        <w:ind w:firstLine="440" w:firstLineChars="200"/>
        <w:rPr>
          <w:rFonts w:ascii="宋体"/>
          <w:bCs/>
          <w:sz w:val="22"/>
          <w:szCs w:val="22"/>
        </w:rPr>
      </w:pPr>
      <w:r>
        <w:rPr>
          <w:rFonts w:hint="eastAsia" w:ascii="宋体"/>
          <w:bCs/>
          <w:sz w:val="22"/>
          <w:szCs w:val="22"/>
        </w:rPr>
        <w:t>1.3、投标供应商在投标文件中说明质保期内提供的服务计划。</w:t>
      </w:r>
    </w:p>
    <w:p>
      <w:pPr>
        <w:snapToGrid w:val="0"/>
        <w:spacing w:line="460" w:lineRule="atLeast"/>
        <w:ind w:firstLine="440" w:firstLineChars="200"/>
        <w:rPr>
          <w:rFonts w:ascii="宋体"/>
          <w:bCs/>
          <w:sz w:val="22"/>
          <w:szCs w:val="22"/>
        </w:rPr>
      </w:pPr>
      <w:r>
        <w:rPr>
          <w:rFonts w:hint="eastAsia" w:ascii="宋体"/>
          <w:bCs/>
          <w:sz w:val="22"/>
          <w:szCs w:val="22"/>
        </w:rPr>
        <w:t xml:space="preserve">2、▲付款方式： </w:t>
      </w:r>
    </w:p>
    <w:p>
      <w:pPr>
        <w:snapToGrid w:val="0"/>
        <w:spacing w:line="460" w:lineRule="atLeast"/>
        <w:ind w:firstLine="442" w:firstLineChars="200"/>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①</w:t>
      </w:r>
      <w:r>
        <w:rPr>
          <w:rFonts w:hint="eastAsia" w:hAnsi="宋体" w:cs="宋体"/>
          <w:b/>
          <w:bCs/>
          <w:sz w:val="22"/>
          <w:szCs w:val="22"/>
        </w:rPr>
        <w:t>在签订合同且具备实施条件后</w:t>
      </w:r>
      <w:r>
        <w:rPr>
          <w:rFonts w:hint="eastAsia" w:cs="宋体" w:asciiTheme="minorEastAsia" w:hAnsiTheme="minorEastAsia" w:eastAsiaTheme="minorEastAsia"/>
          <w:b/>
          <w:sz w:val="22"/>
          <w:szCs w:val="22"/>
        </w:rPr>
        <w:t>，</w:t>
      </w:r>
      <w:r>
        <w:rPr>
          <w:rFonts w:hint="eastAsia" w:hAnsi="宋体" w:cs="宋体"/>
          <w:b/>
          <w:sz w:val="22"/>
          <w:szCs w:val="22"/>
          <w:lang w:bidi="ar"/>
        </w:rPr>
        <w:t>采购人凭供应商开具的正式发票7个工作日内</w:t>
      </w:r>
      <w:r>
        <w:rPr>
          <w:rFonts w:hint="eastAsia" w:cs="宋体" w:asciiTheme="minorEastAsia" w:hAnsiTheme="minorEastAsia" w:eastAsiaTheme="minorEastAsia"/>
          <w:b/>
          <w:sz w:val="22"/>
          <w:szCs w:val="22"/>
          <w:lang w:bidi="ar"/>
        </w:rPr>
        <w:t>支付合同价款</w:t>
      </w:r>
      <w:r>
        <w:rPr>
          <w:rFonts w:hint="eastAsia" w:cs="宋体" w:asciiTheme="minorEastAsia" w:hAnsiTheme="minorEastAsia" w:eastAsiaTheme="minorEastAsia"/>
          <w:b/>
          <w:sz w:val="22"/>
          <w:szCs w:val="22"/>
          <w:lang w:val="en-US" w:eastAsia="zh-CN" w:bidi="ar"/>
        </w:rPr>
        <w:t>5</w:t>
      </w:r>
      <w:r>
        <w:rPr>
          <w:rFonts w:hint="eastAsia" w:cs="宋体" w:asciiTheme="minorEastAsia" w:hAnsiTheme="minorEastAsia" w:eastAsiaTheme="minorEastAsia"/>
          <w:b/>
          <w:sz w:val="22"/>
          <w:szCs w:val="22"/>
          <w:lang w:bidi="ar"/>
        </w:rPr>
        <w:t>0%</w:t>
      </w:r>
      <w:r>
        <w:rPr>
          <w:rFonts w:hint="eastAsia" w:cs="宋体" w:asciiTheme="minorEastAsia" w:hAnsiTheme="minorEastAsia" w:eastAsiaTheme="minorEastAsia"/>
          <w:b/>
          <w:sz w:val="22"/>
          <w:szCs w:val="22"/>
          <w:lang w:val="en-US" w:eastAsia="zh-CN" w:bidi="ar"/>
        </w:rPr>
        <w:t>的预付款</w:t>
      </w:r>
      <w:r>
        <w:rPr>
          <w:rFonts w:hint="eastAsia" w:cs="宋体" w:asciiTheme="minorEastAsia" w:hAnsiTheme="minorEastAsia" w:eastAsiaTheme="minorEastAsia"/>
          <w:b/>
          <w:sz w:val="22"/>
          <w:szCs w:val="22"/>
        </w:rPr>
        <w:t>；</w:t>
      </w:r>
    </w:p>
    <w:p>
      <w:pPr>
        <w:snapToGrid w:val="0"/>
        <w:spacing w:line="460" w:lineRule="atLeast"/>
        <w:ind w:firstLine="442" w:firstLineChars="200"/>
        <w:rPr>
          <w:rFonts w:cs="宋体" w:asciiTheme="minorEastAsia" w:hAnsiTheme="minorEastAsia" w:eastAsiaTheme="minorEastAsia"/>
          <w:b/>
          <w:sz w:val="22"/>
          <w:szCs w:val="22"/>
          <w:lang w:bidi="ar"/>
        </w:rPr>
      </w:pPr>
      <w:r>
        <w:rPr>
          <w:rFonts w:hint="eastAsia" w:cs="宋体" w:asciiTheme="minorEastAsia" w:hAnsiTheme="minorEastAsia" w:eastAsiaTheme="minorEastAsia"/>
          <w:b/>
          <w:sz w:val="22"/>
          <w:szCs w:val="22"/>
          <w:lang w:val="en-US" w:eastAsia="zh-CN"/>
        </w:rPr>
        <w:t>②</w:t>
      </w:r>
      <w:r>
        <w:rPr>
          <w:rFonts w:hint="eastAsia" w:cs="宋体" w:asciiTheme="minorEastAsia" w:hAnsiTheme="minorEastAsia" w:eastAsiaTheme="minorEastAsia"/>
          <w:b/>
          <w:sz w:val="22"/>
          <w:szCs w:val="22"/>
        </w:rPr>
        <w:t>供应商完成所有内容并通过采购人验收合格后，</w:t>
      </w:r>
      <w:r>
        <w:rPr>
          <w:rFonts w:hint="eastAsia" w:cs="宋体" w:asciiTheme="minorEastAsia" w:hAnsiTheme="minorEastAsia" w:eastAsiaTheme="minorEastAsia"/>
          <w:b/>
          <w:sz w:val="22"/>
          <w:szCs w:val="22"/>
          <w:lang w:bidi="ar"/>
        </w:rPr>
        <w:t>采购人自收到发票后7个工作日内支付至合同价款的</w:t>
      </w:r>
      <w:r>
        <w:rPr>
          <w:rFonts w:hint="eastAsia" w:cs="宋体" w:asciiTheme="minorEastAsia" w:hAnsiTheme="minorEastAsia" w:eastAsiaTheme="minorEastAsia"/>
          <w:b/>
          <w:sz w:val="22"/>
          <w:szCs w:val="22"/>
          <w:lang w:val="en-US" w:eastAsia="zh-CN" w:bidi="ar"/>
        </w:rPr>
        <w:t>90</w:t>
      </w:r>
      <w:r>
        <w:rPr>
          <w:rFonts w:hint="eastAsia" w:cs="宋体" w:asciiTheme="minorEastAsia" w:hAnsiTheme="minorEastAsia" w:eastAsiaTheme="minorEastAsia"/>
          <w:b/>
          <w:sz w:val="22"/>
          <w:szCs w:val="22"/>
          <w:lang w:bidi="ar"/>
        </w:rPr>
        <w:t>%。</w:t>
      </w:r>
    </w:p>
    <w:p>
      <w:pPr>
        <w:snapToGrid w:val="0"/>
        <w:spacing w:line="460" w:lineRule="atLeast"/>
        <w:ind w:firstLine="442" w:firstLineChars="200"/>
        <w:rPr>
          <w:rFonts w:hint="eastAsia" w:cs="宋体" w:asciiTheme="minorEastAsia" w:hAnsiTheme="minorEastAsia" w:eastAsiaTheme="minorEastAsia"/>
          <w:b/>
          <w:sz w:val="22"/>
          <w:szCs w:val="22"/>
        </w:rPr>
      </w:pPr>
      <w:r>
        <w:rPr>
          <w:rFonts w:hint="eastAsia" w:cs="宋体" w:asciiTheme="minorEastAsia" w:hAnsiTheme="minorEastAsia" w:eastAsiaTheme="minorEastAsia"/>
          <w:b/>
          <w:sz w:val="22"/>
          <w:szCs w:val="22"/>
          <w:lang w:val="en-US" w:eastAsia="zh-CN"/>
        </w:rPr>
        <w:t>③在3年质保期满后</w:t>
      </w:r>
      <w:r>
        <w:rPr>
          <w:rFonts w:hint="eastAsia" w:cs="宋体" w:asciiTheme="minorEastAsia" w:hAnsiTheme="minorEastAsia" w:eastAsiaTheme="minorEastAsia"/>
          <w:b/>
          <w:sz w:val="22"/>
          <w:szCs w:val="22"/>
        </w:rPr>
        <w:t>，</w:t>
      </w:r>
      <w:r>
        <w:rPr>
          <w:rFonts w:hint="eastAsia" w:cs="宋体" w:asciiTheme="minorEastAsia" w:hAnsiTheme="minorEastAsia" w:eastAsiaTheme="minorEastAsia"/>
          <w:b/>
          <w:sz w:val="22"/>
          <w:szCs w:val="22"/>
          <w:lang w:bidi="ar"/>
        </w:rPr>
        <w:t>采购人自收到发票后7个工作日内支付至合同价款的</w:t>
      </w:r>
      <w:r>
        <w:rPr>
          <w:rFonts w:hint="eastAsia" w:cs="宋体" w:asciiTheme="minorEastAsia" w:hAnsiTheme="minorEastAsia" w:eastAsiaTheme="minorEastAsia"/>
          <w:b/>
          <w:sz w:val="22"/>
          <w:szCs w:val="22"/>
          <w:lang w:val="en-US" w:eastAsia="zh-CN" w:bidi="ar"/>
        </w:rPr>
        <w:t>100</w:t>
      </w:r>
      <w:r>
        <w:rPr>
          <w:rFonts w:hint="eastAsia" w:cs="宋体" w:asciiTheme="minorEastAsia" w:hAnsiTheme="minorEastAsia" w:eastAsiaTheme="minorEastAsia"/>
          <w:b/>
          <w:sz w:val="22"/>
          <w:szCs w:val="22"/>
          <w:lang w:bidi="ar"/>
        </w:rPr>
        <w:t>%。</w:t>
      </w:r>
    </w:p>
    <w:p>
      <w:pPr>
        <w:snapToGrid w:val="0"/>
        <w:spacing w:line="460" w:lineRule="atLeast"/>
        <w:ind w:firstLine="442" w:firstLineChars="200"/>
        <w:rPr>
          <w:rFonts w:hint="eastAsia" w:cs="宋体" w:asciiTheme="minorEastAsia" w:hAnsiTheme="minorEastAsia" w:eastAsiaTheme="minorEastAsia"/>
          <w:b/>
          <w:sz w:val="22"/>
          <w:szCs w:val="22"/>
          <w:lang w:val="en-US" w:eastAsia="zh-CN"/>
        </w:rPr>
      </w:pPr>
      <w:r>
        <w:rPr>
          <w:rFonts w:hint="eastAsia" w:cs="宋体" w:asciiTheme="minorEastAsia" w:hAnsiTheme="minorEastAsia" w:eastAsiaTheme="minorEastAsia"/>
          <w:b/>
          <w:sz w:val="22"/>
          <w:szCs w:val="22"/>
          <w:lang w:val="en-US" w:eastAsia="zh-CN"/>
        </w:rPr>
        <w:t>注：预付款应在合同生效以及具备实施条件后7个工作日内支付，对于满足合同约定支付条件的，采购人应该自收到发票之日起7个工作日内向供应商支付资金。</w:t>
      </w:r>
    </w:p>
    <w:p>
      <w:pPr>
        <w:snapToGrid w:val="0"/>
        <w:spacing w:line="460" w:lineRule="atLeast"/>
        <w:ind w:firstLine="440" w:firstLineChars="200"/>
        <w:rPr>
          <w:rFonts w:ascii="宋体"/>
          <w:bCs/>
          <w:sz w:val="22"/>
          <w:szCs w:val="22"/>
        </w:rPr>
      </w:pPr>
      <w:r>
        <w:rPr>
          <w:rFonts w:hint="eastAsia" w:ascii="宋体"/>
          <w:bCs/>
          <w:sz w:val="22"/>
          <w:szCs w:val="22"/>
        </w:rPr>
        <w:t>3、▲完工期：</w:t>
      </w:r>
    </w:p>
    <w:p>
      <w:pPr>
        <w:snapToGrid w:val="0"/>
        <w:spacing w:line="460" w:lineRule="atLeast"/>
        <w:ind w:firstLine="440" w:firstLineChars="200"/>
        <w:rPr>
          <w:rFonts w:hint="eastAsia" w:ascii="宋体" w:eastAsia="宋体"/>
          <w:bCs/>
          <w:sz w:val="22"/>
          <w:szCs w:val="22"/>
          <w:lang w:val="en-US" w:eastAsia="zh-CN"/>
        </w:rPr>
      </w:pPr>
      <w:r>
        <w:rPr>
          <w:rFonts w:hint="eastAsia" w:ascii="宋体"/>
          <w:bCs/>
          <w:sz w:val="22"/>
          <w:szCs w:val="22"/>
        </w:rPr>
        <w:t>（1）</w:t>
      </w:r>
      <w:r>
        <w:rPr>
          <w:rFonts w:hint="eastAsia" w:ascii="宋体"/>
          <w:bCs/>
          <w:sz w:val="22"/>
          <w:szCs w:val="22"/>
          <w:lang w:val="en-US" w:eastAsia="zh-CN"/>
        </w:rPr>
        <w:t>完工时间</w:t>
      </w:r>
      <w:r>
        <w:rPr>
          <w:rFonts w:hint="eastAsia" w:ascii="宋体"/>
          <w:bCs/>
          <w:sz w:val="22"/>
          <w:szCs w:val="22"/>
        </w:rPr>
        <w:t>：</w:t>
      </w:r>
      <w:r>
        <w:rPr>
          <w:rFonts w:hint="eastAsia" w:ascii="宋体" w:cs="Times New Roman"/>
          <w:bCs/>
          <w:sz w:val="22"/>
          <w:szCs w:val="22"/>
          <w:lang w:val="en-US" w:eastAsia="zh-CN"/>
        </w:rPr>
        <w:t>项目</w:t>
      </w:r>
      <w:r>
        <w:rPr>
          <w:rFonts w:hint="eastAsia" w:ascii="宋体" w:cs="Times New Roman"/>
          <w:bCs/>
          <w:sz w:val="22"/>
          <w:szCs w:val="22"/>
          <w:highlight w:val="none"/>
          <w:lang w:val="en-US" w:eastAsia="zh-CN"/>
        </w:rPr>
        <w:t>整体</w:t>
      </w:r>
      <w:r>
        <w:rPr>
          <w:rFonts w:hint="eastAsia" w:ascii="宋体" w:cs="Times New Roman"/>
          <w:bCs/>
          <w:sz w:val="22"/>
          <w:szCs w:val="22"/>
          <w:highlight w:val="none"/>
          <w:u w:val="single"/>
          <w:lang w:val="en-US" w:eastAsia="zh-CN"/>
        </w:rPr>
        <w:t xml:space="preserve"> 90 </w:t>
      </w:r>
      <w:r>
        <w:rPr>
          <w:rFonts w:hint="eastAsia" w:ascii="宋体" w:hAnsi="Times New Roman" w:eastAsia="宋体" w:cs="Times New Roman"/>
          <w:bCs/>
          <w:sz w:val="22"/>
          <w:szCs w:val="22"/>
          <w:lang w:val="en-US" w:eastAsia="zh-CN"/>
        </w:rPr>
        <w:t>日历天内</w:t>
      </w:r>
      <w:r>
        <w:rPr>
          <w:rFonts w:hint="eastAsia" w:ascii="宋体" w:hAnsi="Times New Roman" w:eastAsia="宋体" w:cs="Times New Roman"/>
          <w:bCs/>
          <w:sz w:val="22"/>
          <w:szCs w:val="22"/>
        </w:rPr>
        <w:t>完工并</w:t>
      </w:r>
      <w:r>
        <w:rPr>
          <w:rFonts w:hint="eastAsia" w:ascii="宋体"/>
          <w:bCs/>
          <w:sz w:val="22"/>
          <w:szCs w:val="22"/>
        </w:rPr>
        <w:t>通过采购人验收</w:t>
      </w:r>
      <w:r>
        <w:rPr>
          <w:rFonts w:hint="eastAsia" w:ascii="宋体"/>
          <w:bCs/>
          <w:sz w:val="22"/>
          <w:szCs w:val="22"/>
          <w:lang w:eastAsia="zh-CN"/>
        </w:rPr>
        <w:t>（</w:t>
      </w:r>
      <w:r>
        <w:rPr>
          <w:rFonts w:hint="eastAsia" w:ascii="宋体"/>
          <w:bCs/>
          <w:sz w:val="22"/>
          <w:szCs w:val="22"/>
          <w:lang w:val="en-US" w:eastAsia="zh-CN"/>
        </w:rPr>
        <w:t>根据新建垃圾房的实际进度，由采购人安排确定</w:t>
      </w:r>
      <w:r>
        <w:rPr>
          <w:rFonts w:hint="eastAsia" w:ascii="宋体"/>
          <w:bCs/>
          <w:sz w:val="22"/>
          <w:szCs w:val="22"/>
          <w:lang w:eastAsia="zh-CN"/>
        </w:rPr>
        <w:t>）。</w:t>
      </w:r>
    </w:p>
    <w:p>
      <w:pPr>
        <w:snapToGrid w:val="0"/>
        <w:spacing w:line="460" w:lineRule="atLeast"/>
        <w:ind w:firstLine="440" w:firstLineChars="200"/>
        <w:rPr>
          <w:rFonts w:ascii="宋体"/>
          <w:bCs/>
          <w:sz w:val="22"/>
          <w:szCs w:val="22"/>
        </w:rPr>
      </w:pPr>
      <w:r>
        <w:rPr>
          <w:rFonts w:hint="eastAsia" w:ascii="宋体"/>
          <w:bCs/>
          <w:sz w:val="22"/>
          <w:szCs w:val="22"/>
        </w:rPr>
        <w:t>（2）设备交货地点：采购人指定地点。供应商报价应充分考虑送货与安装风险。</w:t>
      </w:r>
    </w:p>
    <w:p>
      <w:pPr>
        <w:snapToGrid w:val="0"/>
        <w:spacing w:line="460" w:lineRule="atLeast"/>
        <w:ind w:firstLine="440" w:firstLineChars="200"/>
        <w:rPr>
          <w:rFonts w:ascii="宋体"/>
          <w:bCs/>
          <w:sz w:val="22"/>
          <w:szCs w:val="22"/>
        </w:rPr>
      </w:pPr>
      <w:r>
        <w:rPr>
          <w:rFonts w:hint="eastAsia" w:ascii="宋体"/>
          <w:bCs/>
          <w:sz w:val="22"/>
          <w:szCs w:val="22"/>
        </w:rPr>
        <w:t>5、设备的到货、安装、调试和验收</w:t>
      </w:r>
    </w:p>
    <w:p>
      <w:pPr>
        <w:snapToGrid w:val="0"/>
        <w:spacing w:line="460" w:lineRule="atLeast"/>
        <w:ind w:firstLine="440" w:firstLineChars="200"/>
        <w:rPr>
          <w:rFonts w:ascii="宋体"/>
          <w:bCs/>
          <w:sz w:val="22"/>
          <w:szCs w:val="22"/>
        </w:rPr>
      </w:pPr>
      <w:r>
        <w:rPr>
          <w:rFonts w:hint="eastAsia" w:ascii="宋体"/>
          <w:bCs/>
          <w:sz w:val="22"/>
          <w:szCs w:val="22"/>
        </w:rPr>
        <w:t>1．安装调试时间：投标人应在合同签订后规定时间内完成设备供货、安装、调试和验收工作，并确保设备的正常运行。</w:t>
      </w:r>
    </w:p>
    <w:p>
      <w:pPr>
        <w:snapToGrid w:val="0"/>
        <w:spacing w:line="460" w:lineRule="atLeast"/>
        <w:ind w:firstLine="440" w:firstLineChars="200"/>
        <w:rPr>
          <w:rFonts w:ascii="宋体"/>
          <w:bCs/>
          <w:sz w:val="22"/>
          <w:szCs w:val="22"/>
        </w:rPr>
      </w:pPr>
      <w:r>
        <w:rPr>
          <w:rFonts w:hint="eastAsia" w:ascii="宋体"/>
          <w:bCs/>
          <w:sz w:val="22"/>
          <w:szCs w:val="22"/>
        </w:rPr>
        <w:t>2． 设备的到货、安装、调试、验收</w:t>
      </w:r>
    </w:p>
    <w:p>
      <w:pPr>
        <w:snapToGrid w:val="0"/>
        <w:spacing w:line="460" w:lineRule="atLeast"/>
        <w:ind w:firstLine="440" w:firstLineChars="200"/>
        <w:rPr>
          <w:rFonts w:ascii="宋体"/>
          <w:bCs/>
          <w:sz w:val="22"/>
          <w:szCs w:val="22"/>
        </w:rPr>
      </w:pPr>
      <w:r>
        <w:rPr>
          <w:rFonts w:hint="eastAsia" w:ascii="宋体"/>
          <w:bCs/>
          <w:sz w:val="22"/>
          <w:szCs w:val="22"/>
        </w:rPr>
        <w:t>2.1所供设备在现场进行到货验收时,中标人必须派员参加并与采购人一起开箱检验,按供货清单验收,若有缺少或损坏，中标人应立即补足或更换全新同规格产品，并承担相关费用直至使采购人满意为止。设备的存放点由采购人负责提供（费用由中标人承担），但中标人应预先提出设备的保管存放要求。</w:t>
      </w:r>
    </w:p>
    <w:p>
      <w:pPr>
        <w:snapToGrid w:val="0"/>
        <w:spacing w:line="460" w:lineRule="atLeast"/>
        <w:ind w:firstLine="440" w:firstLineChars="200"/>
        <w:rPr>
          <w:rFonts w:ascii="宋体"/>
          <w:bCs/>
          <w:sz w:val="22"/>
          <w:szCs w:val="22"/>
        </w:rPr>
      </w:pPr>
      <w:r>
        <w:rPr>
          <w:rFonts w:hint="eastAsia" w:ascii="宋体"/>
          <w:bCs/>
          <w:sz w:val="22"/>
          <w:szCs w:val="22"/>
        </w:rPr>
        <w:t>2.2安装范围包括设备本身及软件系统的安装，安装必须符合有关标准和规范。安装过程中采购人将对安装质量进行监督。</w:t>
      </w:r>
    </w:p>
    <w:p>
      <w:pPr>
        <w:snapToGrid w:val="0"/>
        <w:spacing w:line="460" w:lineRule="atLeast"/>
        <w:ind w:firstLine="440" w:firstLineChars="200"/>
        <w:rPr>
          <w:rFonts w:ascii="宋体"/>
          <w:bCs/>
          <w:sz w:val="22"/>
          <w:szCs w:val="22"/>
        </w:rPr>
      </w:pPr>
      <w:r>
        <w:rPr>
          <w:rFonts w:hint="eastAsia" w:ascii="宋体"/>
          <w:bCs/>
          <w:sz w:val="22"/>
          <w:szCs w:val="22"/>
        </w:rPr>
        <w:t>2.3安装完毕后，中标人应派遣有经验的工程技术人员与采购人一起进行设备的调试及试运行，采购人可以要求中标人或具有检测资质的第三方用专用仪器进行性能测试，中标人负责测试和调试所需的人员、工具、材料、仪器及一切费用，并填写测试报告交由采购人存档。如需采购人派有关人员配合，中标人在设备安装调试前三天提出需配合工作的人员、数量等计划书交与采购人，以便采购人提前作好准备，确保整个项目顺利进行。中标人必须在安装结束前将测试和调试方法交与采购人，并经其同意后方可执行。</w:t>
      </w:r>
    </w:p>
    <w:p>
      <w:pPr>
        <w:snapToGrid w:val="0"/>
        <w:spacing w:line="460" w:lineRule="atLeast"/>
        <w:ind w:firstLine="440" w:firstLineChars="200"/>
        <w:rPr>
          <w:rFonts w:ascii="宋体"/>
          <w:bCs/>
          <w:sz w:val="22"/>
          <w:szCs w:val="22"/>
        </w:rPr>
      </w:pPr>
      <w:r>
        <w:rPr>
          <w:rFonts w:hint="eastAsia" w:ascii="宋体"/>
          <w:bCs/>
          <w:sz w:val="22"/>
          <w:szCs w:val="22"/>
        </w:rPr>
        <w:t>2.4设备经过试运行后达到并符合合同要求，其中故障和隐患均已排除或解决，并使采购人满意，所有的技术资料和图纸均已向采购人提交并被接受，验收视为合格，双方签署验收证书后，设备才视为接受。若因中标人产品质量或安装技术问题导致验收不合格，中标人应及时予以处理，直至验收合格，期间发生的一切相关费用由中标人承担，采购人保留向中标人索赔的权利。</w:t>
      </w:r>
    </w:p>
    <w:p>
      <w:pPr>
        <w:snapToGrid w:val="0"/>
        <w:spacing w:line="460" w:lineRule="atLeast"/>
        <w:ind w:firstLine="440" w:firstLineChars="200"/>
        <w:rPr>
          <w:rFonts w:ascii="宋体"/>
          <w:bCs/>
          <w:sz w:val="22"/>
          <w:szCs w:val="22"/>
        </w:rPr>
      </w:pPr>
      <w:r>
        <w:rPr>
          <w:rFonts w:hint="eastAsia" w:ascii="宋体"/>
          <w:bCs/>
          <w:sz w:val="22"/>
          <w:szCs w:val="22"/>
        </w:rPr>
        <w:t>2.5中标人在设备到货、安装、调试和验收期间应采取严格的安全措施，承担由于自身原因所造成的事故责任及其发生的一切费用。</w:t>
      </w:r>
    </w:p>
    <w:p>
      <w:pPr>
        <w:snapToGrid w:val="0"/>
        <w:spacing w:line="460" w:lineRule="atLeast"/>
        <w:ind w:firstLine="440" w:firstLineChars="200"/>
        <w:rPr>
          <w:rFonts w:ascii="宋体"/>
          <w:bCs/>
          <w:sz w:val="22"/>
          <w:szCs w:val="22"/>
        </w:rPr>
      </w:pPr>
      <w:r>
        <w:rPr>
          <w:rFonts w:hint="eastAsia" w:ascii="宋体"/>
          <w:bCs/>
          <w:sz w:val="22"/>
          <w:szCs w:val="22"/>
        </w:rPr>
        <w:t>6、技术服务和人员培训</w:t>
      </w:r>
    </w:p>
    <w:p>
      <w:pPr>
        <w:snapToGrid w:val="0"/>
        <w:spacing w:line="460" w:lineRule="atLeast"/>
        <w:ind w:firstLine="440" w:firstLineChars="200"/>
        <w:rPr>
          <w:rFonts w:ascii="宋体"/>
          <w:bCs/>
          <w:sz w:val="22"/>
          <w:szCs w:val="22"/>
        </w:rPr>
      </w:pPr>
      <w:r>
        <w:rPr>
          <w:rFonts w:hint="eastAsia" w:ascii="宋体"/>
          <w:bCs/>
          <w:sz w:val="22"/>
          <w:szCs w:val="22"/>
        </w:rPr>
        <w:t>1．确保采购人能得到满意的售后服务和相应的技术支持，即便在质保期满后也能够方便的购买到所需的备品备件和及时的技术服务。</w:t>
      </w:r>
    </w:p>
    <w:p>
      <w:pPr>
        <w:snapToGrid w:val="0"/>
        <w:spacing w:line="460" w:lineRule="atLeast"/>
        <w:ind w:firstLine="440" w:firstLineChars="200"/>
        <w:rPr>
          <w:rFonts w:ascii="宋体"/>
          <w:bCs/>
          <w:sz w:val="22"/>
          <w:szCs w:val="22"/>
        </w:rPr>
      </w:pPr>
      <w:r>
        <w:rPr>
          <w:rFonts w:hint="eastAsia" w:ascii="宋体"/>
          <w:bCs/>
          <w:sz w:val="22"/>
          <w:szCs w:val="22"/>
        </w:rPr>
        <w:t>2．中标人负责合同执行过程中和质量保证期内的技术服务和支持，在质量保证期内设备一旦发生故障，而采购人无法自行排除的，在接到采购人通知后，中标人应迅速作出反应，4小时内派人到达现场处理问题，如在48小时内对设备质量问题无法解决，中标人必须提供性能品质都相同的设备供采购人使用。</w:t>
      </w:r>
    </w:p>
    <w:p>
      <w:pPr>
        <w:snapToGrid w:val="0"/>
        <w:spacing w:line="460" w:lineRule="atLeast"/>
        <w:ind w:firstLine="440" w:firstLineChars="200"/>
        <w:rPr>
          <w:rFonts w:ascii="宋体"/>
          <w:bCs/>
          <w:sz w:val="22"/>
          <w:szCs w:val="22"/>
        </w:rPr>
      </w:pPr>
      <w:r>
        <w:rPr>
          <w:rFonts w:hint="eastAsia" w:ascii="宋体"/>
          <w:bCs/>
          <w:sz w:val="22"/>
          <w:szCs w:val="22"/>
        </w:rPr>
        <w:t>3．设备安装、调试结束后，中标人应立即派有经验的工程师对采购人人员进行操作和日常管理与维护的培训，并确保采购人参与培训的人员能独立、熟练地进行操作和日常维护保养。</w:t>
      </w:r>
    </w:p>
    <w:p>
      <w:pPr>
        <w:snapToGrid w:val="0"/>
        <w:spacing w:line="460" w:lineRule="atLeast"/>
        <w:ind w:firstLine="442" w:firstLineChars="200"/>
        <w:rPr>
          <w:rFonts w:ascii="宋体"/>
          <w:b/>
          <w:sz w:val="22"/>
          <w:szCs w:val="22"/>
        </w:rPr>
      </w:pPr>
      <w:r>
        <w:rPr>
          <w:rFonts w:hint="eastAsia" w:ascii="宋体"/>
          <w:b/>
          <w:sz w:val="22"/>
          <w:szCs w:val="22"/>
          <w:lang w:val="en-US" w:eastAsia="zh-CN"/>
        </w:rPr>
        <w:t>五</w:t>
      </w:r>
      <w:r>
        <w:rPr>
          <w:rFonts w:hint="eastAsia" w:ascii="宋体"/>
          <w:b/>
          <w:sz w:val="22"/>
          <w:szCs w:val="22"/>
        </w:rPr>
        <w:t>、工作范围：</w:t>
      </w:r>
    </w:p>
    <w:p>
      <w:pPr>
        <w:snapToGrid w:val="0"/>
        <w:spacing w:line="460" w:lineRule="atLeast"/>
        <w:ind w:firstLine="440" w:firstLineChars="200"/>
        <w:rPr>
          <w:rFonts w:ascii="宋体"/>
          <w:bCs/>
          <w:sz w:val="22"/>
          <w:szCs w:val="22"/>
        </w:rPr>
      </w:pPr>
      <w:r>
        <w:rPr>
          <w:rFonts w:hint="eastAsia" w:ascii="宋体"/>
          <w:bCs/>
          <w:sz w:val="22"/>
          <w:szCs w:val="22"/>
        </w:rPr>
        <w:t>根据招标文件，各供应商须按国家有关标准及规范完成下列工作：</w:t>
      </w:r>
    </w:p>
    <w:p>
      <w:pPr>
        <w:snapToGrid w:val="0"/>
        <w:spacing w:line="460" w:lineRule="atLeast"/>
        <w:ind w:firstLine="440" w:firstLineChars="200"/>
        <w:rPr>
          <w:rFonts w:ascii="宋体"/>
          <w:bCs/>
          <w:sz w:val="22"/>
          <w:szCs w:val="22"/>
        </w:rPr>
      </w:pPr>
      <w:r>
        <w:rPr>
          <w:rFonts w:hint="eastAsia" w:ascii="宋体"/>
          <w:bCs/>
          <w:sz w:val="22"/>
          <w:szCs w:val="22"/>
        </w:rPr>
        <w:t>1.提供完整成套的货物；</w:t>
      </w:r>
    </w:p>
    <w:p>
      <w:pPr>
        <w:snapToGrid w:val="0"/>
        <w:spacing w:line="460" w:lineRule="atLeast"/>
        <w:ind w:firstLine="440" w:firstLineChars="200"/>
        <w:rPr>
          <w:rFonts w:ascii="宋体"/>
          <w:bCs/>
          <w:sz w:val="22"/>
          <w:szCs w:val="22"/>
        </w:rPr>
      </w:pPr>
      <w:r>
        <w:rPr>
          <w:rFonts w:hint="eastAsia" w:ascii="宋体"/>
          <w:bCs/>
          <w:sz w:val="22"/>
          <w:szCs w:val="22"/>
        </w:rPr>
        <w:t>2.产品及相关附件的提供、运输、装卸、就位、安装、调试、检验、通过验收；</w:t>
      </w:r>
    </w:p>
    <w:p>
      <w:pPr>
        <w:snapToGrid w:val="0"/>
        <w:spacing w:line="460" w:lineRule="atLeast"/>
        <w:ind w:firstLine="440" w:firstLineChars="200"/>
        <w:rPr>
          <w:rFonts w:ascii="宋体"/>
          <w:bCs/>
          <w:sz w:val="22"/>
          <w:szCs w:val="22"/>
        </w:rPr>
      </w:pPr>
      <w:r>
        <w:rPr>
          <w:rFonts w:hint="eastAsia" w:ascii="宋体"/>
          <w:bCs/>
          <w:sz w:val="22"/>
          <w:szCs w:val="22"/>
        </w:rPr>
        <w:t>3.完成各项安装、调试、检验、测试、培训等工作，并在采购人的配合下通过的验收；提供各种数据资料；直至通过验收；</w:t>
      </w:r>
    </w:p>
    <w:p>
      <w:pPr>
        <w:snapToGrid w:val="0"/>
        <w:spacing w:line="460" w:lineRule="atLeast"/>
        <w:ind w:firstLine="440" w:firstLineChars="200"/>
        <w:rPr>
          <w:rFonts w:ascii="宋体"/>
          <w:bCs/>
          <w:sz w:val="22"/>
          <w:szCs w:val="22"/>
        </w:rPr>
      </w:pPr>
      <w:r>
        <w:rPr>
          <w:rFonts w:hint="eastAsia" w:ascii="宋体"/>
          <w:bCs/>
          <w:sz w:val="22"/>
          <w:szCs w:val="22"/>
        </w:rPr>
        <w:t>4.质保期内维保及维修及质保期后终身维修；</w:t>
      </w:r>
    </w:p>
    <w:p>
      <w:pPr>
        <w:snapToGrid w:val="0"/>
        <w:spacing w:line="460" w:lineRule="atLeast"/>
        <w:ind w:firstLine="440" w:firstLineChars="200"/>
        <w:rPr>
          <w:rFonts w:hint="eastAsia" w:ascii="宋体"/>
          <w:bCs/>
          <w:sz w:val="22"/>
          <w:szCs w:val="22"/>
        </w:rPr>
      </w:pPr>
      <w:r>
        <w:rPr>
          <w:rFonts w:hint="eastAsia" w:ascii="宋体"/>
          <w:bCs/>
          <w:sz w:val="22"/>
          <w:szCs w:val="22"/>
        </w:rPr>
        <w:t>5.售后服务的措施及承诺；</w:t>
      </w:r>
    </w:p>
    <w:p>
      <w:pPr>
        <w:snapToGrid w:val="0"/>
        <w:spacing w:line="460" w:lineRule="atLeast"/>
        <w:ind w:firstLine="440" w:firstLineChars="200"/>
        <w:rPr>
          <w:rFonts w:hint="default" w:ascii="宋体"/>
          <w:bCs/>
          <w:sz w:val="22"/>
          <w:szCs w:val="22"/>
          <w:lang w:val="en-US" w:eastAsia="zh-CN"/>
        </w:rPr>
      </w:pPr>
      <w:r>
        <w:rPr>
          <w:rFonts w:hint="eastAsia" w:ascii="宋体"/>
          <w:bCs/>
          <w:sz w:val="22"/>
          <w:szCs w:val="22"/>
          <w:lang w:val="en-US" w:eastAsia="zh-CN"/>
        </w:rPr>
        <w:t>6.中标供应商需对原有垃圾房改造（双面、单面）共计119座垃圾房的消防喷淋改造，改造内容包括但不限于：DN20镀锌管（约9米）、喷淋头、各类配管配件辅材、人工费等。此项费用包含在投标总价中，投标供应商在报价时综合考虑此项费用。</w:t>
      </w:r>
    </w:p>
    <w:p>
      <w:pPr>
        <w:snapToGrid w:val="0"/>
        <w:spacing w:line="460" w:lineRule="atLeast"/>
        <w:ind w:firstLine="440" w:firstLineChars="200"/>
        <w:rPr>
          <w:rFonts w:ascii="宋体"/>
          <w:bCs/>
          <w:sz w:val="22"/>
          <w:szCs w:val="22"/>
        </w:rPr>
      </w:pPr>
      <w:r>
        <w:rPr>
          <w:rFonts w:hint="eastAsia" w:ascii="宋体"/>
          <w:bCs/>
          <w:sz w:val="22"/>
          <w:szCs w:val="22"/>
        </w:rPr>
        <w:t>注意：除质保期后终身维修外以上其他工作内容的费用均包含在投标总价中。</w:t>
      </w:r>
    </w:p>
    <w:p>
      <w:pPr>
        <w:tabs>
          <w:tab w:val="left" w:pos="312"/>
        </w:tabs>
        <w:snapToGrid w:val="0"/>
        <w:spacing w:line="460" w:lineRule="exact"/>
        <w:ind w:firstLine="541" w:firstLineChars="246"/>
        <w:rPr>
          <w:rFonts w:ascii="宋体" w:hAnsi="宋体"/>
          <w:bCs/>
          <w:sz w:val="22"/>
          <w:szCs w:val="22"/>
        </w:rPr>
      </w:pPr>
      <w:r>
        <w:rPr>
          <w:rFonts w:hint="eastAsia" w:ascii="宋体"/>
          <w:bCs/>
          <w:sz w:val="22"/>
          <w:szCs w:val="22"/>
        </w:rPr>
        <w:t>以上工作内容的费用均包含在投标总价中。</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br w:type="page"/>
      </w:r>
    </w:p>
    <w:p>
      <w:pPr>
        <w:autoSpaceDE w:val="0"/>
        <w:autoSpaceDN w:val="0"/>
        <w:adjustRightInd w:val="0"/>
        <w:snapToGrid w:val="0"/>
        <w:spacing w:line="460" w:lineRule="exact"/>
        <w:jc w:val="center"/>
        <w:textAlignment w:val="bottom"/>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t>第三部分   供应商须知</w:t>
      </w:r>
    </w:p>
    <w:p>
      <w:pPr>
        <w:autoSpaceDE w:val="0"/>
        <w:autoSpaceDN w:val="0"/>
        <w:adjustRightInd w:val="0"/>
        <w:snapToGrid w:val="0"/>
        <w:spacing w:line="400" w:lineRule="exact"/>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一、说明</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4、本次采购，招标文件及投标文件都以中文为准。报价统一采用人民币报价。</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5、知识产权</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Theme="minorEastAsia" w:hAnsiTheme="minorEastAsia" w:eastAsiaTheme="minorEastAsia" w:cstheme="minorEastAsia"/>
          <w:color w:val="000000"/>
          <w:kern w:val="0"/>
          <w:sz w:val="22"/>
        </w:rPr>
      </w:pPr>
      <w:r>
        <w:rPr>
          <w:rFonts w:hint="eastAsia" w:asciiTheme="minorEastAsia" w:hAnsiTheme="minorEastAsia" w:eastAsiaTheme="minorEastAsia" w:cstheme="minorEastAsia"/>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7、本次采购商务报价文件、技术资信文件分别评审，评标委员会首先评审供应商技术资信部分，再评审商务报价文件；技术资信部分无效的供应商不进入商务报价评审。</w:t>
      </w:r>
      <w:r>
        <w:rPr>
          <w:rFonts w:hint="eastAsia" w:asciiTheme="minorEastAsia" w:hAnsiTheme="minorEastAsia" w:eastAsiaTheme="minorEastAsia" w:cstheme="minorEastAsia"/>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kern w:val="0"/>
          <w:sz w:val="22"/>
        </w:rPr>
      </w:pPr>
      <w:r>
        <w:rPr>
          <w:rFonts w:hint="eastAsia" w:asciiTheme="minorEastAsia" w:hAnsiTheme="minorEastAsia" w:eastAsiaTheme="minorEastAsia" w:cstheme="minorEastAsia"/>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Theme="minorEastAsia" w:hAnsiTheme="minorEastAsia" w:eastAsiaTheme="minorEastAsia" w:cstheme="minorEastAsia"/>
          <w:b/>
          <w:color w:val="000000"/>
          <w:kern w:val="0"/>
          <w:sz w:val="22"/>
        </w:rPr>
      </w:pPr>
      <w:r>
        <w:rPr>
          <w:rFonts w:hint="eastAsia" w:asciiTheme="minorEastAsia" w:hAnsiTheme="minorEastAsia" w:eastAsiaTheme="minorEastAsia" w:cstheme="minorEastAsia"/>
          <w:b/>
          <w:color w:val="000000"/>
          <w:kern w:val="0"/>
          <w:sz w:val="22"/>
        </w:rPr>
        <w:t>12、供应商在合同执行期间内若发生员工安全事故造成生命财产损伤的，由供应商负责，与采购单位无关。</w:t>
      </w:r>
    </w:p>
    <w:p>
      <w:pPr>
        <w:pStyle w:val="5"/>
        <w:adjustRightInd w:val="0"/>
        <w:snapToGrid w:val="0"/>
        <w:spacing w:line="360" w:lineRule="auto"/>
        <w:ind w:firstLine="442"/>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sz w:val="22"/>
          <w:szCs w:val="22"/>
        </w:rPr>
        <w:t>▲13、</w:t>
      </w:r>
      <w:r>
        <w:rPr>
          <w:rFonts w:hint="eastAsia" w:asciiTheme="minorEastAsia" w:hAnsiTheme="minorEastAsia" w:eastAsiaTheme="minorEastAsia" w:cstheme="minorEastAsia"/>
          <w:b/>
          <w:bCs/>
          <w:sz w:val="22"/>
          <w:u w:val="single"/>
        </w:rPr>
        <w:t>本项目采购预算（最高</w:t>
      </w:r>
      <w:r>
        <w:rPr>
          <w:rFonts w:hint="eastAsia" w:asciiTheme="minorEastAsia" w:hAnsiTheme="minorEastAsia" w:eastAsiaTheme="minorEastAsia" w:cstheme="minorEastAsia"/>
          <w:b/>
          <w:bCs/>
          <w:sz w:val="22"/>
          <w:highlight w:val="none"/>
          <w:u w:val="single"/>
        </w:rPr>
        <w:t>限价）为</w:t>
      </w:r>
      <w:r>
        <w:rPr>
          <w:rFonts w:hint="eastAsia" w:asciiTheme="minorEastAsia" w:hAnsiTheme="minorEastAsia" w:eastAsiaTheme="minorEastAsia" w:cstheme="minorEastAsia"/>
          <w:b/>
          <w:bCs/>
          <w:sz w:val="22"/>
          <w:highlight w:val="none"/>
          <w:u w:val="single"/>
          <w:lang w:eastAsia="zh-CN"/>
        </w:rPr>
        <w:t>322.47</w:t>
      </w:r>
      <w:r>
        <w:rPr>
          <w:rFonts w:hint="eastAsia" w:asciiTheme="minorEastAsia" w:hAnsiTheme="minorEastAsia" w:eastAsiaTheme="minorEastAsia" w:cstheme="minorEastAsia"/>
          <w:b/>
          <w:bCs/>
          <w:sz w:val="22"/>
          <w:highlight w:val="none"/>
          <w:u w:val="single"/>
        </w:rPr>
        <w:t>万元。某</w:t>
      </w:r>
      <w:r>
        <w:rPr>
          <w:rFonts w:hint="eastAsia" w:asciiTheme="minorEastAsia" w:hAnsiTheme="minorEastAsia" w:eastAsiaTheme="minorEastAsia" w:cstheme="minorEastAsia"/>
          <w:b/>
          <w:bCs/>
          <w:sz w:val="22"/>
          <w:u w:val="single"/>
        </w:rPr>
        <w:t>些（个）供应商投标报价超出采购预算的，则拒绝接受其该标段投标报价，该标段供应商投标按无效投标处理。</w:t>
      </w:r>
    </w:p>
    <w:p>
      <w:pPr>
        <w:widowControl/>
        <w:autoSpaceDE w:val="0"/>
        <w:autoSpaceDN w:val="0"/>
        <w:snapToGrid w:val="0"/>
        <w:spacing w:line="360" w:lineRule="auto"/>
        <w:ind w:firstLine="433"/>
        <w:jc w:val="left"/>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bCs/>
          <w:sz w:val="22"/>
          <w:u w:val="single"/>
        </w:rPr>
        <w:t>14、供应商进行电子响应应安装客户端软件，并按照采购文件和电子交易平台的要求编制并加密投标文件。供应商未按规定加密的投标文件，电子交易平台拒收并提示。</w:t>
      </w:r>
    </w:p>
    <w:p>
      <w:pPr>
        <w:widowControl/>
        <w:autoSpaceDE w:val="0"/>
        <w:autoSpaceDN w:val="0"/>
        <w:snapToGrid w:val="0"/>
        <w:spacing w:line="360" w:lineRule="auto"/>
        <w:ind w:firstLine="433"/>
        <w:jc w:val="left"/>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u w:val="single"/>
        </w:rPr>
        <w:t>15、为保证供应商顺利投标，供应商须在投标截止前自行登录浙江省政府采购网站（http://www.zjzfcg.gov.cn），查看是否有补充更正公告文件。如供应商未按补充更正公告文件进行投标的，责任自负。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二、供应商资格要求</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按招标公告要求</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三、招标文件</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1、招标文件</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1.1招标文件的获取</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rPr>
      </w:pPr>
      <w:r>
        <w:rPr>
          <w:rFonts w:hint="eastAsia" w:asciiTheme="minorEastAsia" w:hAnsiTheme="minorEastAsia" w:eastAsiaTheme="minorEastAsia" w:cstheme="minorEastAsia"/>
          <w:sz w:val="22"/>
          <w:u w:val="single"/>
        </w:rPr>
        <w:t>本项目招标文件实行“浙江政府采购网或温州市公共资源交易网龙港市分网”在线获取，不提供招标文件纸质版。供应商获取招标文件前应先完成“政府采购云平台”的账号注册。</w:t>
      </w:r>
      <w:r>
        <w:rPr>
          <w:rFonts w:hint="eastAsia" w:asciiTheme="minorEastAsia" w:hAnsiTheme="minorEastAsia" w:eastAsiaTheme="minorEastAsia" w:cstheme="minorEastAsia"/>
          <w:sz w:val="22"/>
        </w:rPr>
        <w:t xml:space="preserve"> </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1.3招标文件的组成</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2、招标文件的澄清</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供应商对招标文件如有疑点要求澄清，或认为有必要与采购人进行技术交流，可用书面形式（包括信函、传真，下同）通知</w:t>
      </w:r>
      <w:r>
        <w:rPr>
          <w:rFonts w:hint="eastAsia" w:asciiTheme="minorEastAsia" w:hAnsiTheme="minorEastAsia" w:eastAsiaTheme="minorEastAsia" w:cstheme="minorEastAsia"/>
          <w:sz w:val="22"/>
          <w:szCs w:val="22"/>
          <w:u w:val="single"/>
        </w:rPr>
        <w:t>招标代理机构</w:t>
      </w:r>
      <w:r>
        <w:rPr>
          <w:rFonts w:hint="eastAsia" w:asciiTheme="minorEastAsia" w:hAnsiTheme="minorEastAsia" w:eastAsiaTheme="minorEastAsia" w:cstheme="minorEastAsia"/>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3、招标文件的修改</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 在投标截止时间前，招标人或代理机构有权修改招标文件，</w:t>
      </w:r>
      <w:r>
        <w:rPr>
          <w:rFonts w:hint="eastAsia" w:asciiTheme="minorEastAsia" w:hAnsiTheme="minorEastAsia" w:eastAsiaTheme="minorEastAsia" w:cstheme="minorEastAsia"/>
          <w:sz w:val="22"/>
        </w:rPr>
        <w:t>并以更正公告形式通知供应商。</w:t>
      </w:r>
      <w:r>
        <w:rPr>
          <w:rFonts w:hint="eastAsia" w:asciiTheme="minorEastAsia" w:hAnsiTheme="minorEastAsia" w:eastAsiaTheme="minorEastAsia" w:cstheme="minorEastAsia"/>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四、投标文件</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1、投标文件</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sz w:val="22"/>
          <w:szCs w:val="22"/>
        </w:rPr>
        <w:t>2</w:t>
      </w:r>
      <w:r>
        <w:rPr>
          <w:rFonts w:hint="eastAsia" w:asciiTheme="minorEastAsia" w:hAnsiTheme="minorEastAsia" w:eastAsiaTheme="minorEastAsia" w:cstheme="minorEastAsia"/>
          <w:b/>
          <w:sz w:val="22"/>
          <w:szCs w:val="22"/>
          <w:lang w:val="zh-CN"/>
        </w:rPr>
        <w:t>、</w:t>
      </w:r>
      <w:r>
        <w:rPr>
          <w:rFonts w:hint="eastAsia" w:asciiTheme="minorEastAsia" w:hAnsiTheme="minorEastAsia" w:eastAsiaTheme="minorEastAsia" w:cstheme="minorEastAsia"/>
          <w:b/>
          <w:bCs/>
          <w:sz w:val="22"/>
          <w:u w:val="single"/>
        </w:rPr>
        <w:t>本项目通过“政府采购云平台（www.zcygov.cn）”实行在线投标响应（电子投标）。供应商应通过“政采云电子交易客户端”，并按照本招标文件和“政府采购云平台”的要求编制并加密投标文件。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 投标文件的组成</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2.1.1完整的投标文件由《资格文件》、《商务技术文件》和《报价文件》三个部分组成（以下统称“投标文件”）。</w:t>
      </w:r>
    </w:p>
    <w:p>
      <w:pPr>
        <w:widowControl/>
        <w:autoSpaceDE w:val="0"/>
        <w:autoSpaceDN w:val="0"/>
        <w:snapToGrid w:val="0"/>
        <w:spacing w:line="420" w:lineRule="exact"/>
        <w:ind w:firstLine="4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2.1.2投标文件内容组成表（投标供应商应按以下清单提供相关资料，否则一切风险和责任由供应商自行承担）：</w:t>
      </w:r>
    </w:p>
    <w:tbl>
      <w:tblPr>
        <w:tblStyle w:val="36"/>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01"/>
        <w:gridCol w:w="7134"/>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序号</w:t>
            </w:r>
          </w:p>
        </w:tc>
        <w:tc>
          <w:tcPr>
            <w:tcW w:w="8646" w:type="dxa"/>
            <w:gridSpan w:val="3"/>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w:t>
            </w:r>
          </w:p>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一、《资格文件》组成内容（须单页保存，逐页上传，格式见附件）（此项供应商必须提供，否则不能通过资格性审查的，责任自负）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35" w:type="dxa"/>
            <w:gridSpan w:val="2"/>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35" w:type="dxa"/>
            <w:gridSpan w:val="2"/>
            <w:vAlign w:val="center"/>
          </w:tcPr>
          <w:p>
            <w:pPr>
              <w:spacing w:line="276" w:lineRule="auto"/>
              <w:jc w:val="left"/>
              <w:rPr>
                <w:rFonts w:asciiTheme="minorEastAsia" w:hAnsiTheme="minorEastAsia" w:eastAsiaTheme="minorEastAsia"/>
                <w:color w:val="000000"/>
                <w:sz w:val="22"/>
              </w:rPr>
            </w:pPr>
            <w:r>
              <w:rPr>
                <w:rFonts w:hint="eastAsia" w:asciiTheme="minorEastAsia" w:hAnsiTheme="minorEastAsia" w:eastAsiaTheme="minorEastAsia"/>
                <w:b/>
                <w:color w:val="000000"/>
                <w:sz w:val="22"/>
              </w:rPr>
              <w:t>具有独立承担民事责任能力的证明材料：</w:t>
            </w:r>
            <w:r>
              <w:rPr>
                <w:rFonts w:hint="eastAsia" w:asciiTheme="minorEastAsia" w:hAnsiTheme="minorEastAsia" w:eastAsiaTheme="minorEastAsia"/>
                <w:b/>
                <w:color w:val="000000"/>
                <w:sz w:val="22"/>
                <w:u w:val="single"/>
              </w:rPr>
              <w:t>企业法人营业执照</w:t>
            </w:r>
            <w:r>
              <w:rPr>
                <w:rFonts w:hint="eastAsia" w:asciiTheme="minorEastAsia" w:hAnsiTheme="minorEastAsia" w:eastAsiaTheme="minorEastAsia"/>
                <w:color w:val="000000"/>
                <w:sz w:val="22"/>
              </w:rPr>
              <w:t>（提供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加盖投标供应商公章）或供应商为依法允许经营的事业单位的，应提交事业单位法人证书（提供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w:t>
            </w:r>
          </w:p>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cs="Arial" w:asciiTheme="minorEastAsia" w:hAnsiTheme="minorEastAsia" w:eastAsiaTheme="minorEastAsia"/>
                <w:color w:val="000000"/>
                <w:sz w:val="22"/>
              </w:rPr>
              <w:t>总公司（总机构）授权书或房产权证或其他有效财产证明材料（</w:t>
            </w:r>
            <w:r>
              <w:rPr>
                <w:rFonts w:hint="eastAsia" w:asciiTheme="minorEastAsia" w:hAnsiTheme="minorEastAsia" w:eastAsiaTheme="minorEastAsia"/>
                <w:color w:val="000000"/>
                <w:sz w:val="22"/>
              </w:rPr>
              <w:t>提供</w:t>
            </w:r>
            <w:r>
              <w:rPr>
                <w:rFonts w:hint="eastAsia" w:cs="Arial" w:asciiTheme="minorEastAsia" w:hAnsiTheme="minorEastAsia" w:eastAsiaTheme="minorEastAsia"/>
                <w:color w:val="000000"/>
                <w:sz w:val="22"/>
              </w:rPr>
              <w:t>复制件</w:t>
            </w:r>
            <w:r>
              <w:rPr>
                <w:rFonts w:hint="eastAsia" w:asciiTheme="minorEastAsia" w:hAnsiTheme="minorEastAsia" w:eastAsiaTheme="minorEastAsia"/>
                <w:color w:val="000000"/>
                <w:sz w:val="22"/>
              </w:rPr>
              <w:t>加盖投标供应商公章</w:t>
            </w:r>
            <w:r>
              <w:rPr>
                <w:rFonts w:hint="eastAsia" w:cs="Arial" w:asciiTheme="minorEastAsia" w:hAnsiTheme="minorEastAsia" w:eastAsiaTheme="minorEastAsia"/>
                <w:color w:val="000000"/>
                <w:sz w:val="22"/>
              </w:rPr>
              <w:t>）。</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具有良好的商业信誉和健全的财务会计制度的承诺函：</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具有履行合同所必需的设备和专业技术能力的证明材料：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有依法缴纳税收和社会保障金的良好记录的证明材料：</w:t>
            </w:r>
            <w:r>
              <w:rPr>
                <w:rFonts w:hint="eastAsia" w:asciiTheme="minorEastAsia" w:hAnsiTheme="minorEastAsia" w:eastAsiaTheme="minorEastAsia" w:cstheme="minorEastAsia"/>
                <w:b/>
                <w:color w:val="000000"/>
                <w:sz w:val="22"/>
                <w:u w:val="single"/>
              </w:rPr>
              <w:t>承诺函，格式见附件</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6</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参加本次采购活动前三年内在经营活动中没有重大违法记录的证明材料：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7</w:t>
            </w:r>
          </w:p>
        </w:tc>
        <w:tc>
          <w:tcPr>
            <w:tcW w:w="8635" w:type="dxa"/>
            <w:gridSpan w:val="2"/>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未被“信用中国”（www.creditchina.gov.cn）、中国政府采购网（www.ccgp.gov.cn）列入失信被执行人名单、重大税收违法案件当事人名单、政府采购严重违法失信行为记录名单的证明材料：</w:t>
            </w:r>
            <w:r>
              <w:rPr>
                <w:rFonts w:hint="eastAsia" w:asciiTheme="minorEastAsia" w:hAnsiTheme="minorEastAsia" w:eastAsiaTheme="minorEastAsia" w:cstheme="minorEastAsia"/>
                <w:b/>
                <w:color w:val="000000"/>
                <w:sz w:val="22"/>
                <w:u w:val="single"/>
              </w:rPr>
              <w:t>承诺函，格式见附件也可自拟</w:t>
            </w:r>
          </w:p>
        </w:tc>
        <w:tc>
          <w:tcPr>
            <w:tcW w:w="721" w:type="dxa"/>
            <w:gridSpan w:val="2"/>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8</w:t>
            </w:r>
          </w:p>
        </w:tc>
        <w:tc>
          <w:tcPr>
            <w:tcW w:w="8635" w:type="dxa"/>
            <w:gridSpan w:val="2"/>
          </w:tcPr>
          <w:p>
            <w:pPr>
              <w:autoSpaceDE w:val="0"/>
              <w:autoSpaceDN w:val="0"/>
              <w:adjustRightInd w:val="0"/>
              <w:snapToGrid w:val="0"/>
              <w:spacing w:line="240" w:lineRule="atLeast"/>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tcBorders>
              <w:bottom w:val="single" w:color="auto" w:sz="6" w:space="0"/>
            </w:tcBorders>
            <w:shd w:val="clear" w:color="auto" w:fill="E5DFEC"/>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备注：上述资格证明文件未提供或提供的资格证明材料不齐全的，资格审查作不通过处理，不得进入评审程序。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二、《商务技术文件》组成内容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46" w:type="dxa"/>
            <w:gridSpan w:val="3"/>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《商务技术文件》封面</w:t>
            </w:r>
          </w:p>
        </w:tc>
        <w:tc>
          <w:tcPr>
            <w:tcW w:w="710" w:type="dxa"/>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《商务技术文件》目录（自拟）</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供应商自评分指引表(格式见附件也可自拟）</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供应商参与政府采购活动投标资格声明</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投标函</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6</w:t>
            </w:r>
          </w:p>
        </w:tc>
        <w:tc>
          <w:tcPr>
            <w:tcW w:w="8646" w:type="dxa"/>
            <w:gridSpan w:val="3"/>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投标供应商情况声明（后附企业简介）</w:t>
            </w:r>
          </w:p>
        </w:tc>
        <w:tc>
          <w:tcPr>
            <w:tcW w:w="710" w:type="dxa"/>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7</w:t>
            </w:r>
          </w:p>
        </w:tc>
        <w:tc>
          <w:tcPr>
            <w:tcW w:w="8646" w:type="dxa"/>
            <w:gridSpan w:val="3"/>
            <w:tcBorders>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商务偏离表、技术偏离表</w:t>
            </w:r>
            <w:r>
              <w:rPr>
                <w:rFonts w:hint="eastAsia" w:asciiTheme="minorEastAsia" w:hAnsiTheme="minorEastAsia" w:eastAsiaTheme="minorEastAsia" w:cstheme="minorEastAsia"/>
                <w:b/>
                <w:color w:val="000000"/>
                <w:sz w:val="22"/>
              </w:rPr>
              <w:t>(格式见附件也可自拟）</w:t>
            </w:r>
          </w:p>
        </w:tc>
        <w:tc>
          <w:tcPr>
            <w:tcW w:w="710" w:type="dxa"/>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8</w:t>
            </w:r>
          </w:p>
        </w:tc>
        <w:tc>
          <w:tcPr>
            <w:tcW w:w="8646" w:type="dxa"/>
            <w:gridSpan w:val="3"/>
            <w:tcBorders>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设备详细配置清单</w:t>
            </w:r>
          </w:p>
        </w:tc>
        <w:tc>
          <w:tcPr>
            <w:tcW w:w="710" w:type="dxa"/>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9</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lang w:val="zh-CN"/>
              </w:rPr>
              <w:t>项目</w:t>
            </w:r>
            <w:r>
              <w:rPr>
                <w:rFonts w:hint="eastAsia" w:asciiTheme="minorEastAsia" w:hAnsiTheme="minorEastAsia" w:eastAsiaTheme="minorEastAsia" w:cstheme="minorEastAsia"/>
                <w:color w:val="000000"/>
                <w:sz w:val="22"/>
              </w:rPr>
              <w:t>组织实施方案</w:t>
            </w:r>
            <w:r>
              <w:rPr>
                <w:rFonts w:hint="eastAsia" w:asciiTheme="minorEastAsia" w:hAnsiTheme="minorEastAsia" w:eastAsiaTheme="minorEastAsia" w:cstheme="minorEastAsia"/>
                <w:b/>
                <w:color w:val="000000"/>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10</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w:t>
            </w:r>
            <w:r>
              <w:rPr>
                <w:rFonts w:hint="eastAsia" w:asciiTheme="minorEastAsia" w:hAnsiTheme="minorEastAsia" w:eastAsiaTheme="minorEastAsia" w:cstheme="minorEastAsia"/>
                <w:color w:val="000000"/>
                <w:sz w:val="22"/>
                <w:lang w:val="en-US" w:eastAsia="zh-CN"/>
              </w:rPr>
              <w:t>2021</w:t>
            </w:r>
            <w:r>
              <w:rPr>
                <w:rFonts w:hint="eastAsia" w:asciiTheme="minorEastAsia" w:hAnsiTheme="minorEastAsia" w:eastAsiaTheme="minorEastAsia" w:cstheme="minorEastAsia"/>
                <w:color w:val="000000"/>
                <w:sz w:val="22"/>
              </w:rPr>
              <w:t>年1月1日以来类似业绩证明（业绩证明须提供合同或中标通知书）</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hint="eastAsia" w:asciiTheme="minorEastAsia" w:hAnsiTheme="minorEastAsia" w:eastAsiaTheme="minorEastAsia" w:cstheme="minorEastAsia"/>
                <w:b/>
                <w:color w:val="000000"/>
                <w:kern w:val="2"/>
                <w:sz w:val="22"/>
                <w:szCs w:val="24"/>
                <w:lang w:val="en-US" w:eastAsia="zh-CN" w:bidi="ar-SA"/>
              </w:rPr>
            </w:pPr>
            <w:r>
              <w:rPr>
                <w:rFonts w:hint="eastAsia" w:asciiTheme="minorEastAsia" w:hAnsiTheme="minorEastAsia" w:eastAsiaTheme="minorEastAsia" w:cstheme="minorEastAsia"/>
                <w:b/>
                <w:color w:val="000000"/>
                <w:sz w:val="22"/>
              </w:rPr>
              <w:t>11</w:t>
            </w:r>
          </w:p>
        </w:tc>
        <w:tc>
          <w:tcPr>
            <w:tcW w:w="8646" w:type="dxa"/>
            <w:gridSpan w:val="3"/>
            <w:tcBorders>
              <w:top w:val="single" w:color="auto" w:sz="6" w:space="0"/>
              <w:bottom w:val="single" w:color="auto" w:sz="6" w:space="0"/>
            </w:tcBorders>
            <w:vAlign w:val="center"/>
          </w:tcPr>
          <w:p>
            <w:pPr>
              <w:spacing w:line="276" w:lineRule="auto"/>
              <w:jc w:val="left"/>
              <w:rPr>
                <w:rFonts w:hint="eastAsia" w:asciiTheme="minorEastAsia" w:hAnsiTheme="minorEastAsia" w:eastAsiaTheme="minorEastAsia" w:cstheme="minorEastAsia"/>
                <w:color w:val="000000"/>
                <w:kern w:val="2"/>
                <w:sz w:val="22"/>
                <w:szCs w:val="24"/>
                <w:lang w:val="en-US" w:eastAsia="zh-CN" w:bidi="ar-SA"/>
              </w:rPr>
            </w:pPr>
            <w:r>
              <w:rPr>
                <w:rFonts w:hint="eastAsia" w:asciiTheme="minorEastAsia" w:hAnsiTheme="minorEastAsia" w:eastAsiaTheme="minorEastAsia" w:cstheme="minorEastAsia"/>
                <w:color w:val="000000"/>
                <w:sz w:val="22"/>
              </w:rPr>
              <w:t>项目负责人、项目小组人员资格证书、职称证书等情况</w:t>
            </w:r>
          </w:p>
        </w:tc>
        <w:tc>
          <w:tcPr>
            <w:tcW w:w="710" w:type="dxa"/>
            <w:tcBorders>
              <w:top w:val="single" w:color="auto" w:sz="6" w:space="0"/>
              <w:bottom w:val="single" w:color="auto" w:sz="6" w:space="0"/>
            </w:tcBorders>
            <w:vAlign w:val="center"/>
          </w:tcPr>
          <w:p>
            <w:pPr>
              <w:spacing w:line="276" w:lineRule="auto"/>
              <w:jc w:val="center"/>
              <w:rPr>
                <w:rFonts w:hint="eastAsia" w:asciiTheme="minorEastAsia" w:hAnsiTheme="minorEastAsia" w:eastAsiaTheme="minorEastAsia" w:cstheme="minorEastAsia"/>
                <w:color w:val="000000"/>
                <w:kern w:val="2"/>
                <w:sz w:val="22"/>
                <w:szCs w:val="24"/>
                <w:lang w:val="en-US" w:eastAsia="zh-CN" w:bidi="ar-SA"/>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hint="default" w:asciiTheme="minorEastAsia" w:hAnsiTheme="minorEastAsia" w:eastAsiaTheme="minorEastAsia" w:cstheme="minorEastAsia"/>
                <w:b/>
                <w:color w:val="000000"/>
                <w:sz w:val="22"/>
                <w:lang w:val="en-US" w:eastAsia="zh-CN"/>
              </w:rPr>
            </w:pPr>
            <w:r>
              <w:rPr>
                <w:rFonts w:hint="eastAsia" w:asciiTheme="minorEastAsia" w:hAnsiTheme="minorEastAsia" w:eastAsiaTheme="minorEastAsia" w:cstheme="minorEastAsia"/>
                <w:b/>
                <w:color w:val="000000"/>
                <w:sz w:val="22"/>
                <w:lang w:val="en-US" w:eastAsia="zh-CN"/>
              </w:rPr>
              <w:t>12</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eastAsia" w:asciiTheme="minorEastAsia" w:hAnsiTheme="minorEastAsia" w:eastAsiaTheme="minorEastAsia" w:cstheme="minorEastAsia"/>
                <w:b/>
                <w:color w:val="000000"/>
                <w:sz w:val="22"/>
                <w:lang w:eastAsia="zh-CN"/>
              </w:rPr>
            </w:pPr>
            <w:r>
              <w:rPr>
                <w:rFonts w:hint="eastAsia" w:asciiTheme="minorEastAsia" w:hAnsiTheme="minorEastAsia" w:eastAsiaTheme="minorEastAsia" w:cstheme="minorEastAsia"/>
                <w:b/>
                <w:color w:val="000000"/>
                <w:sz w:val="22"/>
              </w:rPr>
              <w:t>1</w:t>
            </w:r>
            <w:r>
              <w:rPr>
                <w:rFonts w:hint="eastAsia" w:asciiTheme="minorEastAsia" w:hAnsiTheme="minorEastAsia" w:eastAsiaTheme="minorEastAsia" w:cstheme="minorEastAsia"/>
                <w:b/>
                <w:color w:val="000000"/>
                <w:sz w:val="22"/>
                <w:lang w:val="en-US" w:eastAsia="zh-CN"/>
              </w:rPr>
              <w:t>3</w:t>
            </w:r>
          </w:p>
        </w:tc>
        <w:tc>
          <w:tcPr>
            <w:tcW w:w="8646" w:type="dxa"/>
            <w:gridSpan w:val="3"/>
            <w:tcBorders>
              <w:top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投标供应商认为有必要提供的其他与报价有关的材料或说明（如有）</w:t>
            </w:r>
          </w:p>
        </w:tc>
        <w:tc>
          <w:tcPr>
            <w:tcW w:w="710" w:type="dxa"/>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5"/>
            <w:tcBorders>
              <w:top w:val="single" w:color="auto" w:sz="6" w:space="0"/>
              <w:bottom w:val="single" w:color="auto" w:sz="6" w:space="0"/>
            </w:tcBorders>
            <w:shd w:val="clear" w:color="auto" w:fill="FDE9D9"/>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三、《报价文件》组成内容【依序编制】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《报价文件》目录</w:t>
            </w:r>
            <w:r>
              <w:rPr>
                <w:rFonts w:hint="eastAsia" w:asciiTheme="minorEastAsia" w:hAnsiTheme="minorEastAsia" w:eastAsiaTheme="minorEastAsia" w:cstheme="minorEastAsia"/>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开标一览表</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w:t>
            </w:r>
          </w:p>
        </w:tc>
        <w:tc>
          <w:tcPr>
            <w:tcW w:w="8646" w:type="dxa"/>
            <w:gridSpan w:val="3"/>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5</w:t>
            </w:r>
          </w:p>
        </w:tc>
        <w:tc>
          <w:tcPr>
            <w:tcW w:w="9356" w:type="dxa"/>
            <w:gridSpan w:val="4"/>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投标供应商符合采购文件规定的政府采购扶持政策的证明文件</w:t>
            </w:r>
            <w:r>
              <w:rPr>
                <w:rFonts w:hint="eastAsia" w:asciiTheme="minorEastAsia" w:hAnsiTheme="minorEastAsia" w:eastAsiaTheme="minorEastAsia" w:cstheme="minorEastAsia"/>
                <w:color w:val="000000"/>
                <w:sz w:val="22"/>
              </w:rPr>
              <w:t>（如符合）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restart"/>
            <w:tcBorders>
              <w:top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5.1</w:t>
            </w:r>
          </w:p>
        </w:tc>
        <w:tc>
          <w:tcPr>
            <w:tcW w:w="1501" w:type="dxa"/>
            <w:vMerge w:val="restart"/>
            <w:tcBorders>
              <w:top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价格扶持政策材料</w:t>
            </w: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（1）中小企业声明函</w:t>
            </w:r>
            <w:r>
              <w:rPr>
                <w:rFonts w:hint="eastAsia" w:asciiTheme="minorEastAsia" w:hAnsiTheme="minorEastAsia" w:eastAsiaTheme="minorEastAsia" w:cstheme="minorEastAsia"/>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vAlign w:val="center"/>
          </w:tcPr>
          <w:p>
            <w:pPr>
              <w:spacing w:line="276" w:lineRule="auto"/>
              <w:jc w:val="center"/>
              <w:rPr>
                <w:rFonts w:asciiTheme="minorEastAsia" w:hAnsiTheme="minorEastAsia" w:eastAsiaTheme="minorEastAsia" w:cstheme="minorEastAsia"/>
                <w:b/>
                <w:color w:val="000000"/>
                <w:sz w:val="22"/>
              </w:rPr>
            </w:pPr>
          </w:p>
        </w:tc>
        <w:tc>
          <w:tcPr>
            <w:tcW w:w="1501" w:type="dxa"/>
            <w:vMerge w:val="continue"/>
            <w:vAlign w:val="center"/>
          </w:tcPr>
          <w:p>
            <w:pPr>
              <w:spacing w:line="276" w:lineRule="auto"/>
              <w:jc w:val="center"/>
              <w:rPr>
                <w:rFonts w:asciiTheme="minorEastAsia" w:hAnsiTheme="minorEastAsia" w:eastAsiaTheme="minorEastAsia" w:cstheme="minorEastAsia"/>
                <w:color w:val="000000"/>
                <w:sz w:val="22"/>
              </w:rPr>
            </w:pP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（2）残疾人福利性单位声明函</w:t>
            </w:r>
            <w:r>
              <w:rPr>
                <w:rFonts w:hint="eastAsia" w:asciiTheme="minorEastAsia" w:hAnsiTheme="minorEastAsia" w:eastAsiaTheme="minorEastAsia" w:cstheme="minorEastAsia"/>
                <w:color w:val="000000"/>
                <w:sz w:val="22"/>
              </w:rPr>
              <w:t>（如是，请提供）</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Merge w:val="continue"/>
            <w:tcBorders>
              <w:bottom w:val="single" w:color="auto" w:sz="6" w:space="0"/>
            </w:tcBorders>
            <w:vAlign w:val="center"/>
          </w:tcPr>
          <w:p>
            <w:pPr>
              <w:spacing w:line="276" w:lineRule="auto"/>
              <w:jc w:val="center"/>
              <w:rPr>
                <w:rFonts w:asciiTheme="minorEastAsia" w:hAnsiTheme="minorEastAsia" w:eastAsiaTheme="minorEastAsia" w:cstheme="minorEastAsia"/>
                <w:b/>
                <w:color w:val="000000"/>
                <w:sz w:val="22"/>
              </w:rPr>
            </w:pPr>
          </w:p>
        </w:tc>
        <w:tc>
          <w:tcPr>
            <w:tcW w:w="1501" w:type="dxa"/>
            <w:vMerge w:val="continue"/>
            <w:tcBorders>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p>
        </w:tc>
        <w:tc>
          <w:tcPr>
            <w:tcW w:w="7145" w:type="dxa"/>
            <w:gridSpan w:val="2"/>
            <w:tcBorders>
              <w:top w:val="single" w:color="auto" w:sz="6" w:space="0"/>
              <w:bottom w:val="single" w:color="auto" w:sz="6" w:space="0"/>
            </w:tcBorders>
            <w:vAlign w:val="center"/>
          </w:tcPr>
          <w:p>
            <w:pPr>
              <w:spacing w:line="276"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（3）相关部门出具的监狱企业证明文件</w:t>
            </w:r>
            <w:r>
              <w:rPr>
                <w:rFonts w:hint="eastAsia" w:asciiTheme="minorEastAsia" w:hAnsiTheme="minorEastAsia" w:eastAsiaTheme="minorEastAsia" w:cstheme="minorEastAsia"/>
                <w:color w:val="000000"/>
                <w:sz w:val="22"/>
              </w:rPr>
              <w:t>（如是，提供复制件加盖投标供应商公章）</w:t>
            </w:r>
          </w:p>
        </w:tc>
        <w:tc>
          <w:tcPr>
            <w:tcW w:w="710" w:type="dxa"/>
            <w:tcBorders>
              <w:top w:val="single" w:color="auto" w:sz="6" w:space="0"/>
              <w:bottom w:val="single" w:color="auto" w:sz="6" w:space="0"/>
            </w:tcBorders>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shd w:val="clear" w:color="auto" w:fill="DAEEF3"/>
            <w:vAlign w:val="center"/>
          </w:tcPr>
          <w:p>
            <w:pPr>
              <w:spacing w:line="276" w:lineRule="auto"/>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5"/>
            <w:vAlign w:val="center"/>
          </w:tcPr>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1）上述内容本采购文件《投标文件格式》中有提供格式的，投标供应商可参照格式进行编制（格式中要求提供相关证明材料的还需后附相关证明材料），并按格式要求在指定位置根据要求进行签章，否则视为未提供；</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（2）采购文件《投标文件格式》未提供格式的，请各投标供应商自行拟定格式，并加盖单位公章并由法定代表人或其授权代表签署（签字或盖章），否则视为未提供；</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（3）可以提供复制件的相关证明材料必须加盖投标供应商公章，否则视为未提供（例如：各类资格资质证书、业绩材料、荣誉证书、验收材料等）；</w:t>
            </w:r>
          </w:p>
          <w:p>
            <w:pPr>
              <w:spacing w:line="276" w:lineRule="auto"/>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（4）以上内容中标注“</w:t>
            </w:r>
            <w:r>
              <w:rPr>
                <w:rFonts w:hint="eastAsia" w:asciiTheme="minorEastAsia" w:hAnsiTheme="minorEastAsia" w:eastAsiaTheme="minorEastAsia" w:cstheme="minorEastAsia"/>
                <w:color w:val="000000"/>
                <w:sz w:val="22"/>
              </w:rPr>
              <w:t>▲</w:t>
            </w:r>
            <w:r>
              <w:rPr>
                <w:rFonts w:hint="eastAsia" w:asciiTheme="minorEastAsia" w:hAnsiTheme="minorEastAsia" w:eastAsiaTheme="minorEastAsia" w:cstheme="minorEastAsia"/>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p>
    <w:p>
      <w:pPr>
        <w:autoSpaceDE w:val="0"/>
        <w:autoSpaceDN w:val="0"/>
        <w:adjustRightInd w:val="0"/>
        <w:snapToGrid w:val="0"/>
        <w:spacing w:line="360" w:lineRule="auto"/>
        <w:textAlignment w:val="bottom"/>
        <w:rPr>
          <w:rFonts w:asciiTheme="minorEastAsia" w:hAnsiTheme="minorEastAsia" w:eastAsiaTheme="minorEastAsia" w:cstheme="minorEastAsia"/>
          <w:b/>
          <w:bCs/>
          <w:sz w:val="22"/>
          <w:u w:val="single"/>
        </w:rPr>
      </w:pPr>
      <w:r>
        <w:rPr>
          <w:rFonts w:hint="eastAsia" w:asciiTheme="minorEastAsia" w:hAnsiTheme="minorEastAsia" w:eastAsiaTheme="minorEastAsia" w:cstheme="minorEastAsia"/>
          <w:b/>
          <w:bCs/>
          <w:sz w:val="22"/>
        </w:rPr>
        <w:t>2.3、投标文件的签章：</w:t>
      </w:r>
    </w:p>
    <w:p>
      <w:pPr>
        <w:spacing w:line="360" w:lineRule="auto"/>
        <w:ind w:firstLine="424" w:firstLineChars="192"/>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1）</w:t>
      </w:r>
      <w:r>
        <w:rPr>
          <w:rFonts w:hint="eastAsia" w:asciiTheme="minorEastAsia" w:hAnsiTheme="minorEastAsia" w:eastAsiaTheme="minorEastAsia" w:cstheme="minorEastAsia"/>
          <w:b/>
          <w:bCs/>
          <w:sz w:val="22"/>
        </w:rPr>
        <w:t>投标文件</w:t>
      </w:r>
      <w:r>
        <w:rPr>
          <w:rFonts w:hint="eastAsia" w:asciiTheme="minorEastAsia" w:hAnsiTheme="minorEastAsia" w:eastAsiaTheme="minorEastAsia" w:cstheme="minorEastAsia"/>
          <w:b/>
          <w:kern w:val="0"/>
          <w:sz w:val="22"/>
        </w:rPr>
        <w:t>的签章：</w:t>
      </w:r>
      <w:r>
        <w:rPr>
          <w:rFonts w:hint="eastAsia" w:asciiTheme="minorEastAsia" w:hAnsiTheme="minorEastAsia" w:eastAsiaTheme="minorEastAsia" w:cstheme="minorEastAsia"/>
          <w:b/>
          <w:sz w:val="22"/>
        </w:rPr>
        <w:t>见《投标须知前附表》；</w:t>
      </w:r>
    </w:p>
    <w:p>
      <w:pPr>
        <w:spacing w:line="360" w:lineRule="auto"/>
        <w:ind w:firstLine="389"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b/>
          <w:kern w:val="0"/>
          <w:sz w:val="22"/>
        </w:rPr>
        <w:t>2）电子签章操作指南详见</w:t>
      </w:r>
      <w:r>
        <w:rPr>
          <w:rFonts w:hint="eastAsia" w:asciiTheme="minorEastAsia" w:hAnsiTheme="minorEastAsia" w:eastAsiaTheme="minorEastAsia" w:cstheme="minorEastAsia"/>
          <w:b/>
          <w:sz w:val="22"/>
        </w:rPr>
        <w:t>《供应商项目采购-电子招投标操作指南》</w:t>
      </w:r>
      <w:r>
        <w:rPr>
          <w:rFonts w:hint="eastAsia" w:asciiTheme="minorEastAsia" w:hAnsiTheme="minorEastAsia" w:eastAsiaTheme="minorEastAsia" w:cstheme="minorEastAsia"/>
          <w:sz w:val="22"/>
        </w:rPr>
        <w:t>。</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bookmarkStart w:id="7" w:name="_Toc132655776"/>
      <w:bookmarkStart w:id="8" w:name="_Toc132124594"/>
      <w:bookmarkStart w:id="9" w:name="_Toc132122416"/>
      <w:bookmarkStart w:id="10" w:name="_Toc132125151"/>
      <w:bookmarkStart w:id="11" w:name="_Toc132125095"/>
      <w:bookmarkStart w:id="12" w:name="_Toc132123838"/>
      <w:bookmarkStart w:id="13" w:name="_Toc132123547"/>
      <w:bookmarkStart w:id="14" w:name="_Toc132123439"/>
      <w:bookmarkStart w:id="15" w:name="_Toc132123634"/>
      <w:bookmarkStart w:id="16" w:name="_Toc132122119"/>
      <w:bookmarkStart w:id="17" w:name="_Toc132125037"/>
      <w:bookmarkStart w:id="18" w:name="_Toc132126154"/>
      <w:bookmarkStart w:id="19" w:name="_Toc132123881"/>
      <w:bookmarkStart w:id="20" w:name="_Toc132125574"/>
      <w:bookmarkStart w:id="21" w:name="_Toc132125983"/>
      <w:r>
        <w:rPr>
          <w:rFonts w:hint="eastAsia" w:asciiTheme="minorEastAsia" w:hAnsiTheme="minorEastAsia" w:eastAsiaTheme="minorEastAsia" w:cstheme="minorEastAsia"/>
          <w:sz w:val="22"/>
          <w:szCs w:val="22"/>
        </w:rPr>
        <w:t>3、投标内容填写说明</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3.1、投标文件格式</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供应商应按照第2条所列出的内容及格式</w:t>
      </w:r>
      <w:r>
        <w:rPr>
          <w:rFonts w:hint="eastAsia" w:asciiTheme="minorEastAsia" w:hAnsiTheme="minorEastAsia" w:eastAsiaTheme="minorEastAsia" w:cstheme="minorEastAsia"/>
          <w:bCs/>
          <w:sz w:val="22"/>
          <w:szCs w:val="22"/>
          <w:u w:val="thick"/>
        </w:rPr>
        <w:t>逐一按顺序</w:t>
      </w:r>
      <w:r>
        <w:rPr>
          <w:rFonts w:hint="eastAsia" w:asciiTheme="minorEastAsia" w:hAnsiTheme="minorEastAsia" w:eastAsiaTheme="minorEastAsia" w:cstheme="minorEastAsia"/>
          <w:sz w:val="22"/>
          <w:szCs w:val="22"/>
        </w:rPr>
        <w:t>组成投标文件。</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bookmarkStart w:id="22" w:name="_Toc132122115"/>
      <w:bookmarkStart w:id="23" w:name="_Toc132122412"/>
      <w:r>
        <w:rPr>
          <w:rFonts w:hint="eastAsia" w:asciiTheme="minorEastAsia" w:hAnsiTheme="minorEastAsia" w:eastAsiaTheme="minorEastAsia" w:cstheme="minorEastAsia"/>
          <w:sz w:val="22"/>
          <w:szCs w:val="22"/>
        </w:rPr>
        <w:t>4、投标报价</w:t>
      </w:r>
      <w:bookmarkEnd w:id="22"/>
      <w:bookmarkEnd w:id="23"/>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4.1、供应商应按招标文件中《</w:t>
      </w:r>
      <w:r>
        <w:rPr>
          <w:rFonts w:hint="eastAsia" w:asciiTheme="minorEastAsia" w:hAnsiTheme="minorEastAsia" w:eastAsiaTheme="minorEastAsia" w:cstheme="minorEastAsia"/>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w:t>
      </w:r>
      <w:r>
        <w:rPr>
          <w:rFonts w:hint="eastAsia" w:asciiTheme="minorEastAsia" w:hAnsiTheme="minorEastAsia" w:eastAsiaTheme="minorEastAsia" w:cstheme="minorEastAsia"/>
          <w:b/>
          <w:sz w:val="22"/>
          <w:szCs w:val="22"/>
          <w:u w:val="single"/>
        </w:rPr>
        <w:t>本次招标只有一次投标报价的机会，投标报价为本次招标所有服务的全部费用。</w:t>
      </w:r>
      <w:r>
        <w:rPr>
          <w:rFonts w:hint="eastAsia" w:asciiTheme="minorEastAsia" w:hAnsiTheme="minorEastAsia" w:eastAsiaTheme="minorEastAsia" w:cstheme="minorEastAsia"/>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b/>
          <w:color w:val="FF0000"/>
          <w:sz w:val="22"/>
          <w:szCs w:val="22"/>
          <w:u w:val="single"/>
        </w:rPr>
      </w:pPr>
      <w:r>
        <w:rPr>
          <w:rFonts w:hint="eastAsia" w:asciiTheme="minorEastAsia" w:hAnsiTheme="minorEastAsia" w:eastAsiaTheme="minorEastAsia" w:cstheme="minorEastAsia"/>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bCs/>
          <w:sz w:val="22"/>
          <w:szCs w:val="22"/>
        </w:rPr>
        <w:t>填写报价表格时，各项费用应如实填写。</w:t>
      </w:r>
      <w:r>
        <w:rPr>
          <w:rFonts w:hint="eastAsia" w:asciiTheme="minorEastAsia" w:hAnsiTheme="minorEastAsia" w:eastAsiaTheme="minorEastAsia" w:cstheme="minorEastAsia"/>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zh-CN"/>
        </w:rPr>
        <w:t xml:space="preserve">   </w:t>
      </w:r>
      <w:bookmarkStart w:id="24" w:name="_Toc132122413"/>
      <w:bookmarkStart w:id="25" w:name="_Toc132122116"/>
      <w:r>
        <w:rPr>
          <w:rFonts w:hint="eastAsia" w:asciiTheme="minorEastAsia" w:hAnsiTheme="minorEastAsia" w:eastAsiaTheme="minorEastAsia" w:cstheme="minorEastAsia"/>
          <w:sz w:val="22"/>
          <w:szCs w:val="22"/>
        </w:rPr>
        <w:t xml:space="preserve"> 5、投标保证金</w:t>
      </w:r>
      <w:bookmarkEnd w:id="24"/>
      <w:bookmarkEnd w:id="25"/>
    </w:p>
    <w:p>
      <w:pPr>
        <w:pStyle w:val="20"/>
        <w:adjustRightInd w:val="0"/>
        <w:snapToGrid w:val="0"/>
        <w:spacing w:line="360" w:lineRule="auto"/>
        <w:ind w:firstLine="440" w:firstLineChars="200"/>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sz w:val="22"/>
          <w:szCs w:val="22"/>
          <w:u w:val="single"/>
        </w:rPr>
        <w:t>按照《浙江省财政厅关于明确政府采购保证金管理工作的通知》浙财采监〔2019〕5号文件规定，投标人无需缴纳投标保证金。</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bookmarkStart w:id="26" w:name="_Toc132122117"/>
      <w:bookmarkStart w:id="27" w:name="_Toc132122414"/>
      <w:r>
        <w:rPr>
          <w:rFonts w:hint="eastAsia" w:asciiTheme="minorEastAsia" w:hAnsiTheme="minorEastAsia" w:eastAsiaTheme="minorEastAsia" w:cstheme="minorEastAsia"/>
          <w:sz w:val="22"/>
          <w:szCs w:val="22"/>
        </w:rPr>
        <w:t>6、投标文件的有效期</w:t>
      </w:r>
      <w:bookmarkEnd w:id="26"/>
      <w:bookmarkEnd w:id="27"/>
    </w:p>
    <w:p>
      <w:pPr>
        <w:pStyle w:val="20"/>
        <w:adjustRightInd w:val="0"/>
        <w:snapToGrid w:val="0"/>
        <w:spacing w:line="360" w:lineRule="auto"/>
        <w:ind w:right="-160" w:rightChars="-76"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6.1自开标日起90天内，投标文件应保持有效。有效期短于这个规定期限的投标将被拒绝。</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6.2在特殊情况下，采购人可与供应商协商延长投标文件的有效期，这种要求和答复均应以书面形式进行。</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6.3供应商可拒绝接受延期要求。同意延长有效期的供应商不能修改投标文件。</w:t>
      </w:r>
    </w:p>
    <w:p>
      <w:pPr>
        <w:pStyle w:val="20"/>
        <w:adjustRightInd w:val="0"/>
        <w:snapToGrid w:val="0"/>
        <w:spacing w:line="360" w:lineRule="auto"/>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b/>
          <w:sz w:val="22"/>
          <w:lang w:bidi="ar"/>
        </w:rPr>
        <w:t xml:space="preserve"> </w:t>
      </w:r>
      <w:bookmarkStart w:id="28" w:name="_Toc132122415"/>
      <w:bookmarkStart w:id="29" w:name="_Toc132122118"/>
      <w:r>
        <w:rPr>
          <w:rFonts w:hint="eastAsia" w:asciiTheme="minorEastAsia" w:hAnsiTheme="minorEastAsia" w:eastAsiaTheme="minorEastAsia" w:cstheme="minorEastAsia"/>
          <w:b/>
          <w:sz w:val="22"/>
          <w:lang w:bidi="ar"/>
        </w:rPr>
        <w:t>7、投标文件的份数</w:t>
      </w:r>
      <w:bookmarkEnd w:id="28"/>
      <w:bookmarkEnd w:id="29"/>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（1）“电子加密投标文件”：在线上传递交（一份）。</w:t>
      </w:r>
    </w:p>
    <w:p>
      <w:pPr>
        <w:pStyle w:val="20"/>
        <w:adjustRightInd w:val="0"/>
        <w:snapToGrid w:val="0"/>
        <w:spacing w:line="360" w:lineRule="auto"/>
        <w:ind w:firstLine="442" w:firstLineChars="200"/>
        <w:outlineLvl w:val="0"/>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
          <w:sz w:val="22"/>
          <w:lang w:bidi="ar"/>
        </w:rPr>
        <w:t>（2）“备份投标文件”：密封包装后（</w:t>
      </w:r>
      <w:r>
        <w:rPr>
          <w:rFonts w:hint="eastAsia" w:asciiTheme="minorEastAsia" w:hAnsiTheme="minorEastAsia" w:eastAsiaTheme="minorEastAsia" w:cstheme="minorEastAsia"/>
          <w:b/>
          <w:sz w:val="22"/>
          <w:szCs w:val="24"/>
        </w:rPr>
        <w:t>当面送达由代理单位签收或采用邮寄形式由代理单位签收</w:t>
      </w:r>
      <w:r>
        <w:rPr>
          <w:rFonts w:hint="eastAsia" w:asciiTheme="minorEastAsia" w:hAnsiTheme="minorEastAsia" w:eastAsiaTheme="minorEastAsia" w:cstheme="minorEastAsia"/>
          <w:b/>
          <w:sz w:val="22"/>
          <w:lang w:bidi="ar"/>
        </w:rPr>
        <w:t>）投标截止时间前递交（一份）（收件地址：龙港市世纪大道华鸿中央公园2期12幢1601室（浙江天诚工程咨询有限公司  郑先生收 联系电话：0577-68807257）。</w:t>
      </w:r>
      <w:r>
        <w:rPr>
          <w:rFonts w:hint="eastAsia" w:asciiTheme="minorEastAsia" w:hAnsiTheme="minorEastAsia" w:eastAsiaTheme="minorEastAsia" w:cstheme="minorEastAsia"/>
          <w:bCs/>
          <w:sz w:val="22"/>
          <w:szCs w:val="22"/>
        </w:rPr>
        <w:t xml:space="preserve"> </w:t>
      </w:r>
    </w:p>
    <w:p>
      <w:pPr>
        <w:pStyle w:val="21"/>
        <w:spacing w:line="360" w:lineRule="auto"/>
        <w:ind w:left="0" w:firstLine="420"/>
      </w:pPr>
      <w:r>
        <w:rPr>
          <w:rFonts w:hint="eastAsia" w:ascii="宋体" w:hAnsi="宋体"/>
          <w:b/>
          <w:sz w:val="22"/>
        </w:rPr>
        <w:t>（3）“</w:t>
      </w:r>
      <w:r>
        <w:rPr>
          <w:rFonts w:hint="eastAsia" w:ascii="宋体"/>
          <w:b/>
          <w:bCs/>
          <w:sz w:val="22"/>
          <w:szCs w:val="22"/>
        </w:rPr>
        <w:t>演示视频U盘</w:t>
      </w:r>
      <w:r>
        <w:rPr>
          <w:rFonts w:hint="eastAsia" w:ascii="宋体" w:hAnsi="宋体"/>
          <w:b/>
          <w:sz w:val="22"/>
        </w:rPr>
        <w:t>” ：供应商录制演示视屏将视屏文件拷贝进U盘，密封包装后（当面送达由代理单位签收或采用邮寄形式由代理单位签收）投标截止时间前递交（一份）（收件地址：龙港市世纪大道</w:t>
      </w:r>
      <w:r>
        <w:rPr>
          <w:rFonts w:hint="eastAsia" w:ascii="宋体" w:hAnsi="宋体"/>
          <w:b/>
          <w:sz w:val="22"/>
          <w:lang w:eastAsia="zh-CN"/>
        </w:rPr>
        <w:t>华鸿中央公园</w:t>
      </w:r>
      <w:r>
        <w:rPr>
          <w:rFonts w:hint="eastAsia" w:ascii="宋体" w:hAnsi="宋体"/>
          <w:b/>
          <w:sz w:val="22"/>
        </w:rPr>
        <w:t>2期12幢1601室（</w:t>
      </w:r>
      <w:r>
        <w:rPr>
          <w:rFonts w:hint="eastAsia" w:ascii="宋体" w:hAnsi="宋体"/>
          <w:b/>
          <w:sz w:val="22"/>
          <w:szCs w:val="22"/>
        </w:rPr>
        <w:t>浙江天诚工程咨询有限公司 郑先生</w:t>
      </w:r>
      <w:r>
        <w:rPr>
          <w:rFonts w:hint="eastAsia" w:ascii="宋体" w:hAnsi="宋体"/>
          <w:b/>
          <w:sz w:val="22"/>
        </w:rPr>
        <w:t>收 联系电话：0577-68807257）。供应商未提供“</w:t>
      </w:r>
      <w:r>
        <w:rPr>
          <w:rFonts w:hint="eastAsia" w:ascii="宋体"/>
          <w:b/>
          <w:bCs/>
          <w:sz w:val="22"/>
          <w:szCs w:val="22"/>
        </w:rPr>
        <w:t>演示视频U盘</w:t>
      </w:r>
      <w:r>
        <w:rPr>
          <w:rFonts w:hint="eastAsia" w:ascii="宋体" w:hAnsi="宋体"/>
          <w:b/>
          <w:sz w:val="22"/>
        </w:rPr>
        <w:t>”的其演示部分将不给予给分。</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Pr>
        <w:pStyle w:val="20"/>
        <w:adjustRightInd w:val="0"/>
        <w:snapToGrid w:val="0"/>
        <w:spacing w:line="360" w:lineRule="auto"/>
        <w:ind w:firstLine="442"/>
        <w:outlineLvl w:val="0"/>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五、投标文件的上传与递交</w:t>
      </w:r>
    </w:p>
    <w:p>
      <w:pPr>
        <w:pStyle w:val="20"/>
        <w:adjustRightInd w:val="0"/>
        <w:snapToGrid w:val="0"/>
        <w:spacing w:line="360" w:lineRule="auto"/>
        <w:ind w:firstLine="442" w:firstLineChars="20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1、投标文件的上传与递交</w:t>
      </w:r>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（1）“电子加密投标文件”的上传、递交：</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a.投标供应商应在投标截止时间前将“电子加密投标文件”成功上传递交至“政府采购云平台”，否则投标无效。</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b.“电子加密投标文件”成功上传递交后，供应商可自行打印投标文件接收回执。</w:t>
      </w:r>
    </w:p>
    <w:p>
      <w:pPr>
        <w:spacing w:line="360" w:lineRule="auto"/>
        <w:ind w:firstLine="442" w:firstLineChars="20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（2）“备份投标文件”的密封包装、递交：</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a.投标供应商在“政府采购云平台”完成“电子加密投标文件”的上传递交后，还可以（</w:t>
      </w:r>
      <w:r>
        <w:rPr>
          <w:rFonts w:hint="eastAsia" w:asciiTheme="minorEastAsia" w:hAnsiTheme="minorEastAsia" w:eastAsiaTheme="minorEastAsia" w:cstheme="minorEastAsia"/>
          <w:b/>
          <w:sz w:val="22"/>
        </w:rPr>
        <w:t>当面送达由代理单位签收或采用邮寄形式由代理单位签收</w:t>
      </w:r>
      <w:r>
        <w:rPr>
          <w:rFonts w:hint="eastAsia" w:asciiTheme="minorEastAsia" w:hAnsiTheme="minorEastAsia" w:eastAsiaTheme="minorEastAsia" w:cstheme="minorEastAsia"/>
          <w:b/>
          <w:sz w:val="22"/>
          <w:lang w:bidi="ar"/>
        </w:rPr>
        <w:t>）在投标截止时间前递交以介质（U盘）存储的 “备份投标文件”（一份）；</w:t>
      </w:r>
    </w:p>
    <w:p>
      <w:pPr>
        <w:spacing w:line="360" w:lineRule="auto"/>
        <w:ind w:firstLine="420"/>
        <w:rPr>
          <w:rFonts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int="eastAsia" w:asciiTheme="minorEastAsia" w:hAnsiTheme="minorEastAsia" w:eastAsiaTheme="minorEastAsia" w:cstheme="minorEastAsia"/>
          <w:b/>
          <w:sz w:val="22"/>
          <w:lang w:bidi="ar"/>
        </w:rPr>
      </w:pPr>
      <w:r>
        <w:rPr>
          <w:rFonts w:hint="eastAsia" w:asciiTheme="minorEastAsia" w:hAnsiTheme="minorEastAsia" w:eastAsiaTheme="minorEastAsia" w:cstheme="minorEastAsia"/>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360" w:lineRule="auto"/>
        <w:ind w:firstLine="442" w:firstLineChars="200"/>
        <w:rPr>
          <w:rFonts w:ascii="宋体" w:hAnsi="宋体" w:cs="宋体"/>
          <w:b/>
          <w:sz w:val="22"/>
          <w:lang w:bidi="ar"/>
        </w:rPr>
      </w:pPr>
      <w:r>
        <w:rPr>
          <w:rFonts w:hint="eastAsia" w:ascii="宋体" w:hAnsi="宋体" w:cs="宋体"/>
          <w:b/>
          <w:sz w:val="22"/>
          <w:lang w:bidi="ar"/>
        </w:rPr>
        <w:t>（3）“</w:t>
      </w:r>
      <w:r>
        <w:rPr>
          <w:rFonts w:hint="eastAsia" w:ascii="宋体"/>
          <w:b/>
          <w:bCs/>
          <w:sz w:val="22"/>
          <w:szCs w:val="22"/>
        </w:rPr>
        <w:t>演示视频U盘</w:t>
      </w:r>
      <w:r>
        <w:rPr>
          <w:rFonts w:hint="eastAsia" w:ascii="宋体" w:hAnsi="宋体" w:cs="宋体"/>
          <w:b/>
          <w:sz w:val="22"/>
          <w:lang w:bidi="ar"/>
        </w:rPr>
        <w:t>”的密封包装、递交：</w:t>
      </w:r>
    </w:p>
    <w:p>
      <w:pPr>
        <w:spacing w:line="360" w:lineRule="auto"/>
        <w:ind w:firstLine="420"/>
        <w:rPr>
          <w:rFonts w:ascii="宋体" w:hAnsi="宋体" w:cs="宋体"/>
          <w:b/>
          <w:sz w:val="22"/>
          <w:lang w:bidi="ar"/>
        </w:rPr>
      </w:pPr>
      <w:r>
        <w:rPr>
          <w:rFonts w:hint="eastAsia" w:ascii="宋体" w:hAnsi="宋体" w:cs="宋体"/>
          <w:b/>
          <w:sz w:val="22"/>
          <w:lang w:bidi="ar"/>
        </w:rPr>
        <w:t>a.“</w:t>
      </w:r>
      <w:r>
        <w:rPr>
          <w:rFonts w:hint="eastAsia" w:ascii="宋体"/>
          <w:b/>
          <w:bCs/>
          <w:sz w:val="22"/>
          <w:szCs w:val="22"/>
        </w:rPr>
        <w:t>演示视频U盘</w:t>
      </w:r>
      <w:r>
        <w:rPr>
          <w:rFonts w:hint="eastAsia" w:ascii="宋体" w:hAnsi="宋体" w:cs="宋体"/>
          <w:b/>
          <w:sz w:val="22"/>
          <w:lang w:bidi="ar"/>
        </w:rPr>
        <w:t>”应当密封包装，并在包装上标注投标项目名称、投标单位名称并加盖公章。没有密封包装或者逾期送达至投标地点的“</w:t>
      </w:r>
      <w:r>
        <w:rPr>
          <w:rFonts w:hint="eastAsia" w:ascii="宋体"/>
          <w:b/>
          <w:bCs/>
          <w:sz w:val="22"/>
          <w:szCs w:val="22"/>
        </w:rPr>
        <w:t>演示视频U盘</w:t>
      </w:r>
      <w:r>
        <w:rPr>
          <w:rFonts w:hint="eastAsia" w:ascii="宋体" w:hAnsi="宋体" w:cs="宋体"/>
          <w:b/>
          <w:sz w:val="22"/>
          <w:lang w:bidi="ar"/>
        </w:rPr>
        <w:t>”将不予接收；</w:t>
      </w:r>
    </w:p>
    <w:p>
      <w:pPr>
        <w:pStyle w:val="20"/>
        <w:adjustRightInd w:val="0"/>
        <w:snapToGrid w:val="0"/>
        <w:spacing w:line="454" w:lineRule="atLeast"/>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2、投标截止时间</w:t>
      </w:r>
    </w:p>
    <w:p>
      <w:pPr>
        <w:pStyle w:val="20"/>
        <w:adjustRightInd w:val="0"/>
        <w:snapToGrid w:val="0"/>
        <w:spacing w:line="440" w:lineRule="atLeas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2.1</w:t>
      </w:r>
      <w:r>
        <w:rPr>
          <w:rFonts w:hint="eastAsia" w:asciiTheme="minorEastAsia" w:hAnsiTheme="minorEastAsia" w:eastAsiaTheme="minorEastAsia" w:cstheme="minorEastAsia"/>
          <w:sz w:val="22"/>
        </w:rPr>
        <w:t>投标文件必须在投标文件递交截止时间前成功上传递交至“政府采购云平台”，否则投标无效。</w:t>
      </w:r>
    </w:p>
    <w:p>
      <w:pPr>
        <w:pStyle w:val="5"/>
        <w:adjustRightInd w:val="0"/>
        <w:snapToGrid w:val="0"/>
        <w:spacing w:before="120" w:beforeLines="50" w:after="50" w:line="400" w:lineRule="atLeast"/>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2.2招标代理机构如因故推迟投标截止时间，应在投标截止日前以更正公告形式通知所有投标人。在这种情况下，投标人的权利和义务将受到新的截止时间的约束。</w:t>
      </w:r>
    </w:p>
    <w:p>
      <w:pPr>
        <w:pStyle w:val="5"/>
        <w:adjustRightInd w:val="0"/>
        <w:snapToGrid w:val="0"/>
        <w:spacing w:before="120" w:beforeLines="50" w:after="50" w:line="36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3、投标文件的修改和撤回</w:t>
      </w:r>
    </w:p>
    <w:p>
      <w:pPr>
        <w:pStyle w:val="20"/>
        <w:adjustRightInd w:val="0"/>
        <w:snapToGrid w:val="0"/>
        <w:spacing w:line="360" w:lineRule="auto"/>
        <w:ind w:firstLine="433" w:firstLineChars="196"/>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投标截止时间后，投标供应商不得撤回、修改投标文件。</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4、投标文件的备选方案</w:t>
      </w:r>
    </w:p>
    <w:p>
      <w:pPr>
        <w:pStyle w:val="20"/>
        <w:adjustRightInd w:val="0"/>
        <w:snapToGrid w:val="0"/>
        <w:spacing w:line="360" w:lineRule="auto"/>
        <w:ind w:firstLine="433" w:firstLineChars="196"/>
        <w:outlineLvl w:val="0"/>
        <w:rPr>
          <w:rFonts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rPr>
        <w:t>投标供应商不得递交任何的投标备选（替代）方案，否则其投标文件将作无效标处理。与“电子加密投标文件”同时生成的“备份投标文件”不是投标备选（替代）方案。</w:t>
      </w:r>
    </w:p>
    <w:p>
      <w:pPr>
        <w:pStyle w:val="20"/>
        <w:adjustRightInd w:val="0"/>
        <w:snapToGrid w:val="0"/>
        <w:spacing w:line="360" w:lineRule="auto"/>
        <w:ind w:firstLine="435" w:firstLineChars="197"/>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六、开标和评标</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1、开标形式</w:t>
      </w:r>
    </w:p>
    <w:p>
      <w:pPr>
        <w:pStyle w:val="20"/>
        <w:adjustRightInd w:val="0"/>
        <w:snapToGrid w:val="0"/>
        <w:spacing w:line="360" w:lineRule="auto"/>
        <w:ind w:firstLine="442"/>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1.1采购组织机构将按照招标文件规定的时间通过“政府采购云平台”组织开标、开启投标文件，所有供应商均应当准时在线参加。</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2、开标准备</w:t>
      </w:r>
    </w:p>
    <w:p>
      <w:pPr>
        <w:pStyle w:val="20"/>
        <w:adjustRightInd w:val="0"/>
        <w:snapToGrid w:val="0"/>
        <w:spacing w:line="360" w:lineRule="auto"/>
        <w:ind w:firstLine="44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2.1开标的准备工作由采购组织机构负责落实；</w:t>
      </w:r>
    </w:p>
    <w:p>
      <w:pPr>
        <w:pStyle w:val="20"/>
        <w:adjustRightInd w:val="0"/>
        <w:snapToGrid w:val="0"/>
        <w:spacing w:line="360" w:lineRule="auto"/>
        <w:ind w:firstLine="442"/>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389" w:firstLineChars="177"/>
        <w:jc w:val="lef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3、开标流程</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Theme="minorEastAsia" w:hAnsiTheme="minorEastAsia" w:eastAsiaTheme="minorEastAsia" w:cstheme="minorEastAsia"/>
          <w:kern w:val="0"/>
          <w:sz w:val="22"/>
        </w:rPr>
        <w:t>1102766042@qq.com</w:t>
      </w:r>
      <w:r>
        <w:rPr>
          <w:rFonts w:hint="eastAsia" w:asciiTheme="minorEastAsia" w:hAnsiTheme="minorEastAsia" w:eastAsiaTheme="minorEastAsia" w:cstheme="minorEastAsia"/>
          <w:kern w:val="0"/>
          <w:sz w:val="22"/>
        </w:rPr>
        <w:fldChar w:fldCharType="end"/>
      </w:r>
      <w:r>
        <w:rPr>
          <w:rFonts w:hint="eastAsia" w:asciiTheme="minorEastAsia" w:hAnsiTheme="minorEastAsia" w:eastAsiaTheme="minorEastAsia" w:cstheme="minorEastAsia"/>
          <w:kern w:val="0"/>
          <w:sz w:val="22"/>
        </w:rPr>
        <w:t>，下同）否则按投标供应商默认处理；</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（3）开启投标文件，进入资格审查；</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（4）资格审查未通过的供应商将通过政采云平台告知；资格审查通过的投标供应商进入符合性审查及技术资信部分评审；</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符合性审查及技术资信部分评审结束后，通过政采云平台公布符合性审查、技术资信部分评审无效供应商名称及理由；公布经符合性审查及技术资信部分评审后有效投标供应商的名单，同时公布其技术资信部分得分情况。</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6）开启符合性审查、技术资信部分评审有效投标供应商的《商务报价文件》，通过政采云平台公布开标一览表有关内容，同时当场制作开标记录表，供应商通过政采云平台签字确认（不予确认的应说明理由，否则视为无异议）。唱标结束后，由评标委员会对报价的合理性、准确性等进行审查核实。</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（7）商务技术评审结束后，通过政采云平台公布经商务技术评审后有效投标供应商的名单及各供应商得分情况。</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（8）评审结束后，通过政采云平台公布中标（成交）候选供应商名单，及采购人最终确定中标或成交供应商名单的时间和公告方式等。</w:t>
      </w:r>
    </w:p>
    <w:p>
      <w:pPr>
        <w:pStyle w:val="20"/>
        <w:adjustRightInd w:val="0"/>
        <w:snapToGrid w:val="0"/>
        <w:spacing w:line="360" w:lineRule="auto"/>
        <w:ind w:firstLine="442"/>
        <w:rPr>
          <w:rFonts w:asciiTheme="minorEastAsia" w:hAnsiTheme="minorEastAsia" w:eastAsiaTheme="minorEastAsia" w:cstheme="minorEastAsia"/>
          <w:sz w:val="22"/>
        </w:rPr>
      </w:pPr>
      <w:r>
        <w:rPr>
          <w:rFonts w:hint="eastAsia" w:asciiTheme="minorEastAsia" w:hAnsiTheme="minorEastAsia" w:eastAsiaTheme="minorEastAsia" w:cstheme="minorEastAsia"/>
          <w:b/>
          <w:kern w:val="0"/>
          <w:sz w:val="22"/>
        </w:rPr>
        <w:t>特别说明：如遇“政府采购云平台”电子化开标或评审程序调整的，按调整后程序执行。</w:t>
      </w:r>
    </w:p>
    <w:p>
      <w:pPr>
        <w:spacing w:line="360" w:lineRule="auto"/>
        <w:ind w:firstLine="391" w:firstLineChars="177"/>
        <w:jc w:val="left"/>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4、投标供应商资格审查</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4.1开启投标文件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4.3单位负责人为同一人或者存在直接控股、管理关系的不同供应商参加同一合同项下的政府采购活动的，相关投标供应商均作资格无效处理。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5、评标</w:t>
      </w:r>
    </w:p>
    <w:p>
      <w:pPr>
        <w:pStyle w:val="20"/>
        <w:adjustRightInd w:val="0"/>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5.1评标由招标机构依法组建的评标委员会负责，并独立履行下列职责：</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1）审查投标文件是否符合招标文件要求，并做出评价；</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2）要求投标人对投标文件有关事项做出解释或者澄清；</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3）按照招标文件确定的评标办法确定预中标候选人，并对其排序；综合得分最高的投标人推荐为中标人；</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4）向招标人或者有关部门报告非法干预评标工作的行为。</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5）根据招标人的授权确定预中标候选人名单；</w:t>
      </w:r>
    </w:p>
    <w:p>
      <w:pPr>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5.2评标应当遵循下列工作程序：</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1）投标文件的初步审查和符合性审查。</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2）澄清有关问题。</w:t>
      </w:r>
      <w:r>
        <w:rPr>
          <w:rFonts w:hint="eastAsia" w:asciiTheme="minorEastAsia" w:hAnsiTheme="minorEastAsia" w:eastAsiaTheme="minorEastAsia" w:cstheme="minorEastAsia"/>
          <w:b/>
          <w:kern w:val="0"/>
          <w:sz w:val="22"/>
        </w:rPr>
        <w:t>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r>
        <w:rPr>
          <w:rFonts w:hint="eastAsia" w:asciiTheme="minorEastAsia" w:hAnsiTheme="minorEastAsia" w:eastAsiaTheme="minorEastAsia" w:cstheme="minorEastAsia"/>
          <w:b/>
          <w:bCs/>
          <w:sz w:val="22"/>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3）比较与评价。按招标文件中规定的评标方法和标准，对资格性检查和符合性检查合格的投标文件进行商务和技术评估，综合比较与评价。</w:t>
      </w:r>
    </w:p>
    <w:p>
      <w:pPr>
        <w:pStyle w:val="20"/>
        <w:adjustRightInd w:val="0"/>
        <w:snapToGrid w:val="0"/>
        <w:spacing w:line="44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4）推荐预中标候选人名单，并根据招标人的授权确定中标人。</w:t>
      </w:r>
    </w:p>
    <w:p>
      <w:pPr>
        <w:pStyle w:val="20"/>
        <w:adjustRightInd w:val="0"/>
        <w:snapToGrid w:val="0"/>
        <w:spacing w:line="440" w:lineRule="atLeast"/>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5.3、本项目按时送达的投标文件应达到三家及三家以上，才可开标。否则应视该招标缺乏有效竞争而依法重新组织招标；</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rPr>
        <w:t>5.4、</w:t>
      </w:r>
      <w:r>
        <w:rPr>
          <w:rFonts w:hint="eastAsia" w:asciiTheme="minorEastAsia" w:hAnsiTheme="minorEastAsia" w:eastAsiaTheme="minorEastAsia" w:cstheme="minorEastAsia"/>
          <w:b/>
          <w:sz w:val="22"/>
          <w:szCs w:val="22"/>
          <w:u w:val="single"/>
        </w:rPr>
        <w:t>▲评标委员会发现投标文件有下列情形之一的属于重大偏差(评标委员会按少数服从多数原则认定),按照无效投标处理：</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1）未按招标文件要求编制或密封或字迹模糊、辨认不清的投标文件；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2）投标人递交两份或两份以上内容不同的投标文件，未声明哪一份有效的；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3）投标文件中法定代表人授权书、投标函、开标一览表没有按招标文件格式要求加盖有效公章、无法定代表人（或授权代表）签字（或印章）的；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4）投标人投标文件中付款方式、完工期出现负偏差的；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5）投标人技术资信部分投标文件中出现商务报价；</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6）明显不符合服务要求的投标文件；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7）不符合招标文件中规定的实质性要求的投标文件，是否为偏离实质性要求由评标委员会认定。</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r>
        <w:rPr>
          <w:rFonts w:hint="eastAsia" w:asciiTheme="minorEastAsia" w:hAnsiTheme="minorEastAsia" w:eastAsiaTheme="minorEastAsia" w:cstheme="minorEastAsia"/>
          <w:bCs/>
          <w:sz w:val="22"/>
        </w:rPr>
        <w:t>仅提交“备份投标文件”的；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9）投标人的投标文件中有不明确的问题或其报价明显不合理且又不能合理说明（解释清楚）或者不能提供相关证明材料的；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10）存在串标、抬标或弄虚作假情况的；</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11）对关键条文的偏离、保留或反对，例如关于适用法律、税金等其他内容；</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5.5、实质上没有响应招标文件要求的投标将被拒绝。投标人不得通过修正或撤消不合要求的偏离从而使其投标成为实质上响应的投标。</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5.6、评标委员会对投标文件的判定，只依据投标内容本身，不依靠开标后的任何外来证明。</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5.7、评标委员会在评标中，不得改变招标文件中规定的评标标准、方法和中标条件。</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5.8、评标时如遇到招标文件未规定的特殊情况，由评标委员会按少数服从多数原则集体决定处理。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6、投标文件的澄清</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6.2 投标人对投标文件的澄清不得寻求、提供或允许改变投标价格等实质性内容。 </w:t>
      </w:r>
    </w:p>
    <w:p>
      <w:pPr>
        <w:pStyle w:val="20"/>
        <w:adjustRightInd w:val="0"/>
        <w:spacing w:line="360" w:lineRule="auto"/>
        <w:ind w:firstLine="477" w:firstLineChars="216"/>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7、投标文件的错误修正</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7.1投标文件如果出现计算或表达上的错误，修正错误的原则如下：</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（1）投标文件中开标一览表（报价表）内容与投标文件中相应内容不一致的，以开标一览表（报价表）为准。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（2）投标文件的大写金额和小写金额不一致的，以大写金额为准；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（3）单价金额小数点或者百分比有明显错位的，应以开标一览表（报价表）的总价为准，并修改单价；</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（4）总价金额与按单价汇总金额不一致的，以单价金额计算结果为准。</w:t>
      </w:r>
    </w:p>
    <w:p>
      <w:pPr>
        <w:pStyle w:val="20"/>
        <w:adjustRightInd w:val="0"/>
        <w:spacing w:line="360" w:lineRule="auto"/>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7.2对不同文字文本的解释发生异议的，以中文文本为准。</w:t>
      </w:r>
    </w:p>
    <w:p>
      <w:pPr>
        <w:pStyle w:val="20"/>
        <w:adjustRightInd w:val="0"/>
        <w:snapToGrid w:val="0"/>
        <w:spacing w:line="360" w:lineRule="auto"/>
        <w:ind w:firstLine="435" w:firstLineChars="197"/>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8、评标原则</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8.1评标委员会按照招标文件的要求和条件对投标文件进行商务和技术评估，综合比较与评价。</w:t>
      </w:r>
    </w:p>
    <w:p>
      <w:pPr>
        <w:pStyle w:val="20"/>
        <w:adjustRightInd w:val="0"/>
        <w:snapToGrid w:val="0"/>
        <w:spacing w:line="360" w:lineRule="auto"/>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8.2评标办法具体见本招标文件第六部分。</w:t>
      </w:r>
    </w:p>
    <w:p>
      <w:pPr>
        <w:pStyle w:val="20"/>
        <w:adjustRightInd w:val="0"/>
        <w:spacing w:line="360" w:lineRule="auto"/>
        <w:ind w:firstLine="442" w:firstLineChars="200"/>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9、可中止电子交易活动的情形</w:t>
      </w:r>
    </w:p>
    <w:p>
      <w:pPr>
        <w:spacing w:line="360" w:lineRule="auto"/>
        <w:ind w:firstLine="389" w:firstLineChars="176"/>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1、电子交易平台发生故障而无法登录访问的；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2、电子交易平台应用或数据库出现错误，不能进行正常操作的；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3、电子交易平台发现严重安全漏洞，有潜在泄密危险的；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4、病毒发作导致不能进行正常操作的；</w:t>
      </w:r>
    </w:p>
    <w:p>
      <w:pPr>
        <w:spacing w:line="360" w:lineRule="auto"/>
        <w:ind w:firstLine="387" w:firstLineChars="17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5、其他无法保证电子交易的公平、公正和安全的情况。</w:t>
      </w:r>
    </w:p>
    <w:p>
      <w:pPr>
        <w:spacing w:line="360" w:lineRule="auto"/>
        <w:ind w:firstLine="389" w:firstLineChars="176"/>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出现前款规定情形，不影响采购公平、公正性的，采购组织机构可以待上述情形消除后继续组织电子交易活动；影响或可能影响采购公平、公正性的，应当重新采购。</w:t>
      </w:r>
    </w:p>
    <w:p>
      <w:pPr>
        <w:pStyle w:val="20"/>
        <w:adjustRightInd w:val="0"/>
        <w:snapToGrid w:val="0"/>
        <w:spacing w:line="420" w:lineRule="atLeast"/>
        <w:ind w:firstLine="435" w:firstLineChars="197"/>
        <w:outlineLvl w:val="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七、授予合同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1、决标</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评标结束后，评标委员会按照招标文件确定的评标办法确定预中标候选人。</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2、中标通知书</w:t>
      </w:r>
    </w:p>
    <w:p>
      <w:pPr>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2.1、招标机构在</w:t>
      </w:r>
      <w:r>
        <w:rPr>
          <w:rFonts w:hint="eastAsia" w:asciiTheme="minorEastAsia" w:hAnsiTheme="minorEastAsia" w:eastAsiaTheme="minorEastAsia" w:cstheme="minorEastAsia"/>
          <w:spacing w:val="10"/>
          <w:sz w:val="22"/>
        </w:rPr>
        <w:t>浙江省政府采购网和温州市公共资源交易网龙港市分网上公示中标结果</w:t>
      </w:r>
      <w:r>
        <w:rPr>
          <w:rFonts w:hint="eastAsia" w:asciiTheme="minorEastAsia" w:hAnsiTheme="minorEastAsia" w:eastAsiaTheme="minorEastAsia" w:cstheme="minorEastAsia"/>
          <w:sz w:val="22"/>
          <w:szCs w:val="22"/>
        </w:rPr>
        <w:t>，公示期结束，如无异议，将向预中标候选人发出中标通知书。如发现投标人资格无效，则重新组织招标。</w:t>
      </w:r>
    </w:p>
    <w:p>
      <w:pPr>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3、评标委员会对未中标的投标人不作解释。</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4、签订合同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4.1、公示期结束后，中标人应主动联系招标人领取中标通知书，并在30天内主动与招标人签订合同。中标人未经招标人许可，在规定时间内未到招标人处与招标人签订合同，则视为拒签合同。</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4.2、招标文件、中标人的投标文件及投标修改文件、评标过程中有关澄清文件及经双方签字的询标纪要（承诺）和中标通知书均作为合同附件。</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4.3、拒签合同的责任</w:t>
      </w:r>
    </w:p>
    <w:p>
      <w:pPr>
        <w:pStyle w:val="20"/>
        <w:adjustRightInd w:val="0"/>
        <w:snapToGrid w:val="0"/>
        <w:spacing w:line="420" w:lineRule="atLeast"/>
        <w:ind w:firstLine="433" w:firstLineChars="197"/>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中标人接到中标通知书后，在规定时间内（30日历天）拒签合同，以投标违约处理，并赔偿招标人由此造成的直接经济损失；招标人重新组织招标的，所需费用由原中标人承担。</w:t>
      </w:r>
    </w:p>
    <w:p>
      <w:pPr>
        <w:pStyle w:val="49"/>
        <w:rPr>
          <w:rFonts w:asciiTheme="minorEastAsia" w:hAnsiTheme="minorEastAsia" w:eastAsiaTheme="minorEastAsia" w:cstheme="minorEastAsia"/>
        </w:rPr>
      </w:pPr>
    </w:p>
    <w:p>
      <w:pPr>
        <w:autoSpaceDE w:val="0"/>
        <w:autoSpaceDN w:val="0"/>
        <w:adjustRightInd w:val="0"/>
        <w:snapToGrid w:val="0"/>
        <w:spacing w:line="360" w:lineRule="auto"/>
        <w:ind w:firstLine="466" w:firstLineChars="212"/>
        <w:textAlignment w:val="bottom"/>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r>
        <w:rPr>
          <w:rFonts w:hint="eastAsia" w:asciiTheme="minorEastAsia" w:hAnsiTheme="minorEastAsia" w:eastAsiaTheme="minorEastAsia" w:cstheme="minorEastAsia"/>
          <w:color w:val="000000"/>
          <w:sz w:val="22"/>
          <w:szCs w:val="22"/>
          <w:lang w:val="zh-CN"/>
        </w:rPr>
        <w:t>.</w:t>
      </w:r>
      <w:r>
        <w:rPr>
          <w:rFonts w:hint="eastAsia" w:asciiTheme="minorEastAsia" w:hAnsiTheme="minorEastAsia" w:eastAsiaTheme="minorEastAsia" w:cstheme="minorEastAsia"/>
          <w:color w:val="000000"/>
          <w:sz w:val="22"/>
          <w:szCs w:val="22"/>
        </w:rPr>
        <w:t>招标代理服务费</w:t>
      </w:r>
    </w:p>
    <w:p>
      <w:pPr>
        <w:widowControl/>
        <w:spacing w:before="99" w:after="99" w:line="360" w:lineRule="auto"/>
        <w:ind w:right="96" w:firstLine="442" w:firstLineChars="200"/>
        <w:jc w:val="left"/>
        <w:rPr>
          <w:rFonts w:hint="eastAsia"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采购代理服务费向中标供应商收取，由中标供应商在领取中标通知书时一次性支付给代理单位，本项目招标代理费为</w:t>
      </w:r>
      <w:r>
        <w:rPr>
          <w:rFonts w:hint="eastAsia" w:asciiTheme="minorEastAsia" w:hAnsiTheme="minorEastAsia" w:eastAsiaTheme="minorEastAsia" w:cstheme="minorEastAsia"/>
          <w:b/>
          <w:sz w:val="22"/>
          <w:szCs w:val="22"/>
          <w:u w:val="single"/>
          <w:lang w:val="en-US" w:eastAsia="zh-CN"/>
        </w:rPr>
        <w:t>40000</w:t>
      </w:r>
      <w:r>
        <w:rPr>
          <w:rFonts w:hint="eastAsia" w:asciiTheme="minorEastAsia" w:hAnsiTheme="minorEastAsia" w:eastAsiaTheme="minorEastAsia" w:cstheme="minorEastAsia"/>
          <w:b/>
          <w:sz w:val="22"/>
          <w:szCs w:val="22"/>
          <w:u w:val="single"/>
        </w:rPr>
        <w:t>元。供应商在报价时须将采购代理服务费综合考虑在内。</w:t>
      </w:r>
    </w:p>
    <w:p>
      <w:pPr>
        <w:widowControl/>
        <w:spacing w:before="99" w:after="99" w:line="360" w:lineRule="auto"/>
        <w:ind w:right="96" w:firstLine="442" w:firstLineChars="200"/>
        <w:jc w:val="left"/>
        <w:rPr>
          <w:rFonts w:hint="eastAsia"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开户银行：中国农业银行股份有限公司龙港市支行</w:t>
      </w:r>
    </w:p>
    <w:p>
      <w:pPr>
        <w:widowControl/>
        <w:spacing w:before="99" w:after="99" w:line="360" w:lineRule="auto"/>
        <w:ind w:right="96" w:firstLine="442" w:firstLineChars="200"/>
        <w:jc w:val="left"/>
        <w:rPr>
          <w:rFonts w:hint="eastAsia"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 xml:space="preserve">开户名称：浙江天诚工程咨询有限公司龙港市分公司         </w:t>
      </w:r>
    </w:p>
    <w:p>
      <w:pPr>
        <w:widowControl/>
        <w:spacing w:before="99" w:after="99" w:line="360" w:lineRule="auto"/>
        <w:ind w:right="96" w:firstLine="442" w:firstLineChars="200"/>
        <w:jc w:val="left"/>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u w:val="single"/>
        </w:rPr>
        <w:t>开户帐号：19255601040050954</w:t>
      </w:r>
    </w:p>
    <w:p>
      <w:pPr>
        <w:rPr>
          <w:rFonts w:hint="eastAsia" w:asciiTheme="minorEastAsia" w:hAnsiTheme="minorEastAsia" w:eastAsiaTheme="minorEastAsia" w:cstheme="minorEastAsia"/>
          <w:b/>
          <w:bCs/>
          <w:sz w:val="36"/>
          <w:szCs w:val="36"/>
        </w:rPr>
      </w:pPr>
      <w:bookmarkStart w:id="30" w:name="_Toc21083"/>
      <w:bookmarkStart w:id="31" w:name="_Toc31661"/>
      <w:bookmarkStart w:id="32" w:name="_Toc15325"/>
      <w:bookmarkStart w:id="33" w:name="_Toc7451"/>
      <w:bookmarkStart w:id="34" w:name="_Toc9045"/>
      <w:bookmarkStart w:id="35" w:name="_Toc8608"/>
      <w:r>
        <w:rPr>
          <w:rFonts w:hint="eastAsia" w:asciiTheme="minorEastAsia" w:hAnsiTheme="minorEastAsia" w:eastAsiaTheme="minorEastAsia" w:cstheme="minorEastAsia"/>
          <w:b/>
          <w:bCs/>
          <w:sz w:val="36"/>
          <w:szCs w:val="36"/>
        </w:rPr>
        <w:br w:type="page"/>
      </w:r>
    </w:p>
    <w:p>
      <w:pPr>
        <w:pStyle w:val="20"/>
        <w:adjustRightInd w:val="0"/>
        <w:snapToGrid w:val="0"/>
        <w:spacing w:line="420" w:lineRule="atLeast"/>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36"/>
          <w:szCs w:val="36"/>
        </w:rPr>
        <w:t>第四章 合同主要条款</w:t>
      </w:r>
      <w:bookmarkEnd w:id="30"/>
      <w:bookmarkEnd w:id="31"/>
      <w:bookmarkEnd w:id="32"/>
      <w:bookmarkEnd w:id="33"/>
      <w:bookmarkEnd w:id="34"/>
      <w:bookmarkEnd w:id="35"/>
      <w:r>
        <w:rPr>
          <w:rFonts w:hint="eastAsia" w:asciiTheme="minorEastAsia" w:hAnsiTheme="minorEastAsia" w:eastAsiaTheme="minorEastAsia" w:cstheme="minorEastAsia"/>
          <w:b/>
          <w:bCs/>
          <w:sz w:val="36"/>
          <w:szCs w:val="36"/>
        </w:rPr>
        <w:t>（参考格式）</w:t>
      </w:r>
    </w:p>
    <w:p>
      <w:pPr>
        <w:autoSpaceDE w:val="0"/>
        <w:autoSpaceDN w:val="0"/>
        <w:spacing w:line="460" w:lineRule="exact"/>
        <w:textAlignment w:val="bottom"/>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注：该合同样本仅做参考，中标后，以采购人与供应商签订的正式合同为准，但此合同的条款不得偏离。</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项目名称：                                              项目编号：</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甲方：（买方）</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乙方：（卖方）</w:t>
      </w:r>
    </w:p>
    <w:p>
      <w:pPr>
        <w:pStyle w:val="20"/>
        <w:tabs>
          <w:tab w:val="left" w:pos="900"/>
        </w:tabs>
        <w:snapToGrid w:val="0"/>
        <w:spacing w:line="360" w:lineRule="auto"/>
        <w:ind w:firstLine="431" w:firstLineChars="196"/>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color w:val="000000"/>
          <w:sz w:val="22"/>
          <w:szCs w:val="22"/>
        </w:rPr>
        <w:t>甲、乙双方根据</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单位名称）</w:t>
      </w:r>
      <w:r>
        <w:rPr>
          <w:rFonts w:hint="eastAsia" w:asciiTheme="minorEastAsia" w:hAnsiTheme="minorEastAsia" w:eastAsiaTheme="minorEastAsia" w:cstheme="minorEastAsia"/>
          <w:color w:val="000000"/>
          <w:sz w:val="22"/>
          <w:szCs w:val="22"/>
          <w:u w:val="single"/>
        </w:rPr>
        <w:t xml:space="preserve">     </w:t>
      </w:r>
    </w:p>
    <w:p>
      <w:pPr>
        <w:pStyle w:val="20"/>
        <w:tabs>
          <w:tab w:val="left" w:pos="900"/>
        </w:tabs>
        <w:snapToGrid w:val="0"/>
        <w:spacing w:line="360" w:lineRule="auto"/>
        <w:ind w:firstLine="110" w:firstLineChars="5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项目招标的结果，签署本合同。</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一、采购标的</w:t>
      </w:r>
    </w:p>
    <w:tbl>
      <w:tblPr>
        <w:tblStyle w:val="3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60"/>
        <w:gridCol w:w="1211"/>
        <w:gridCol w:w="1159"/>
        <w:gridCol w:w="1159"/>
        <w:gridCol w:w="1112"/>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6"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bookmarkStart w:id="36" w:name="_Toc366245552"/>
            <w:bookmarkStart w:id="37" w:name="_Toc365312072"/>
            <w:r>
              <w:rPr>
                <w:rFonts w:hint="eastAsia" w:asciiTheme="minorEastAsia" w:hAnsiTheme="minorEastAsia" w:eastAsiaTheme="minorEastAsia" w:cstheme="minorEastAsia"/>
                <w:color w:val="000000"/>
                <w:sz w:val="22"/>
                <w:szCs w:val="22"/>
              </w:rPr>
              <w:t>序号</w:t>
            </w:r>
          </w:p>
        </w:tc>
        <w:tc>
          <w:tcPr>
            <w:tcW w:w="19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货物名称</w:t>
            </w:r>
          </w:p>
        </w:tc>
        <w:tc>
          <w:tcPr>
            <w:tcW w:w="1211"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规格、型号等技术参数</w:t>
            </w:r>
          </w:p>
        </w:tc>
        <w:tc>
          <w:tcPr>
            <w:tcW w:w="1159"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产地</w:t>
            </w:r>
          </w:p>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品牌</w:t>
            </w:r>
          </w:p>
        </w:tc>
        <w:tc>
          <w:tcPr>
            <w:tcW w:w="1159"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单位</w:t>
            </w:r>
          </w:p>
        </w:tc>
        <w:tc>
          <w:tcPr>
            <w:tcW w:w="1112"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数量</w:t>
            </w:r>
          </w:p>
        </w:tc>
        <w:tc>
          <w:tcPr>
            <w:tcW w:w="11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单价</w:t>
            </w:r>
          </w:p>
        </w:tc>
        <w:tc>
          <w:tcPr>
            <w:tcW w:w="1160" w:type="dxa"/>
            <w:vAlign w:val="center"/>
          </w:tcPr>
          <w:p>
            <w:pPr>
              <w:pStyle w:val="20"/>
              <w:tabs>
                <w:tab w:val="left" w:pos="900"/>
              </w:tabs>
              <w:snapToGrid w:val="0"/>
              <w:spacing w:before="120" w:after="120"/>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9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211"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59"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12"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c>
          <w:tcPr>
            <w:tcW w:w="1160" w:type="dxa"/>
          </w:tcPr>
          <w:p>
            <w:pPr>
              <w:pStyle w:val="20"/>
              <w:tabs>
                <w:tab w:val="left" w:pos="900"/>
              </w:tabs>
              <w:snapToGrid w:val="0"/>
              <w:spacing w:before="120" w:after="120"/>
              <w:rPr>
                <w:rFonts w:asciiTheme="minorEastAsia" w:hAnsiTheme="minorEastAsia" w:eastAsiaTheme="minorEastAsia" w:cstheme="minorEastAsia"/>
                <w:color w:val="000000"/>
                <w:sz w:val="22"/>
                <w:szCs w:val="22"/>
              </w:rPr>
            </w:pPr>
          </w:p>
        </w:tc>
      </w:tr>
    </w:tbl>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二、合同</w:t>
      </w:r>
      <w:bookmarkEnd w:id="36"/>
      <w:bookmarkEnd w:id="37"/>
      <w:r>
        <w:rPr>
          <w:rFonts w:hint="eastAsia" w:asciiTheme="minorEastAsia" w:hAnsiTheme="minorEastAsia" w:eastAsiaTheme="minorEastAsia" w:cstheme="minorEastAsia"/>
          <w:b/>
          <w:color w:val="000000"/>
          <w:sz w:val="22"/>
          <w:szCs w:val="22"/>
        </w:rPr>
        <w:t>金额</w:t>
      </w:r>
    </w:p>
    <w:p>
      <w:pPr>
        <w:pStyle w:val="20"/>
        <w:tabs>
          <w:tab w:val="left" w:pos="900"/>
        </w:tabs>
        <w:snapToGrid w:val="0"/>
        <w:spacing w:line="360" w:lineRule="auto"/>
        <w:ind w:left="407" w:leftChars="194"/>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本合同金额为（大写）：</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元（￥</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元）人民币。</w:t>
      </w:r>
    </w:p>
    <w:p>
      <w:pPr>
        <w:pStyle w:val="20"/>
        <w:tabs>
          <w:tab w:val="left" w:pos="900"/>
        </w:tabs>
        <w:snapToGrid w:val="0"/>
        <w:spacing w:line="360" w:lineRule="auto"/>
        <w:ind w:left="7" w:firstLine="418" w:firstLineChars="19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合同价款中包括产品成本费、折旧费、运输费、安装调试费、辅料费、系统集成、技术、售后服务、质保及后期维护费用、招标代理服务费和税金等一切费用，即供应商所投的投标报价为供应商所能承受的整个项目的一次性最终报价，如有漏项，视同已包含在其它项目中，合同总价和综合单价不做调整。</w:t>
      </w:r>
    </w:p>
    <w:p>
      <w:pPr>
        <w:pStyle w:val="20"/>
        <w:tabs>
          <w:tab w:val="left" w:pos="900"/>
        </w:tabs>
        <w:snapToGrid w:val="0"/>
        <w:spacing w:line="360" w:lineRule="auto"/>
        <w:ind w:left="7" w:firstLine="418" w:firstLineChars="19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本项目中标方管理服务包含跟本项目有关的一切费用和协调事项，中标后，不得以不了解招标文件、施工现场和周围环境等情况为借口，而提出额外补偿等要求。</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三、技术资料</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1.乙方应按招标文件规定的时间向甲方提供使用货物的有关技术资料。</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tabs>
          <w:tab w:val="left" w:pos="900"/>
        </w:tabs>
        <w:snapToGrid w:val="0"/>
        <w:spacing w:line="360" w:lineRule="auto"/>
        <w:ind w:left="378" w:hanging="378" w:hangingChars="171"/>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四、知识产权</w:t>
      </w:r>
    </w:p>
    <w:p>
      <w:pPr>
        <w:pStyle w:val="20"/>
        <w:tabs>
          <w:tab w:val="left" w:pos="900"/>
        </w:tabs>
        <w:snapToGrid w:val="0"/>
        <w:spacing w:line="360" w:lineRule="auto"/>
        <w:ind w:firstLine="440" w:firstLineChars="200"/>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color w:val="000000"/>
          <w:sz w:val="22"/>
          <w:szCs w:val="22"/>
        </w:rPr>
        <w:t>乙方应保证所提供的货物或其任何一部分均不会侵犯任何第三方的知识产权</w:t>
      </w:r>
      <w:r>
        <w:rPr>
          <w:rFonts w:hint="eastAsia" w:asciiTheme="minorEastAsia" w:hAnsiTheme="minorEastAsia" w:eastAsiaTheme="minorEastAsia" w:cstheme="minorEastAsia"/>
          <w:bCs/>
          <w:color w:val="000000"/>
          <w:sz w:val="22"/>
          <w:szCs w:val="22"/>
        </w:rPr>
        <w:t>。</w:t>
      </w:r>
      <w:r>
        <w:rPr>
          <w:rFonts w:hint="eastAsia" w:asciiTheme="minorEastAsia" w:hAnsiTheme="minorEastAsia" w:eastAsiaTheme="minorEastAsia" w:cstheme="minorEastAsia"/>
          <w:color w:val="000000"/>
          <w:sz w:val="22"/>
          <w:szCs w:val="22"/>
        </w:rPr>
        <w:t>一旦出现侵权，索赔或诉讼，乙方应承担全部责任。</w:t>
      </w:r>
    </w:p>
    <w:p>
      <w:pPr>
        <w:pStyle w:val="20"/>
        <w:tabs>
          <w:tab w:val="left" w:pos="900"/>
        </w:tabs>
        <w:snapToGrid w:val="0"/>
        <w:spacing w:line="360" w:lineRule="auto"/>
        <w:rPr>
          <w:rFonts w:asciiTheme="minorEastAsia" w:hAnsiTheme="minorEastAsia" w:eastAsiaTheme="minorEastAsia" w:cstheme="minorEastAsia"/>
          <w:color w:val="000000"/>
          <w:sz w:val="22"/>
          <w:szCs w:val="22"/>
          <w:u w:val="single"/>
        </w:rPr>
      </w:pPr>
      <w:r>
        <w:rPr>
          <w:rFonts w:hint="eastAsia" w:asciiTheme="minorEastAsia" w:hAnsiTheme="minorEastAsia" w:eastAsiaTheme="minorEastAsia" w:cstheme="minorEastAsia"/>
          <w:b/>
          <w:color w:val="000000"/>
          <w:sz w:val="22"/>
          <w:szCs w:val="22"/>
        </w:rPr>
        <w:t>五、产权担保</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乙方保证所交付的货物的所有权完全属于乙方且无任何抵押、查封等产权瑕疵。</w:t>
      </w:r>
    </w:p>
    <w:p>
      <w:pPr>
        <w:pStyle w:val="20"/>
        <w:tabs>
          <w:tab w:val="left" w:pos="900"/>
        </w:tabs>
        <w:snapToGrid w:val="0"/>
        <w:spacing w:line="360" w:lineRule="auto"/>
        <w:ind w:left="375" w:hanging="375" w:hangingChars="17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六、履约保证金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1.履约担保的金额：按合同总金额的1%计取。</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履约担保的形式：银行转账或电汇形式或银行保函或保险公司保证保险</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2.如乙方未能履行、或未能完全履行合同规定的义务，甲方有权从履约保证金中取得补偿。</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3.乙方货物全部到场</w:t>
      </w:r>
      <w:r>
        <w:rPr>
          <w:rFonts w:hint="eastAsia" w:asciiTheme="minorEastAsia" w:hAnsiTheme="minorEastAsia" w:eastAsiaTheme="minorEastAsia" w:cstheme="minorEastAsia"/>
          <w:color w:val="000000"/>
          <w:kern w:val="0"/>
          <w:sz w:val="22"/>
          <w:szCs w:val="22"/>
        </w:rPr>
        <w:t>、</w:t>
      </w:r>
      <w:r>
        <w:rPr>
          <w:rFonts w:hint="eastAsia" w:asciiTheme="minorEastAsia" w:hAnsiTheme="minorEastAsia" w:eastAsiaTheme="minorEastAsia" w:cstheme="minorEastAsia"/>
          <w:color w:val="000000"/>
          <w:sz w:val="22"/>
          <w:szCs w:val="22"/>
        </w:rPr>
        <w:t>安装完成、验收合格，且在甲方扣除本条第2款约定的应得补偿后，余额在质保期满2年后，无息退还履约保证金。</w:t>
      </w:r>
    </w:p>
    <w:p>
      <w:pPr>
        <w:pStyle w:val="20"/>
        <w:tabs>
          <w:tab w:val="left" w:pos="900"/>
        </w:tabs>
        <w:snapToGrid w:val="0"/>
        <w:spacing w:line="360" w:lineRule="auto"/>
        <w:ind w:left="375" w:hanging="375" w:hangingChars="17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七、转包或分包</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1.本合同范围的货物，应由乙方直接供应，不得转让他人供应。</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2.除非得到甲方的书面同意，乙方不得将本合同范围的货物全部或部分分包给他人供应。</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3.如有转让和未经甲方同意的分包行为，甲方有权单方面解除合同、没收乙方的履约保证金并追究乙方的违约责任。</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八、交货和验收</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1.交货时间：</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交货地点：</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2.乙方应对提供的货物作出全面自查和整理，并列出清单，作为甲方验收和使用的技术条件依据，清单应随提供的验收资料交给甲方。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3.乙方提供的货物应包括本合同“第一条 采购标的”包括的全部货物及其附（辅）件、资料。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甲方应当在到货后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需要乙方对货物进行安装调试的，甲乙双方应在货物安装调试完毕后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a.重新调试直至合格为止；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b.要求乙方对货物进行免费更换，然后重新调试直至合格为止。</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乙方在重新调试或更换过程中所产生的所有费用均由乙方负担。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6.验收合格的，由双方共同签署《验收报告》。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7.甲方可以视项目情况聘请专业人员或本项目的落标供应商参与验收，大型或复杂项目，以及特种货物应当邀请国家认可的第三方质量检测机构参与验收。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8.货物验收包括：货物包装是否完好，产地生产厂家名称、品牌、型号、规格、数量、外观质量、配置、内在质量，以及调试运行是否达到“第一条 采购标的”规定的效果。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9.货物达不到本合同“第一条 采购标的”规定的数量、质量要求和运行效果，甲方有权拒收，并可以解除合同；由此引起甲方损失及赔偿责任由乙方承担。 </w:t>
      </w:r>
    </w:p>
    <w:p>
      <w:pPr>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九、货款支付</w:t>
      </w:r>
    </w:p>
    <w:p>
      <w:pPr>
        <w:pStyle w:val="20"/>
        <w:tabs>
          <w:tab w:val="left" w:pos="900"/>
        </w:tabs>
        <w:snapToGrid w:val="0"/>
        <w:spacing w:line="360" w:lineRule="auto"/>
        <w:ind w:firstLine="440" w:firstLineChars="200"/>
        <w:rPr>
          <w:rFonts w:asciiTheme="minorEastAsia" w:hAnsiTheme="minorEastAsia" w:eastAsiaTheme="minorEastAsia" w:cstheme="minorEastAsia"/>
          <w:bCs/>
          <w:color w:val="000000"/>
          <w:sz w:val="22"/>
          <w:szCs w:val="22"/>
        </w:rPr>
      </w:pPr>
      <w:r>
        <w:rPr>
          <w:rFonts w:hint="eastAsia" w:asciiTheme="minorEastAsia" w:hAnsiTheme="minorEastAsia" w:eastAsiaTheme="minorEastAsia" w:cstheme="minorEastAsia"/>
          <w:bCs/>
          <w:color w:val="000000"/>
          <w:sz w:val="22"/>
          <w:szCs w:val="22"/>
        </w:rPr>
        <w:t>1.付款方式：</w:t>
      </w:r>
      <w:r>
        <w:rPr>
          <w:rFonts w:hint="eastAsia" w:asciiTheme="minorEastAsia" w:hAnsiTheme="minorEastAsia" w:eastAsiaTheme="minorEastAsia" w:cstheme="minorEastAsia"/>
          <w:bCs/>
          <w:color w:val="000000"/>
          <w:sz w:val="22"/>
          <w:szCs w:val="22"/>
          <w:u w:val="single"/>
        </w:rPr>
        <w:t xml:space="preserve">                 </w:t>
      </w:r>
      <w:r>
        <w:rPr>
          <w:rFonts w:hint="eastAsia" w:asciiTheme="minorEastAsia" w:hAnsiTheme="minorEastAsia" w:eastAsiaTheme="minorEastAsia" w:cstheme="minorEastAsia"/>
          <w:bCs/>
          <w:sz w:val="22"/>
          <w:szCs w:val="22"/>
        </w:rPr>
        <w:t>。</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color w:val="000000"/>
          <w:sz w:val="22"/>
          <w:szCs w:val="22"/>
        </w:rPr>
        <w:t>2.</w:t>
      </w:r>
      <w:r>
        <w:rPr>
          <w:rFonts w:hint="eastAsia" w:asciiTheme="minorEastAsia" w:hAnsiTheme="minorEastAsia" w:eastAsiaTheme="minorEastAsia" w:cstheme="minorEastAsia"/>
          <w:color w:val="000000"/>
          <w:sz w:val="22"/>
          <w:szCs w:val="22"/>
        </w:rPr>
        <w:t>当采购数量与实际使用数量不一致时，乙方应根据实际使用量供货，合同的最终结算金额按实际使用量乘以成交单价进行计算。</w:t>
      </w:r>
    </w:p>
    <w:p>
      <w:pPr>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十、税费</w:t>
      </w:r>
    </w:p>
    <w:p>
      <w:pPr>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本合同执行中相关的一切税费均由乙方负担。</w:t>
      </w:r>
    </w:p>
    <w:p>
      <w:pPr>
        <w:pStyle w:val="20"/>
        <w:tabs>
          <w:tab w:val="left" w:pos="900"/>
        </w:tabs>
        <w:snapToGrid w:val="0"/>
        <w:spacing w:line="360" w:lineRule="auto"/>
        <w:ind w:left="378" w:hanging="378" w:hangingChars="171"/>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color w:val="000000"/>
          <w:sz w:val="22"/>
          <w:szCs w:val="22"/>
        </w:rPr>
        <w:t>十一、质量要求</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乙方应按招标文件规定和投标文件承诺（取二者中性能优者）的货物性能、技术要求、质量标准向甲方提供未经使用的全新产品，并应附有完整、详细的技术资料和说明文件。货物符合实行国家“三包”规定的，应执行“三包”规定。</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经政府采购管理部门批准采购的进口产品应执行原产地国家有关部门最新颁布的相应正式标准并提供国家商检、海关报关等手续。</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2.乙方提供的货物在质保期内因货物本身的质量问题发生故障，乙方应负责免费更换。对达不到技术要求者，根据实际情况，经双方协商，可按以下办法处理：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⑴更换：由乙方承担所发生的全部费用。</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⑵贬值处理：由甲乙双方合议定价。</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⑶退货处理：乙方应退还甲方支付的合同款，同时应承担该货物的直接费用（运输、保险、检验、货款利息及银行手续费等）。</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十二、调试和验收</w:t>
      </w:r>
      <w:r>
        <w:rPr>
          <w:rFonts w:hint="eastAsia" w:asciiTheme="minorEastAsia" w:hAnsiTheme="minorEastAsia" w:eastAsiaTheme="minorEastAsia" w:cstheme="minorEastAsia"/>
          <w:color w:val="000000"/>
          <w:sz w:val="22"/>
          <w:szCs w:val="22"/>
        </w:rPr>
        <w:t> </w:t>
      </w:r>
    </w:p>
    <w:p>
      <w:pPr>
        <w:pStyle w:val="20"/>
        <w:tabs>
          <w:tab w:val="left" w:pos="900"/>
        </w:tabs>
        <w:snapToGrid w:val="0"/>
        <w:spacing w:line="360" w:lineRule="auto"/>
        <w:ind w:firstLine="440" w:firstLineChars="200"/>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 w:val="22"/>
          <w:szCs w:val="22"/>
        </w:rPr>
        <w:t>1.甲方对乙方提交的货物依据招标文件上的技术规格要求和国家有关质量标准进行现场初步验收，初步验收不合格的不予签收、不准安装。</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2.乙方交货前应对产品作出全面检查和对验收文件进行整理，并列出清单，作为甲方收货验收和使用的技术条件依据，检验的结果应随货物交甲方。</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隐蔽工程在隐蔽以前，乙方应当通知甲方检查。</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3.乙方需负责培训甲方的使用操作人员，直到熟练操作为止，甲方才作最终验收。</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4.对技术复杂的货物，甲方应请国家认可的专业检测机构参与初步验收及最终验收，并由其出具质量检测报告。</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5.验收时乙方必须在现场，验收完毕后作出验收结果报告；验收费用由乙方负责。</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6.中标后，在不改变整体外观的前提下，甲方有权根据功能需求对箱体进行适当调整，乙方应积极配合，并提供满足甲方要求的产品，最终经甲方确认无误后，乙方即可进行批量生产。</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十三、售后服务</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1.质保期为自货物通过最终验收之日起</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个月。若国家有明确规定的质量保证期高于此质量保证期的，执行国家规定。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2.在货物质保期内，乙方应对由于设计、工艺、质量（含环保节能要求）、材料的缺陷而发生的任何不足或故障负责，并解决存在的问题。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3.对不符合本合同要求的货物应立即进行调换，调换本身并不影响甲方就其损失向乙方索赔的权利。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4.货物安装调试完成后，乙方应继续向甲方提供良好的技术支持。应当由专门人员从事此项工作，并提供全天候的热线技术支持服务，应当对甲方所反映的任何问题在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小时之内做出及时响应，在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小时之内赶到现场实地解决问题。若问题、故障在检修</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工作日后仍无法解决，乙方应在</w:t>
      </w:r>
      <w:r>
        <w:rPr>
          <w:rFonts w:hint="eastAsia" w:asciiTheme="minorEastAsia" w:hAnsiTheme="minorEastAsia" w:eastAsiaTheme="minorEastAsia" w:cstheme="minorEastAsia"/>
          <w:color w:val="000000"/>
          <w:sz w:val="22"/>
          <w:szCs w:val="22"/>
          <w:u w:val="single"/>
        </w:rPr>
        <w:t xml:space="preserve">   </w:t>
      </w:r>
      <w:r>
        <w:rPr>
          <w:rFonts w:hint="eastAsia" w:asciiTheme="minorEastAsia" w:hAnsiTheme="minorEastAsia" w:eastAsiaTheme="minorEastAsia" w:cstheme="minorEastAsia"/>
          <w:color w:val="000000"/>
          <w:sz w:val="22"/>
          <w:szCs w:val="22"/>
        </w:rPr>
        <w:t>日内免费提供不低于故障货物规格型号档次的备用货物供甲方使用，直至故障货物修复。 </w:t>
      </w:r>
    </w:p>
    <w:p>
      <w:pPr>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5.乙方应当建立健全售后服务体系，确保货物正常运行。 </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6.乙方应负责货物及主要部件、配件维修更换。质保期内，乙方对货物（人为故意损坏除外）提供全免费保修或免费更换；质保期后，收取维修成本费（备品备件乙方应以投标文件承诺的优惠价格提供）。</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十四、违约责任</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1.甲方无正当理由拒收货物的，甲方向乙方偿付拒收货款总值的百分之五违约金。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2.甲方无故逾期验收和办理货款支付手续的,甲方应按逾期付款总额每日千分之五向乙方支付违约金。</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3.乙方逾期交付货物的，乙方应按逾期交货总额每日千分之五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在乙方承诺的或国家规定的质量保证期内（取两者中最长的期限），如经乙方两次维修，货物仍不能达到合同约定的质量标准、运行效果的，甲方有权要求乙方更换为全新合格货物并按本条第4款处理，同时，乙方还须赔偿甲方因此遭受的损失。</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十五、不可抗力事件处理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1.在合同有效期内，任何一方因不可抗力事件导致不能履行合同，则合同履行期可延长，其延长期与不可抗力影响期相同。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2.不可抗力事件发生后，应立即通知对方，并寄送有关权威机构出具的证明。</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3.不可抗力事件延续120天以上，双方应通过友好协商，确定是否继续履行合同。</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十六、诉讼</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双方在执行合同中所发生的一切争议，应通过协商解决。如协商不成，可向甲方所在地法院起诉。</w:t>
      </w:r>
    </w:p>
    <w:p>
      <w:pPr>
        <w:pStyle w:val="20"/>
        <w:tabs>
          <w:tab w:val="left" w:pos="900"/>
        </w:tabs>
        <w:snapToGrid w:val="0"/>
        <w:spacing w:line="360" w:lineRule="auto"/>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十七、合同生效及其它</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1.合同经双方法定代表人或授权代表签字并加盖单位公章后生效。</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2.合同执行中涉及采购资金和采购内容修改或补充的，须经财政部门审批，并签书面补充协议报政府采购监督管理部门备案，方可作为主合同不可分割的一部分。</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3.本合同未尽事宜，遵照《</w:t>
      </w:r>
      <w:r>
        <w:rPr>
          <w:rFonts w:hint="eastAsia" w:asciiTheme="minorEastAsia" w:hAnsiTheme="minorEastAsia" w:eastAsiaTheme="minorEastAsia" w:cstheme="minorEastAsia"/>
          <w:color w:val="000000"/>
          <w:sz w:val="22"/>
          <w:szCs w:val="22"/>
          <w:lang w:val="en-US" w:eastAsia="zh-CN"/>
        </w:rPr>
        <w:t>民法典</w:t>
      </w:r>
      <w:r>
        <w:rPr>
          <w:rFonts w:hint="eastAsia" w:asciiTheme="minorEastAsia" w:hAnsiTheme="minorEastAsia" w:eastAsiaTheme="minorEastAsia" w:cstheme="minorEastAsia"/>
          <w:color w:val="000000"/>
          <w:sz w:val="22"/>
          <w:szCs w:val="22"/>
        </w:rPr>
        <w:t>》有关条文执行。</w:t>
      </w:r>
    </w:p>
    <w:p>
      <w:pPr>
        <w:pStyle w:val="20"/>
        <w:tabs>
          <w:tab w:val="left" w:pos="900"/>
        </w:tabs>
        <w:snapToGrid w:val="0"/>
        <w:spacing w:line="360" w:lineRule="auto"/>
        <w:ind w:firstLine="440" w:firstLine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4.本合同一式陆份，具有同等法律效力，甲乙双方各执二份； 用于采购代理机构存档一份；政府采购管理部门备案一份。</w:t>
      </w:r>
    </w:p>
    <w:p>
      <w:pPr>
        <w:pStyle w:val="20"/>
        <w:tabs>
          <w:tab w:val="left" w:pos="900"/>
        </w:tabs>
        <w:snapToGrid w:val="0"/>
        <w:spacing w:line="360" w:lineRule="auto"/>
        <w:ind w:left="440" w:hanging="440" w:hangingChars="2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甲    方：                               乙方： </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地    址：                               地址：</w:t>
      </w:r>
    </w:p>
    <w:p>
      <w:pPr>
        <w:pStyle w:val="20"/>
        <w:tabs>
          <w:tab w:val="left" w:pos="900"/>
        </w:tabs>
        <w:snapToGrid w:val="0"/>
        <w:spacing w:line="360" w:lineRule="auto"/>
        <w:ind w:firstLine="220" w:firstLineChars="1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联系方式：                               联系方式：</w:t>
      </w:r>
    </w:p>
    <w:p>
      <w:pPr>
        <w:pStyle w:val="20"/>
        <w:tabs>
          <w:tab w:val="left" w:pos="900"/>
        </w:tabs>
        <w:snapToGrid w:val="0"/>
        <w:spacing w:line="360"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  法定（授权）代表人：                     法定（授权）代表人：</w:t>
      </w:r>
    </w:p>
    <w:p>
      <w:pPr>
        <w:ind w:firstLine="220" w:firstLineChars="100"/>
        <w:rPr>
          <w:rFonts w:asciiTheme="minorEastAsia" w:hAnsiTheme="minorEastAsia" w:eastAsiaTheme="minorEastAsia" w:cstheme="minorEastAsia"/>
        </w:rPr>
      </w:pPr>
      <w:r>
        <w:rPr>
          <w:rFonts w:hint="eastAsia" w:asciiTheme="minorEastAsia" w:hAnsiTheme="minorEastAsia" w:eastAsiaTheme="minorEastAsia" w:cstheme="minorEastAsia"/>
          <w:color w:val="000000"/>
          <w:sz w:val="22"/>
          <w:szCs w:val="22"/>
        </w:rPr>
        <w:t>签字日期：      年  月  日               签字日期：      年  月  日</w:t>
      </w:r>
    </w:p>
    <w:p>
      <w:pPr>
        <w:widowControl/>
        <w:jc w:val="left"/>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br w:type="page"/>
      </w:r>
    </w:p>
    <w:p>
      <w:pPr>
        <w:pStyle w:val="20"/>
        <w:adjustRightInd w:val="0"/>
        <w:snapToGrid w:val="0"/>
        <w:spacing w:line="400" w:lineRule="exact"/>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第五部分    投标文件格式</w:t>
      </w:r>
    </w:p>
    <w:p>
      <w:pPr>
        <w:pStyle w:val="20"/>
        <w:adjustRightInd w:val="0"/>
        <w:snapToGrid w:val="0"/>
        <w:spacing w:line="500" w:lineRule="exact"/>
        <w:rPr>
          <w:rFonts w:asciiTheme="minorEastAsia" w:hAnsiTheme="minorEastAsia" w:eastAsiaTheme="minorEastAsia" w:cstheme="minorEastAsia"/>
          <w:sz w:val="30"/>
        </w:rPr>
      </w:pPr>
    </w:p>
    <w:p>
      <w:pPr>
        <w:pStyle w:val="21"/>
        <w:rPr>
          <w:rFonts w:asciiTheme="minorEastAsia" w:hAnsiTheme="minorEastAsia" w:eastAsiaTheme="minorEastAsia" w:cstheme="minorEastAsia"/>
        </w:rPr>
      </w:pPr>
    </w:p>
    <w:p>
      <w:pPr>
        <w:pStyle w:val="20"/>
        <w:adjustRightInd w:val="0"/>
        <w:snapToGrid w:val="0"/>
        <w:spacing w:line="500" w:lineRule="exact"/>
        <w:rPr>
          <w:rFonts w:asciiTheme="minorEastAsia" w:hAnsiTheme="minorEastAsia" w:eastAsiaTheme="minorEastAsia" w:cstheme="minorEastAsia"/>
          <w:sz w:val="30"/>
        </w:rPr>
      </w:pPr>
    </w:p>
    <w:p>
      <w:pPr>
        <w:widowControl/>
        <w:snapToGrid w:val="0"/>
        <w:spacing w:line="460" w:lineRule="atLeas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（未提供格式的由供应商自拟）</w:t>
      </w:r>
    </w:p>
    <w:p>
      <w:pPr>
        <w:spacing w:line="360" w:lineRule="auto"/>
        <w:ind w:firstLine="424" w:firstLineChars="151"/>
        <w:rPr>
          <w:rFonts w:asciiTheme="minorEastAsia" w:hAnsiTheme="minorEastAsia" w:eastAsiaTheme="minorEastAsia" w:cstheme="minorEastAsia"/>
          <w:b/>
          <w:color w:val="000000"/>
          <w:sz w:val="28"/>
          <w:u w:val="single"/>
        </w:rPr>
      </w:pPr>
      <w:r>
        <w:rPr>
          <w:rFonts w:hint="eastAsia" w:asciiTheme="minorEastAsia" w:hAnsiTheme="minorEastAsia" w:eastAsiaTheme="minorEastAsia" w:cstheme="minorEastAsia"/>
          <w:b/>
          <w:color w:val="000000"/>
          <w:sz w:val="28"/>
        </w:rPr>
        <w:t>重要提示：</w:t>
      </w:r>
    </w:p>
    <w:p>
      <w:pPr>
        <w:spacing w:line="360" w:lineRule="auto"/>
        <w:ind w:firstLine="424" w:firstLineChars="151"/>
        <w:jc w:val="left"/>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sz w:val="28"/>
          <w:szCs w:val="28"/>
        </w:rPr>
        <w:t>（1）</w:t>
      </w:r>
      <w:r>
        <w:rPr>
          <w:rFonts w:hint="eastAsia" w:asciiTheme="minorEastAsia" w:hAnsiTheme="minorEastAsia" w:eastAsiaTheme="minorEastAsia" w:cstheme="minorEastAsia"/>
          <w:b/>
          <w:color w:val="000000"/>
          <w:sz w:val="28"/>
          <w:szCs w:val="28"/>
          <w:u w:val="single"/>
        </w:rPr>
        <w:t>本章节中有提供格式的，投标供应商可参照本章节提供的格式进行编制（格式中要求提供相关证明材料的还需后附相关证明材料）。并按格式要求在指定位置根据要求进行电子签章，否则视为未提供；</w:t>
      </w:r>
    </w:p>
    <w:p>
      <w:pPr>
        <w:pStyle w:val="20"/>
        <w:adjustRightInd w:val="0"/>
        <w:snapToGrid w:val="0"/>
        <w:spacing w:line="46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8"/>
          <w:szCs w:val="28"/>
        </w:rPr>
        <w:t>（2）</w:t>
      </w:r>
      <w:r>
        <w:rPr>
          <w:rFonts w:hint="eastAsia" w:asciiTheme="minorEastAsia" w:hAnsiTheme="minorEastAsia" w:eastAsiaTheme="minorEastAsia" w:cstheme="minorEastAsia"/>
          <w:b/>
          <w:color w:val="000000"/>
          <w:sz w:val="28"/>
          <w:szCs w:val="28"/>
          <w:u w:val="single"/>
        </w:rPr>
        <w:t>本章节未提供格式的，请各投标单位自行拟定格式，并加盖单位公章并由法定代表人或其授权代表签署（签字或盖章），否则视为未提供；</w:t>
      </w: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15"/>
        <w:ind w:firstLine="0" w:firstLineChars="0"/>
        <w:rPr>
          <w:rFonts w:asciiTheme="minorEastAsia" w:hAnsiTheme="minorEastAsia" w:eastAsiaTheme="minorEastAsia" w:cstheme="minorEastAsia"/>
          <w:sz w:val="30"/>
        </w:rPr>
      </w:pPr>
    </w:p>
    <w:p>
      <w:pPr>
        <w:pStyle w:val="15"/>
        <w:ind w:firstLine="300"/>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pStyle w:val="20"/>
        <w:adjustRightInd w:val="0"/>
        <w:snapToGrid w:val="0"/>
        <w:spacing w:line="500" w:lineRule="exact"/>
        <w:rPr>
          <w:rFonts w:asciiTheme="minorEastAsia" w:hAnsiTheme="minorEastAsia" w:eastAsiaTheme="minorEastAsia" w:cstheme="minorEastAsia"/>
          <w:sz w:val="30"/>
        </w:rPr>
      </w:pPr>
    </w:p>
    <w:p>
      <w:pPr>
        <w:tabs>
          <w:tab w:val="left" w:pos="7457"/>
        </w:tabs>
        <w:autoSpaceDE w:val="0"/>
        <w:autoSpaceDN w:val="0"/>
        <w:adjustRightInd w:val="0"/>
        <w:jc w:val="left"/>
        <w:rPr>
          <w:rFonts w:asciiTheme="minorEastAsia" w:hAnsiTheme="minorEastAsia" w:eastAsiaTheme="minorEastAsia" w:cstheme="minorEastAsia"/>
          <w:color w:val="000000"/>
          <w:kern w:val="0"/>
          <w:sz w:val="28"/>
          <w:szCs w:val="28"/>
        </w:rPr>
      </w:pPr>
    </w:p>
    <w:p>
      <w:pPr>
        <w:adjustRightInd w:val="0"/>
        <w:jc w:val="left"/>
        <w:rPr>
          <w:rFonts w:asciiTheme="minorEastAsia" w:hAnsiTheme="minorEastAsia" w:eastAsiaTheme="minorEastAsia" w:cstheme="minorEastAsia"/>
          <w:sz w:val="30"/>
          <w:szCs w:val="30"/>
          <w:lang w:val="zh-CN"/>
        </w:rPr>
      </w:pPr>
    </w:p>
    <w:p>
      <w:pPr>
        <w:pStyle w:val="3"/>
        <w:rPr>
          <w:rFonts w:asciiTheme="minorEastAsia" w:hAnsiTheme="minorEastAsia" w:eastAsiaTheme="minorEastAsia" w:cstheme="minorEastAsia"/>
          <w:color w:val="000000"/>
        </w:rPr>
      </w:pPr>
      <w:bookmarkStart w:id="38" w:name="_Toc24550049"/>
      <w:bookmarkStart w:id="39" w:name="_Toc30408914"/>
      <w:r>
        <w:rPr>
          <w:rFonts w:hint="eastAsia" w:asciiTheme="minorEastAsia" w:hAnsiTheme="minorEastAsia" w:eastAsiaTheme="minorEastAsia" w:cstheme="minorEastAsia"/>
          <w:color w:val="000000"/>
        </w:rPr>
        <w:t>一、“资格文件”格式</w:t>
      </w:r>
      <w:bookmarkEnd w:id="38"/>
      <w:bookmarkEnd w:id="39"/>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 “资格文件”封面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hint="eastAsia" w:asciiTheme="minorEastAsia" w:hAnsiTheme="minorEastAsia" w:eastAsiaTheme="minorEastAsia" w:cstheme="minorEastAsia"/>
          <w:b/>
          <w:color w:val="000000"/>
          <w:w w:val="90"/>
          <w:sz w:val="220"/>
          <w:lang w:eastAsia="zh-CN"/>
        </w:rPr>
      </w:pPr>
      <w:r>
        <w:rPr>
          <w:rFonts w:hint="eastAsia" w:asciiTheme="minorEastAsia" w:hAnsiTheme="minorEastAsia" w:eastAsiaTheme="minorEastAsia" w:cstheme="minorEastAsia"/>
          <w:b/>
          <w:color w:val="000000"/>
          <w:w w:val="90"/>
          <w:sz w:val="44"/>
          <w:lang w:eastAsia="zh-CN"/>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（资格文件）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bl>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1.2 投标供应商资格审查声明函</w:t>
      </w:r>
    </w:p>
    <w:p>
      <w:pPr>
        <w:jc w:val="center"/>
        <w:rPr>
          <w:rFonts w:asciiTheme="minorEastAsia" w:hAnsiTheme="minorEastAsia" w:eastAsiaTheme="minorEastAsia" w:cstheme="minorEastAsia"/>
          <w:b/>
          <w:color w:val="000000"/>
          <w:sz w:val="44"/>
          <w:szCs w:val="44"/>
        </w:rPr>
      </w:pPr>
    </w:p>
    <w:p>
      <w:pPr>
        <w:jc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b/>
          <w:color w:val="000000"/>
          <w:sz w:val="44"/>
          <w:szCs w:val="44"/>
        </w:rPr>
        <w:t>投标供应商资格审查声明函</w:t>
      </w:r>
    </w:p>
    <w:p>
      <w:pPr>
        <w:rPr>
          <w:rFonts w:asciiTheme="minorEastAsia" w:hAnsiTheme="minorEastAsia" w:eastAsiaTheme="minorEastAsia" w:cstheme="minorEastAsia"/>
          <w:color w:val="000000"/>
        </w:rPr>
      </w:pPr>
    </w:p>
    <w:p>
      <w:pPr>
        <w:spacing w:line="360" w:lineRule="auto"/>
        <w:rPr>
          <w:rFonts w:asciiTheme="minorEastAsia" w:hAnsiTheme="minorEastAsia" w:eastAsiaTheme="minorEastAsia" w:cstheme="minorEastAsia"/>
          <w:b/>
          <w:color w:val="000000"/>
          <w:w w:val="90"/>
          <w:sz w:val="28"/>
          <w:u w:val="single"/>
        </w:rPr>
      </w:pPr>
    </w:p>
    <w:p>
      <w:pPr>
        <w:spacing w:line="360" w:lineRule="auto"/>
        <w:rPr>
          <w:rFonts w:asciiTheme="minorEastAsia" w:hAnsiTheme="minorEastAsia" w:eastAsiaTheme="minorEastAsia" w:cstheme="minorEastAsia"/>
          <w:b/>
          <w:color w:val="000000"/>
          <w:sz w:val="32"/>
          <w:szCs w:val="28"/>
          <w:u w:val="single"/>
        </w:rPr>
      </w:pPr>
      <w:r>
        <w:rPr>
          <w:rFonts w:hint="eastAsia" w:asciiTheme="minorEastAsia" w:hAnsiTheme="minorEastAsia" w:eastAsiaTheme="minorEastAsia" w:cstheme="minorEastAsia"/>
          <w:b/>
          <w:color w:val="000000"/>
          <w:sz w:val="32"/>
          <w:szCs w:val="28"/>
          <w:u w:val="single"/>
          <w:lang w:eastAsia="zh-CN"/>
        </w:rPr>
        <w:t>龙港市综合行政执法局</w:t>
      </w:r>
      <w:r>
        <w:rPr>
          <w:rFonts w:hint="eastAsia" w:asciiTheme="minorEastAsia" w:hAnsiTheme="minorEastAsia" w:eastAsiaTheme="minorEastAsia" w:cstheme="minorEastAsia"/>
          <w:b/>
          <w:color w:val="000000"/>
          <w:w w:val="90"/>
          <w:sz w:val="28"/>
          <w:u w:val="single"/>
        </w:rPr>
        <w:t>：</w:t>
      </w:r>
    </w:p>
    <w:p>
      <w:pPr>
        <w:spacing w:line="360" w:lineRule="auto"/>
        <w:rPr>
          <w:rFonts w:asciiTheme="minorEastAsia" w:hAnsiTheme="minorEastAsia" w:eastAsiaTheme="minorEastAsia" w:cstheme="minorEastAsia"/>
          <w:color w:val="000000"/>
          <w:sz w:val="32"/>
          <w:szCs w:val="28"/>
        </w:rPr>
      </w:pPr>
    </w:p>
    <w:p>
      <w:pPr>
        <w:spacing w:line="360" w:lineRule="auto"/>
        <w:ind w:firstLine="560" w:firstLineChars="200"/>
        <w:rPr>
          <w:rFonts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我公司郑重声明，我公司参加</w:t>
      </w:r>
      <w:r>
        <w:rPr>
          <w:rFonts w:hint="eastAsia" w:asciiTheme="minorEastAsia" w:hAnsiTheme="minorEastAsia" w:eastAsiaTheme="minorEastAsia" w:cstheme="minorEastAsia"/>
          <w:b/>
          <w:color w:val="000000"/>
          <w:sz w:val="28"/>
          <w:u w:val="single"/>
          <w:lang w:eastAsia="zh-CN"/>
        </w:rPr>
        <w:t>龙港市垃圾房智能化监管设备采购项目</w:t>
      </w:r>
      <w:r>
        <w:rPr>
          <w:rFonts w:hint="eastAsia" w:asciiTheme="minorEastAsia" w:hAnsiTheme="minorEastAsia" w:eastAsiaTheme="minorEastAsia" w:cstheme="minorEastAsia"/>
          <w:b/>
          <w:color w:val="000000"/>
          <w:sz w:val="28"/>
          <w:u w:val="single"/>
        </w:rPr>
        <w:t>（项目编号：LGCG）</w:t>
      </w:r>
      <w:r>
        <w:rPr>
          <w:rFonts w:hint="eastAsia" w:asciiTheme="minorEastAsia" w:hAnsiTheme="minorEastAsia" w:eastAsiaTheme="minorEastAsia" w:cstheme="minorEastAsia"/>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Theme="minorEastAsia" w:hAnsiTheme="minorEastAsia" w:eastAsiaTheme="minorEastAsia" w:cstheme="minorEastAsia"/>
          <w:color w:val="000000"/>
          <w:sz w:val="28"/>
        </w:rPr>
      </w:pPr>
    </w:p>
    <w:p>
      <w:pPr>
        <w:spacing w:line="360" w:lineRule="auto"/>
        <w:ind w:firstLine="56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8"/>
        </w:rPr>
        <w:t>特此声明！</w:t>
      </w:r>
    </w:p>
    <w:p>
      <w:pPr>
        <w:spacing w:line="360" w:lineRule="auto"/>
        <w:ind w:firstLine="420" w:firstLineChars="200"/>
        <w:rPr>
          <w:rFonts w:asciiTheme="minorEastAsia" w:hAnsiTheme="minorEastAsia" w:eastAsiaTheme="minorEastAsia" w:cstheme="minorEastAsia"/>
          <w:color w:val="000000"/>
        </w:rPr>
      </w:pPr>
    </w:p>
    <w:p>
      <w:pPr>
        <w:spacing w:line="360" w:lineRule="auto"/>
        <w:ind w:firstLine="420" w:firstLineChars="200"/>
        <w:rPr>
          <w:rFonts w:asciiTheme="minorEastAsia" w:hAnsiTheme="minorEastAsia" w:eastAsiaTheme="minorEastAsia" w:cstheme="minorEastAsia"/>
          <w:color w:val="000000"/>
        </w:rPr>
      </w:pPr>
    </w:p>
    <w:p>
      <w:pPr>
        <w:spacing w:line="360" w:lineRule="auto"/>
        <w:ind w:firstLine="420" w:firstLineChars="200"/>
        <w:rPr>
          <w:rFonts w:asciiTheme="minorEastAsia" w:hAnsiTheme="minorEastAsia" w:eastAsiaTheme="minorEastAsia" w:cstheme="minorEastAsia"/>
          <w:color w:val="000000"/>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w:t>
      </w:r>
      <w:r>
        <w:rPr>
          <w:rFonts w:hint="eastAsia" w:asciiTheme="minorEastAsia" w:hAnsiTheme="minorEastAsia" w:eastAsiaTheme="minorEastAsia" w:cstheme="minorEastAsia"/>
          <w:b/>
          <w:color w:val="000000"/>
          <w:sz w:val="28"/>
        </w:rPr>
        <w:t>（盖章）</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w w:val="90"/>
          <w:sz w:val="28"/>
          <w:szCs w:val="28"/>
        </w:rPr>
        <w:t>_________________________________________</w:t>
      </w: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法定代表人或其授权代表</w:t>
      </w:r>
      <w:r>
        <w:rPr>
          <w:rFonts w:hint="eastAsia" w:asciiTheme="minorEastAsia" w:hAnsiTheme="minorEastAsia" w:eastAsiaTheme="minorEastAsia" w:cstheme="minorEastAsia"/>
          <w:b/>
          <w:color w:val="000000"/>
          <w:sz w:val="28"/>
        </w:rPr>
        <w:t>（签字或盖章）</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rPr>
          <w:rFonts w:asciiTheme="minorEastAsia" w:hAnsiTheme="minorEastAsia" w:eastAsiaTheme="minorEastAsia" w:cstheme="minorEastAsia"/>
          <w:color w:val="000000"/>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1.3具有独立承担民事责任能力的证明材料</w:t>
      </w: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企业法人营业执照</w:t>
      </w:r>
    </w:p>
    <w:tbl>
      <w:tblPr>
        <w:tblStyle w:val="36"/>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资格要求：具有独立承担民事责任能力</w:t>
            </w:r>
          </w:p>
          <w:p>
            <w:pPr>
              <w:spacing w:line="276" w:lineRule="auto"/>
              <w:jc w:val="left"/>
              <w:rPr>
                <w:rFonts w:asciiTheme="minorEastAsia" w:hAnsiTheme="minorEastAsia" w:eastAsiaTheme="minorEastAsia" w:cstheme="minorEastAsia"/>
                <w:b/>
                <w:color w:val="000000"/>
                <w:sz w:val="24"/>
              </w:rPr>
            </w:pPr>
          </w:p>
          <w:p>
            <w:pPr>
              <w:spacing w:line="276" w:lineRule="auto"/>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证明材料：</w:t>
            </w:r>
            <w:r>
              <w:rPr>
                <w:rFonts w:hint="eastAsia" w:asciiTheme="minorEastAsia" w:hAnsiTheme="minorEastAsia" w:eastAsiaTheme="minorEastAsia"/>
                <w:b/>
                <w:color w:val="000000"/>
                <w:sz w:val="24"/>
                <w:u w:val="single"/>
              </w:rPr>
              <w:t>企业营业执照</w:t>
            </w:r>
            <w:r>
              <w:rPr>
                <w:rFonts w:hint="eastAsia" w:asciiTheme="minorEastAsia" w:hAnsiTheme="minorEastAsia" w:eastAsiaTheme="minorEastAsia"/>
                <w:color w:val="000000"/>
                <w:sz w:val="24"/>
              </w:rPr>
              <w:t>（提供</w:t>
            </w:r>
            <w:r>
              <w:rPr>
                <w:rFonts w:hint="eastAsia" w:cs="Arial" w:asciiTheme="minorEastAsia" w:hAnsiTheme="minorEastAsia" w:eastAsiaTheme="minorEastAsia"/>
                <w:color w:val="000000"/>
                <w:sz w:val="24"/>
              </w:rPr>
              <w:t>复制件</w:t>
            </w:r>
            <w:r>
              <w:rPr>
                <w:rFonts w:hint="eastAsia" w:asciiTheme="minorEastAsia" w:hAnsiTheme="minorEastAsia" w:eastAsiaTheme="minorEastAsia"/>
                <w:color w:val="000000"/>
                <w:sz w:val="24"/>
              </w:rPr>
              <w:t>加盖供应商公章）或</w:t>
            </w:r>
            <w:r>
              <w:rPr>
                <w:rFonts w:hint="eastAsia" w:asciiTheme="minorEastAsia" w:hAnsiTheme="minorEastAsia" w:eastAsiaTheme="minorEastAsia"/>
                <w:b/>
                <w:color w:val="000000"/>
                <w:sz w:val="24"/>
                <w:u w:val="single"/>
              </w:rPr>
              <w:t>供应商为依法允许经营的事业单位的，应提交事业单位法人证书</w:t>
            </w:r>
            <w:r>
              <w:rPr>
                <w:rFonts w:hint="eastAsia" w:asciiTheme="minorEastAsia" w:hAnsiTheme="minorEastAsia" w:eastAsiaTheme="minorEastAsia"/>
                <w:color w:val="000000"/>
                <w:sz w:val="24"/>
              </w:rPr>
              <w:t>（提供复制件加盖供应商公章）</w:t>
            </w:r>
          </w:p>
          <w:p>
            <w:pPr>
              <w:spacing w:line="276" w:lineRule="auto"/>
              <w:jc w:val="left"/>
              <w:rPr>
                <w:rFonts w:asciiTheme="minorEastAsia" w:hAnsiTheme="minorEastAsia" w:eastAsiaTheme="minorEastAsia"/>
                <w:color w:val="000000"/>
                <w:sz w:val="24"/>
              </w:rPr>
            </w:pPr>
          </w:p>
          <w:p>
            <w:pPr>
              <w:spacing w:line="360" w:lineRule="auto"/>
              <w:jc w:val="left"/>
              <w:rPr>
                <w:rFonts w:asciiTheme="minorEastAsia" w:hAnsiTheme="minorEastAsia" w:eastAsiaTheme="minorEastAsia" w:cstheme="minorEastAsia"/>
                <w:color w:val="000000"/>
                <w:sz w:val="24"/>
              </w:rPr>
            </w:pPr>
            <w:r>
              <w:rPr>
                <w:rFonts w:hint="eastAsia" w:asciiTheme="minorEastAsia" w:hAnsiTheme="minorEastAsia" w:eastAsiaTheme="minorEastAsia"/>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cs="Arial" w:asciiTheme="minorEastAsia" w:hAnsiTheme="minorEastAsia" w:eastAsiaTheme="minorEastAsia"/>
                <w:color w:val="000000"/>
                <w:sz w:val="24"/>
              </w:rPr>
              <w:t>总公司（总机构）授权书或房产权证或其他有效财产证明材料（</w:t>
            </w:r>
            <w:r>
              <w:rPr>
                <w:rFonts w:hint="eastAsia" w:asciiTheme="minorEastAsia" w:hAnsiTheme="minorEastAsia" w:eastAsiaTheme="minorEastAsia"/>
                <w:color w:val="000000"/>
                <w:sz w:val="24"/>
              </w:rPr>
              <w:t>提供</w:t>
            </w:r>
            <w:r>
              <w:rPr>
                <w:rFonts w:hint="eastAsia" w:cs="Arial" w:asciiTheme="minorEastAsia" w:hAnsiTheme="minorEastAsia" w:eastAsiaTheme="minorEastAsia"/>
                <w:color w:val="000000"/>
                <w:sz w:val="24"/>
              </w:rPr>
              <w:t>复制件</w:t>
            </w:r>
            <w:r>
              <w:rPr>
                <w:rFonts w:hint="eastAsia" w:asciiTheme="minorEastAsia" w:hAnsiTheme="minorEastAsia" w:eastAsiaTheme="minorEastAsia"/>
                <w:color w:val="000000"/>
                <w:sz w:val="24"/>
              </w:rPr>
              <w:t>加盖供应商公章</w:t>
            </w:r>
            <w:r>
              <w:rPr>
                <w:rFonts w:hint="eastAsia" w:cs="Arial" w:asciiTheme="minorEastAsia" w:hAnsiTheme="minorEastAsia" w:eastAsiaTheme="minorEastAsia"/>
                <w:color w:val="000000"/>
                <w:sz w:val="24"/>
              </w:rPr>
              <w:t>）。</w:t>
            </w:r>
          </w:p>
        </w:tc>
      </w:tr>
    </w:tbl>
    <w:p>
      <w:pPr>
        <w:spacing w:line="360" w:lineRule="auto"/>
        <w:rPr>
          <w:rFonts w:asciiTheme="minorEastAsia" w:hAnsiTheme="minorEastAsia" w:eastAsiaTheme="minorEastAsia" w:cstheme="minorEastAsia"/>
          <w:i/>
          <w:color w:val="000000"/>
          <w:sz w:val="2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1.4具有良好的商业信誉和健全的财务会计制度的承诺函</w:t>
      </w:r>
    </w:p>
    <w:p>
      <w:pPr>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具有良好的商业信誉和健全的财务会计制度的承诺函</w:t>
      </w:r>
    </w:p>
    <w:p>
      <w:pPr>
        <w:adjustRightInd w:val="0"/>
        <w:snapToGrid w:val="0"/>
        <w:spacing w:line="440" w:lineRule="exact"/>
        <w:rPr>
          <w:rFonts w:asciiTheme="minorEastAsia" w:hAnsiTheme="minorEastAsia" w:eastAsiaTheme="minorEastAsia" w:cstheme="minorEastAsia"/>
          <w:color w:val="000000"/>
          <w:sz w:val="22"/>
          <w:u w:val="single"/>
        </w:rPr>
      </w:pPr>
    </w:p>
    <w:p>
      <w:pPr>
        <w:spacing w:line="360" w:lineRule="auto"/>
        <w:rPr>
          <w:rFonts w:asciiTheme="minorEastAsia" w:hAnsiTheme="minorEastAsia" w:eastAsiaTheme="minorEastAsia" w:cstheme="minorEastAsia"/>
          <w:b/>
          <w:color w:val="000000"/>
          <w:w w:val="90"/>
          <w:sz w:val="28"/>
          <w:szCs w:val="28"/>
          <w:u w:val="single"/>
        </w:rPr>
      </w:pPr>
      <w:r>
        <w:rPr>
          <w:rFonts w:hint="eastAsia" w:asciiTheme="minorEastAsia" w:hAnsiTheme="minorEastAsia" w:eastAsiaTheme="minorEastAsia" w:cstheme="minorEastAsia"/>
          <w:b/>
          <w:color w:val="000000"/>
          <w:sz w:val="32"/>
          <w:szCs w:val="28"/>
          <w:u w:val="single"/>
          <w:lang w:eastAsia="zh-CN"/>
        </w:rPr>
        <w:t>龙港市综合行政执法局</w:t>
      </w:r>
      <w:r>
        <w:rPr>
          <w:rFonts w:hint="eastAsia" w:asciiTheme="minorEastAsia" w:hAnsiTheme="minorEastAsia" w:eastAsiaTheme="minorEastAsia" w:cstheme="minorEastAsia"/>
          <w:b/>
          <w:color w:val="000000"/>
          <w:w w:val="90"/>
          <w:sz w:val="28"/>
          <w:szCs w:val="28"/>
          <w:u w:val="single"/>
        </w:rPr>
        <w:t>：</w:t>
      </w:r>
    </w:p>
    <w:p>
      <w:pPr>
        <w:pStyle w:val="49"/>
        <w:rPr>
          <w:rFonts w:asciiTheme="minorEastAsia" w:hAnsiTheme="minorEastAsia" w:eastAsiaTheme="minorEastAsia" w:cstheme="minorEastAsia"/>
          <w:sz w:val="28"/>
          <w:szCs w:val="28"/>
        </w:rPr>
      </w:pP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w:t>
      </w:r>
      <w:r>
        <w:rPr>
          <w:rFonts w:hint="eastAsia" w:asciiTheme="minorEastAsia" w:hAnsiTheme="minorEastAsia" w:eastAsiaTheme="minorEastAsia" w:cstheme="minorEastAsia"/>
          <w:color w:val="000000"/>
          <w:sz w:val="28"/>
          <w:szCs w:val="28"/>
          <w:u w:val="single"/>
        </w:rPr>
        <w:t xml:space="preserve"> （供应商）</w:t>
      </w:r>
      <w:r>
        <w:rPr>
          <w:rFonts w:hint="eastAsia" w:asciiTheme="minorEastAsia" w:hAnsiTheme="minorEastAsia" w:eastAsiaTheme="minorEastAsia" w:cstheme="minorEastAsia"/>
          <w:color w:val="000000"/>
          <w:sz w:val="28"/>
          <w:szCs w:val="28"/>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pStyle w:val="49"/>
        <w:rPr>
          <w:rFonts w:asciiTheme="minorEastAsia" w:hAnsiTheme="minorEastAsia" w:eastAsiaTheme="minorEastAsia" w:cstheme="minorEastAsia"/>
        </w:rPr>
      </w:pP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adjustRightInd w:val="0"/>
        <w:snapToGrid w:val="0"/>
        <w:spacing w:line="44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pStyle w:val="49"/>
        <w:rPr>
          <w:rFonts w:asciiTheme="minorEastAsia" w:hAnsiTheme="minorEastAsia" w:eastAsiaTheme="minorEastAsia" w:cstheme="minorEastAsia"/>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2"/>
        </w:rPr>
        <w:br w:type="page"/>
      </w:r>
      <w:r>
        <w:rPr>
          <w:rFonts w:hint="eastAsia" w:asciiTheme="minorEastAsia" w:hAnsiTheme="minorEastAsia" w:eastAsiaTheme="minorEastAsia" w:cstheme="minorEastAsia"/>
          <w:color w:val="000000"/>
        </w:rPr>
        <w:t>1.5具有履行合同所必需的设备和专业技术能力的承诺函</w:t>
      </w:r>
    </w:p>
    <w:p>
      <w:pPr>
        <w:spacing w:line="360" w:lineRule="auto"/>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投标供应商具有履行合同所必需的设备和专业技术能力的承诺函</w:t>
      </w:r>
    </w:p>
    <w:p>
      <w:pPr>
        <w:spacing w:line="360" w:lineRule="auto"/>
        <w:rPr>
          <w:rFonts w:asciiTheme="minorEastAsia" w:hAnsiTheme="minorEastAsia" w:eastAsiaTheme="minorEastAsia" w:cstheme="minorEastAsia"/>
          <w:b/>
          <w:color w:val="000000"/>
          <w:sz w:val="24"/>
          <w:szCs w:val="28"/>
          <w:u w:val="single"/>
        </w:rPr>
      </w:pPr>
    </w:p>
    <w:p>
      <w:pPr>
        <w:spacing w:line="360" w:lineRule="auto"/>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w w:val="90"/>
          <w:sz w:val="28"/>
          <w:u w:val="single"/>
          <w:lang w:eastAsia="zh-CN"/>
        </w:rPr>
        <w:t>龙港市综合行政执法局</w:t>
      </w:r>
      <w:r>
        <w:rPr>
          <w:rFonts w:hint="eastAsia" w:asciiTheme="minorEastAsia" w:hAnsiTheme="minorEastAsia" w:eastAsiaTheme="minorEastAsia" w:cstheme="minorEastAsia"/>
          <w:b/>
          <w:color w:val="000000"/>
          <w:w w:val="90"/>
          <w:sz w:val="28"/>
          <w:u w:val="single"/>
        </w:rPr>
        <w:t>：</w:t>
      </w:r>
    </w:p>
    <w:p>
      <w:pPr>
        <w:spacing w:line="360" w:lineRule="auto"/>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我方郑重声明，我方具有履行</w:t>
      </w:r>
      <w:r>
        <w:rPr>
          <w:rFonts w:hint="eastAsia" w:asciiTheme="minorEastAsia" w:hAnsiTheme="minorEastAsia" w:eastAsiaTheme="minorEastAsia" w:cstheme="minorEastAsia"/>
          <w:b/>
          <w:color w:val="000000"/>
          <w:sz w:val="28"/>
          <w:szCs w:val="28"/>
          <w:u w:val="single"/>
          <w:lang w:eastAsia="zh-CN"/>
        </w:rPr>
        <w:t>龙港市垃圾房智能化监管设备采购项目</w:t>
      </w:r>
      <w:r>
        <w:rPr>
          <w:rFonts w:hint="eastAsia" w:asciiTheme="minorEastAsia" w:hAnsiTheme="minorEastAsia" w:eastAsiaTheme="minorEastAsia" w:cstheme="minorEastAsia"/>
          <w:b/>
          <w:color w:val="000000"/>
          <w:sz w:val="28"/>
          <w:szCs w:val="28"/>
          <w:u w:val="single"/>
        </w:rPr>
        <w:t>（项目编号：LGCG）</w:t>
      </w:r>
      <w:r>
        <w:rPr>
          <w:rFonts w:hint="eastAsia" w:asciiTheme="minorEastAsia" w:hAnsiTheme="minorEastAsia" w:eastAsiaTheme="minorEastAsia" w:cstheme="minorEastAsia"/>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___________________________</w:t>
      </w:r>
    </w:p>
    <w:p>
      <w:pPr>
        <w:snapToGrid w:val="0"/>
        <w:spacing w:line="360" w:lineRule="auto"/>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snapToGrid w:val="0"/>
        <w:spacing w:line="360" w:lineRule="auto"/>
        <w:rPr>
          <w:rFonts w:asciiTheme="minorEastAsia" w:hAnsiTheme="minorEastAsia" w:eastAsiaTheme="minorEastAsia" w:cstheme="minorEastAsia"/>
          <w:color w:val="000000"/>
          <w:sz w:val="22"/>
          <w:u w:val="single"/>
        </w:rPr>
      </w:pPr>
    </w:p>
    <w:p>
      <w:pPr>
        <w:snapToGrid w:val="0"/>
        <w:spacing w:line="360" w:lineRule="auto"/>
        <w:rPr>
          <w:rFonts w:asciiTheme="minorEastAsia" w:hAnsiTheme="minorEastAsia" w:eastAsiaTheme="minorEastAsia" w:cstheme="minorEastAsia"/>
          <w:color w:val="000000"/>
          <w:sz w:val="22"/>
          <w:u w:val="single"/>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2"/>
          <w:u w:val="single"/>
        </w:rPr>
        <w:br w:type="page"/>
      </w:r>
      <w:r>
        <w:rPr>
          <w:rFonts w:hint="eastAsia" w:asciiTheme="minorEastAsia" w:hAnsiTheme="minorEastAsia" w:eastAsiaTheme="minorEastAsia" w:cstheme="minorEastAsia"/>
          <w:color w:val="000000"/>
        </w:rPr>
        <w:t>1.6有依法缴纳税收和社会保障金的良好记录的证明材料</w:t>
      </w:r>
    </w:p>
    <w:p>
      <w:pPr>
        <w:ind w:left="1076"/>
        <w:rPr>
          <w:rFonts w:asciiTheme="minorEastAsia" w:hAnsiTheme="minorEastAsia" w:eastAsiaTheme="minorEastAsia" w:cstheme="minorEastAsia"/>
          <w:sz w:val="44"/>
          <w:szCs w:val="44"/>
        </w:rPr>
      </w:pPr>
      <w:r>
        <w:rPr>
          <w:rFonts w:hint="eastAsia" w:asciiTheme="minorEastAsia" w:hAnsiTheme="minorEastAsia" w:eastAsiaTheme="minorEastAsia" w:cstheme="minorEastAsia"/>
          <w:b/>
          <w:bCs/>
          <w:spacing w:val="5"/>
          <w:w w:val="85"/>
          <w:sz w:val="44"/>
          <w:szCs w:val="44"/>
        </w:rPr>
        <w:t>投标人依法缴纳税收和社会保障金的书面声明</w:t>
      </w:r>
    </w:p>
    <w:p>
      <w:pPr>
        <w:spacing w:before="9" w:line="430" w:lineRule="atLeast"/>
        <w:rPr>
          <w:rFonts w:asciiTheme="minorEastAsia" w:hAnsiTheme="minorEastAsia" w:eastAsiaTheme="minorEastAsia" w:cstheme="minorEastAsia"/>
          <w:sz w:val="24"/>
        </w:rPr>
      </w:pPr>
    </w:p>
    <w:p>
      <w:pPr>
        <w:spacing w:line="440" w:lineRule="atLeast"/>
        <w:rPr>
          <w:rFonts w:asciiTheme="minorEastAsia" w:hAnsiTheme="minorEastAsia" w:eastAsiaTheme="minorEastAsia" w:cstheme="minorEastAsia"/>
          <w:sz w:val="25"/>
          <w:szCs w:val="25"/>
        </w:rPr>
      </w:pPr>
    </w:p>
    <w:p>
      <w:pPr>
        <w:ind w:left="1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eastAsia="zh-CN"/>
        </w:rPr>
        <w:t>龙港市综合行政执法局</w:t>
      </w:r>
      <w:r>
        <w:rPr>
          <w:rFonts w:hint="eastAsia" w:asciiTheme="minorEastAsia" w:hAnsiTheme="minorEastAsia" w:eastAsiaTheme="minorEastAsia" w:cstheme="minorEastAsia"/>
          <w:b/>
          <w:bCs/>
          <w:sz w:val="28"/>
          <w:szCs w:val="28"/>
        </w:rPr>
        <w:t>：</w:t>
      </w:r>
    </w:p>
    <w:p>
      <w:pPr>
        <w:spacing w:before="4" w:line="190" w:lineRule="atLeast"/>
        <w:rPr>
          <w:rFonts w:asciiTheme="minorEastAsia" w:hAnsiTheme="minorEastAsia" w:eastAsiaTheme="minorEastAsia" w:cstheme="minorEastAsia"/>
          <w:sz w:val="28"/>
          <w:szCs w:val="28"/>
        </w:rPr>
      </w:pPr>
    </w:p>
    <w:p>
      <w:pPr>
        <w:spacing w:line="200" w:lineRule="atLeast"/>
        <w:rPr>
          <w:rFonts w:asciiTheme="minorEastAsia" w:hAnsiTheme="minorEastAsia" w:eastAsiaTheme="minorEastAsia" w:cstheme="minorEastAsia"/>
          <w:sz w:val="28"/>
          <w:szCs w:val="28"/>
        </w:rPr>
      </w:pPr>
    </w:p>
    <w:p>
      <w:pPr>
        <w:spacing w:line="200" w:lineRule="atLeast"/>
        <w:rPr>
          <w:rFonts w:asciiTheme="minorEastAsia" w:hAnsiTheme="minorEastAsia" w:eastAsiaTheme="minorEastAsia" w:cstheme="minorEastAsia"/>
          <w:sz w:val="28"/>
          <w:szCs w:val="28"/>
        </w:rPr>
      </w:pPr>
    </w:p>
    <w:p>
      <w:pPr>
        <w:spacing w:before="26" w:line="357" w:lineRule="auto"/>
        <w:ind w:left="140" w:right="106" w:firstLine="47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rPr>
        <w:t>我公司郑重声明，我公司严格依法缴纳税收和社会保障金，本文件中所提供的相</w:t>
      </w:r>
      <w:r>
        <w:rPr>
          <w:rFonts w:hint="eastAsia" w:asciiTheme="minorEastAsia" w:hAnsiTheme="minorEastAsia" w:eastAsiaTheme="minorEastAsia" w:cstheme="minorEastAsia"/>
          <w:sz w:val="28"/>
          <w:szCs w:val="28"/>
        </w:rPr>
        <w:t>关材料均真实有效，不存在虚假、造假行为。如有违反，愿承担一切责任。</w:t>
      </w: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spacing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投标人（盖章）：</w:t>
      </w:r>
      <w:r>
        <w:rPr>
          <w:rFonts w:hint="eastAsia" w:asciiTheme="minorEastAsia" w:hAnsiTheme="minorEastAsia" w:eastAsiaTheme="minorEastAsia" w:cstheme="minorEastAsia"/>
          <w:sz w:val="28"/>
          <w:szCs w:val="28"/>
          <w:u w:val="single"/>
        </w:rPr>
        <w:t xml:space="preserve">                             </w:t>
      </w:r>
    </w:p>
    <w:p>
      <w:pPr>
        <w:spacing w:line="360" w:lineRule="auto"/>
        <w:ind w:firstLine="560" w:firstLineChars="200"/>
        <w:rPr>
          <w:rFonts w:asciiTheme="minorEastAsia" w:hAnsiTheme="minorEastAsia" w:eastAsiaTheme="minorEastAsia" w:cstheme="minorEastAsia"/>
          <w:sz w:val="28"/>
          <w:szCs w:val="28"/>
        </w:rPr>
      </w:pPr>
    </w:p>
    <w:p>
      <w:pPr>
        <w:spacing w:line="400" w:lineRule="exact"/>
        <w:rPr>
          <w:rFonts w:asciiTheme="minorEastAsia" w:hAnsiTheme="minorEastAsia" w:eastAsiaTheme="minorEastAsia" w:cstheme="minorEastAsia"/>
        </w:rPr>
      </w:pPr>
      <w:r>
        <w:rPr>
          <w:rFonts w:hint="eastAsia" w:asciiTheme="minorEastAsia" w:hAnsiTheme="minorEastAsia" w:eastAsiaTheme="minorEastAsia" w:cstheme="minorEastAsia"/>
          <w:b/>
          <w:sz w:val="28"/>
          <w:szCs w:val="28"/>
        </w:rPr>
        <w:t>日 期：  年   月   日</w:t>
      </w: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20"/>
        <w:spacing w:line="440" w:lineRule="atLeast"/>
        <w:ind w:left="5250"/>
        <w:rPr>
          <w:rFonts w:asciiTheme="minorEastAsia" w:hAnsiTheme="minorEastAsia" w:eastAsiaTheme="minorEastAsia" w:cstheme="minorEastAsia"/>
          <w:b/>
          <w:sz w:val="22"/>
          <w:szCs w:val="2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Cs w:val="28"/>
        </w:rPr>
        <w:br w:type="page"/>
      </w:r>
      <w:r>
        <w:rPr>
          <w:rFonts w:hint="eastAsia" w:asciiTheme="minorEastAsia" w:hAnsiTheme="minorEastAsia" w:eastAsiaTheme="minorEastAsia" w:cstheme="minorEastAsia"/>
          <w:color w:val="000000"/>
        </w:rPr>
        <w:t>1.7参加本次采购活动前三年内在经营活动中没有重大违法记录的承诺函</w:t>
      </w:r>
    </w:p>
    <w:p>
      <w:pPr>
        <w:ind w:firstLine="389"/>
        <w:rPr>
          <w:rFonts w:asciiTheme="minorEastAsia" w:hAnsiTheme="minorEastAsia" w:eastAsiaTheme="minorEastAsia" w:cstheme="minorEastAsia"/>
          <w:color w:val="000000"/>
        </w:rPr>
      </w:pPr>
    </w:p>
    <w:p>
      <w:pPr>
        <w:widowControl/>
        <w:spacing w:line="360" w:lineRule="auto"/>
        <w:jc w:val="center"/>
        <w:rPr>
          <w:rFonts w:asciiTheme="minorEastAsia" w:hAnsiTheme="minorEastAsia" w:eastAsiaTheme="minorEastAsia" w:cstheme="minorEastAsia"/>
          <w:b/>
          <w:color w:val="000000"/>
          <w:w w:val="80"/>
          <w:sz w:val="44"/>
          <w:szCs w:val="44"/>
        </w:rPr>
      </w:pPr>
      <w:r>
        <w:rPr>
          <w:rFonts w:hint="eastAsia" w:asciiTheme="minorEastAsia" w:hAnsiTheme="minorEastAsia" w:eastAsiaTheme="minorEastAsia" w:cstheme="minorEastAsia"/>
          <w:b/>
          <w:color w:val="000000"/>
          <w:w w:val="80"/>
          <w:sz w:val="44"/>
          <w:szCs w:val="44"/>
        </w:rPr>
        <w:t>投标供应商参加本次政府采购项目前三年内在经营活动中没有重大违法记录的承诺函</w:t>
      </w:r>
    </w:p>
    <w:p>
      <w:pPr>
        <w:widowControl/>
        <w:spacing w:line="360" w:lineRule="auto"/>
        <w:jc w:val="center"/>
        <w:rPr>
          <w:rFonts w:asciiTheme="minorEastAsia" w:hAnsiTheme="minorEastAsia" w:eastAsiaTheme="minorEastAsia" w:cstheme="minorEastAsia"/>
          <w:b/>
          <w:color w:val="000000"/>
          <w:w w:val="80"/>
          <w:sz w:val="28"/>
          <w:szCs w:val="44"/>
        </w:rPr>
      </w:pPr>
    </w:p>
    <w:p>
      <w:pPr>
        <w:spacing w:line="360" w:lineRule="auto"/>
        <w:rPr>
          <w:rFonts w:asciiTheme="minorEastAsia" w:hAnsiTheme="minorEastAsia" w:eastAsiaTheme="minorEastAsia" w:cstheme="minorEastAsia"/>
          <w:b/>
          <w:color w:val="000000"/>
          <w:w w:val="90"/>
          <w:sz w:val="28"/>
          <w:u w:val="single"/>
        </w:rPr>
      </w:pPr>
      <w:r>
        <w:rPr>
          <w:rFonts w:hint="eastAsia" w:asciiTheme="minorEastAsia" w:hAnsiTheme="minorEastAsia" w:eastAsiaTheme="minorEastAsia" w:cstheme="minorEastAsia"/>
          <w:b/>
          <w:color w:val="000000"/>
          <w:w w:val="90"/>
          <w:sz w:val="28"/>
          <w:u w:val="single"/>
          <w:lang w:eastAsia="zh-CN"/>
        </w:rPr>
        <w:t>龙港市综合行政执法局</w:t>
      </w:r>
      <w:r>
        <w:rPr>
          <w:rFonts w:hint="eastAsia" w:asciiTheme="minorEastAsia" w:hAnsiTheme="minorEastAsia" w:eastAsiaTheme="minorEastAsia" w:cstheme="minorEastAsia"/>
          <w:b/>
          <w:color w:val="000000"/>
          <w:w w:val="90"/>
          <w:sz w:val="28"/>
          <w:u w:val="single"/>
        </w:rPr>
        <w:t>：</w:t>
      </w:r>
    </w:p>
    <w:p>
      <w:pPr>
        <w:spacing w:line="360" w:lineRule="auto"/>
        <w:rPr>
          <w:rFonts w:asciiTheme="minorEastAsia" w:hAnsiTheme="minorEastAsia" w:eastAsiaTheme="minorEastAsia" w:cstheme="minorEastAsia"/>
          <w:color w:val="000000"/>
          <w:sz w:val="28"/>
          <w:szCs w:val="28"/>
          <w:u w:val="single"/>
        </w:rPr>
      </w:pPr>
    </w:p>
    <w:p>
      <w:pPr>
        <w:spacing w:line="360" w:lineRule="auto"/>
        <w:ind w:firstLine="548" w:firstLineChars="196"/>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我方</w:t>
      </w:r>
      <w:r>
        <w:rPr>
          <w:rFonts w:hint="eastAsia" w:asciiTheme="minorEastAsia" w:hAnsiTheme="minorEastAsia" w:eastAsiaTheme="minorEastAsia" w:cstheme="minorEastAsia"/>
          <w:color w:val="000000"/>
          <w:sz w:val="28"/>
          <w:szCs w:val="28"/>
          <w:u w:val="single"/>
        </w:rPr>
        <w:t xml:space="preserve">        （投标供应商名称）             </w:t>
      </w:r>
      <w:r>
        <w:rPr>
          <w:rFonts w:hint="eastAsia" w:asciiTheme="minorEastAsia" w:hAnsiTheme="minorEastAsia" w:eastAsiaTheme="minorEastAsia" w:cstheme="minorEastAsia"/>
          <w:color w:val="000000"/>
          <w:sz w:val="28"/>
          <w:szCs w:val="28"/>
        </w:rPr>
        <w:t>在参加</w:t>
      </w:r>
      <w:r>
        <w:rPr>
          <w:rFonts w:hint="eastAsia" w:asciiTheme="minorEastAsia" w:hAnsiTheme="minorEastAsia" w:eastAsiaTheme="minorEastAsia" w:cstheme="minorEastAsia"/>
          <w:b/>
          <w:color w:val="000000"/>
          <w:sz w:val="28"/>
          <w:szCs w:val="28"/>
          <w:u w:val="single"/>
          <w:lang w:eastAsia="zh-CN"/>
        </w:rPr>
        <w:t>龙港市垃圾房智能化监管设备采购项目</w:t>
      </w:r>
      <w:r>
        <w:rPr>
          <w:rFonts w:hint="eastAsia" w:asciiTheme="minorEastAsia" w:hAnsiTheme="minorEastAsia" w:eastAsiaTheme="minorEastAsia" w:cstheme="minorEastAsia"/>
          <w:b/>
          <w:color w:val="000000"/>
          <w:sz w:val="28"/>
          <w:szCs w:val="28"/>
          <w:u w:val="single"/>
        </w:rPr>
        <w:t>（项目编号：LGCG）</w:t>
      </w:r>
      <w:r>
        <w:rPr>
          <w:rFonts w:hint="eastAsia" w:asciiTheme="minorEastAsia" w:hAnsiTheme="minorEastAsia" w:eastAsiaTheme="minorEastAsia" w:cstheme="minorEastAsia"/>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w:t>
      </w:r>
    </w:p>
    <w:p>
      <w:pPr>
        <w:rPr>
          <w:rFonts w:asciiTheme="minorEastAsia" w:hAnsiTheme="minorEastAsia" w:eastAsiaTheme="minorEastAsia" w:cstheme="minorEastAsia"/>
          <w:color w:val="000000"/>
          <w:w w:val="90"/>
          <w:sz w:val="28"/>
          <w:szCs w:val="28"/>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1.8没有失信行为的承诺函</w:t>
      </w:r>
    </w:p>
    <w:p>
      <w:pPr>
        <w:spacing w:line="360" w:lineRule="auto"/>
        <w:jc w:val="center"/>
        <w:rPr>
          <w:rFonts w:asciiTheme="minorEastAsia" w:hAnsiTheme="minorEastAsia" w:eastAsiaTheme="minorEastAsia" w:cstheme="minorEastAsia"/>
          <w:b/>
          <w:color w:val="000000"/>
          <w:sz w:val="28"/>
          <w:szCs w:val="28"/>
        </w:rPr>
      </w:pP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投标供应商没有失信记录承诺函</w:t>
      </w:r>
    </w:p>
    <w:p>
      <w:pPr>
        <w:spacing w:line="360" w:lineRule="auto"/>
        <w:rPr>
          <w:rFonts w:asciiTheme="minorEastAsia" w:hAnsiTheme="minorEastAsia" w:eastAsiaTheme="minorEastAsia" w:cstheme="minorEastAsia"/>
          <w:b/>
          <w:color w:val="000000"/>
          <w:sz w:val="24"/>
          <w:szCs w:val="28"/>
          <w:u w:val="single"/>
        </w:rPr>
      </w:pPr>
    </w:p>
    <w:p>
      <w:pPr>
        <w:spacing w:line="360" w:lineRule="auto"/>
        <w:rPr>
          <w:rFonts w:asciiTheme="minorEastAsia" w:hAnsiTheme="minorEastAsia" w:eastAsiaTheme="minorEastAsia" w:cstheme="minorEastAsia"/>
          <w:b/>
          <w:color w:val="000000"/>
          <w:sz w:val="28"/>
          <w:szCs w:val="28"/>
          <w:u w:val="single"/>
        </w:rPr>
      </w:pPr>
      <w:r>
        <w:rPr>
          <w:rFonts w:hint="eastAsia" w:asciiTheme="minorEastAsia" w:hAnsiTheme="minorEastAsia" w:eastAsiaTheme="minorEastAsia" w:cstheme="minorEastAsia"/>
          <w:b/>
          <w:color w:val="000000"/>
          <w:w w:val="90"/>
          <w:sz w:val="28"/>
          <w:u w:val="single"/>
          <w:lang w:eastAsia="zh-CN"/>
        </w:rPr>
        <w:t>龙港市综合行政执法局</w:t>
      </w:r>
      <w:r>
        <w:rPr>
          <w:rFonts w:hint="eastAsia" w:asciiTheme="minorEastAsia" w:hAnsiTheme="minorEastAsia" w:eastAsiaTheme="minorEastAsia" w:cstheme="minorEastAsia"/>
          <w:b/>
          <w:color w:val="000000"/>
          <w:w w:val="90"/>
          <w:sz w:val="28"/>
          <w:u w:val="single"/>
        </w:rPr>
        <w:t>：</w:t>
      </w:r>
    </w:p>
    <w:p>
      <w:pPr>
        <w:spacing w:line="360" w:lineRule="auto"/>
        <w:rPr>
          <w:rFonts w:asciiTheme="minorEastAsia" w:hAnsiTheme="minorEastAsia" w:eastAsiaTheme="minorEastAsia" w:cstheme="minorEastAsia"/>
          <w:color w:val="000000"/>
          <w:sz w:val="28"/>
          <w:szCs w:val="28"/>
        </w:rPr>
      </w:pPr>
    </w:p>
    <w:p>
      <w:pPr>
        <w:spacing w:line="360" w:lineRule="auto"/>
        <w:ind w:firstLine="565" w:firstLineChars="202"/>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特此声明</w:t>
      </w:r>
    </w:p>
    <w:p>
      <w:pPr>
        <w:spacing w:line="360" w:lineRule="auto"/>
        <w:ind w:firstLine="560" w:firstLineChars="200"/>
        <w:rPr>
          <w:rFonts w:asciiTheme="minorEastAsia" w:hAnsiTheme="minorEastAsia" w:eastAsiaTheme="minorEastAsia" w:cstheme="minorEastAsia"/>
          <w:color w:val="000000"/>
          <w:sz w:val="28"/>
          <w:szCs w:val="28"/>
        </w:rPr>
      </w:pPr>
    </w:p>
    <w:p>
      <w:pPr>
        <w:spacing w:line="360" w:lineRule="auto"/>
        <w:ind w:firstLine="560" w:firstLineChars="200"/>
        <w:rPr>
          <w:rFonts w:asciiTheme="minorEastAsia" w:hAnsiTheme="minorEastAsia" w:eastAsiaTheme="minorEastAsia" w:cstheme="minorEastAsia"/>
          <w:color w:val="000000"/>
          <w:sz w:val="28"/>
          <w:szCs w:val="28"/>
        </w:rPr>
      </w:pPr>
    </w:p>
    <w:p>
      <w:pPr>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投标供应商名称（盖章）：</w:t>
      </w:r>
      <w:r>
        <w:rPr>
          <w:rFonts w:hint="eastAsia" w:asciiTheme="minorEastAsia" w:hAnsiTheme="minorEastAsia" w:eastAsiaTheme="minorEastAsia" w:cstheme="minorEastAsia"/>
          <w:color w:val="000000"/>
          <w:w w:val="90"/>
          <w:sz w:val="28"/>
          <w:szCs w:val="28"/>
        </w:rPr>
        <w:t>__________________________________________</w:t>
      </w:r>
    </w:p>
    <w:p>
      <w:pPr>
        <w:snapToGrid w:val="0"/>
        <w:spacing w:line="360" w:lineRule="auto"/>
        <w:rPr>
          <w:rFonts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法定代表人或其授权代表（签字或盖章）：</w:t>
      </w:r>
      <w:r>
        <w:rPr>
          <w:rFonts w:hint="eastAsia" w:asciiTheme="minorEastAsia" w:hAnsiTheme="minorEastAsia" w:eastAsiaTheme="minorEastAsia" w:cstheme="minorEastAsia"/>
          <w:color w:val="000000"/>
          <w:w w:val="90"/>
          <w:sz w:val="28"/>
          <w:szCs w:val="28"/>
        </w:rPr>
        <w:t>___________________________</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8"/>
          <w:szCs w:val="28"/>
        </w:rPr>
        <w:t>日期：</w:t>
      </w:r>
      <w:r>
        <w:rPr>
          <w:rFonts w:hint="eastAsia" w:asciiTheme="minorEastAsia" w:hAnsiTheme="minorEastAsia" w:eastAsiaTheme="minorEastAsia" w:cstheme="minorEastAsia"/>
          <w:color w:val="000000"/>
          <w:w w:val="90"/>
          <w:sz w:val="28"/>
          <w:szCs w:val="28"/>
        </w:rPr>
        <w:t>________年____月____日</w:t>
      </w:r>
    </w:p>
    <w:p>
      <w:pPr>
        <w:pStyle w:val="4"/>
        <w:rPr>
          <w:rFonts w:asciiTheme="minorEastAsia" w:hAnsiTheme="minorEastAsia" w:eastAsiaTheme="minorEastAsia" w:cstheme="minorEastAsia"/>
          <w:color w:val="000000"/>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pStyle w:val="5"/>
        <w:ind w:firstLine="360"/>
        <w:rPr>
          <w:rFonts w:asciiTheme="minorEastAsia" w:hAnsiTheme="minorEastAsia" w:eastAsiaTheme="minorEastAsia" w:cstheme="minorEastAsia"/>
          <w:sz w:val="18"/>
          <w:szCs w:val="18"/>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1.9法定代表人授权书</w:t>
      </w:r>
    </w:p>
    <w:p>
      <w:pPr>
        <w:widowControl/>
        <w:autoSpaceDE w:val="0"/>
        <w:autoSpaceDN w:val="0"/>
        <w:snapToGrid w:val="0"/>
        <w:spacing w:line="460" w:lineRule="exact"/>
        <w:jc w:val="center"/>
        <w:rPr>
          <w:rFonts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t>法定代表人授权书</w:t>
      </w:r>
    </w:p>
    <w:p>
      <w:pPr>
        <w:widowControl/>
        <w:autoSpaceDE w:val="0"/>
        <w:autoSpaceDN w:val="0"/>
        <w:snapToGrid w:val="0"/>
        <w:spacing w:line="460" w:lineRule="exact"/>
        <w:jc w:val="left"/>
        <w:rPr>
          <w:rFonts w:asciiTheme="minorEastAsia" w:hAnsiTheme="minorEastAsia" w:eastAsiaTheme="minorEastAsia" w:cstheme="minorEastAsia"/>
          <w:color w:val="000000"/>
          <w:sz w:val="24"/>
        </w:rPr>
      </w:pPr>
    </w:p>
    <w:p>
      <w:pPr>
        <w:widowControl/>
        <w:snapToGrid w:val="0"/>
        <w:spacing w:line="360" w:lineRule="auto"/>
        <w:jc w:val="left"/>
        <w:rPr>
          <w:rFonts w:asciiTheme="minorEastAsia" w:hAnsiTheme="minorEastAsia" w:eastAsiaTheme="minorEastAsia" w:cstheme="minorEastAsia"/>
          <w:color w:val="000000"/>
          <w:u w:val="single"/>
        </w:rPr>
      </w:pPr>
    </w:p>
    <w:p>
      <w:pPr>
        <w:widowControl/>
        <w:snapToGrid w:val="0"/>
        <w:spacing w:line="360" w:lineRule="auto"/>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lang w:eastAsia="zh-CN"/>
        </w:rPr>
        <w:t>龙港市综合行政执法局</w:t>
      </w:r>
      <w:r>
        <w:rPr>
          <w:rFonts w:hint="eastAsia" w:asciiTheme="minorEastAsia" w:hAnsiTheme="minorEastAsia" w:eastAsiaTheme="minorEastAsia" w:cstheme="minorEastAsia"/>
          <w:color w:val="000000"/>
          <w:sz w:val="22"/>
        </w:rPr>
        <w:t>：</w:t>
      </w:r>
    </w:p>
    <w:p>
      <w:pPr>
        <w:widowControl/>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本授权委托书声明：我</w:t>
      </w:r>
      <w:r>
        <w:rPr>
          <w:rFonts w:hint="eastAsia" w:asciiTheme="minorEastAsia" w:hAnsiTheme="minorEastAsia" w:eastAsiaTheme="minorEastAsia" w:cstheme="minorEastAsia"/>
          <w:color w:val="000000"/>
          <w:sz w:val="22"/>
          <w:u w:val="single"/>
        </w:rPr>
        <w:t xml:space="preserve">   （法定代表人姓名）   </w:t>
      </w:r>
      <w:r>
        <w:rPr>
          <w:rFonts w:hint="eastAsia" w:asciiTheme="minorEastAsia" w:hAnsiTheme="minorEastAsia" w:eastAsiaTheme="minorEastAsia" w:cstheme="minorEastAsia"/>
          <w:color w:val="000000"/>
          <w:sz w:val="22"/>
        </w:rPr>
        <w:t>系</w:t>
      </w:r>
      <w:r>
        <w:rPr>
          <w:rFonts w:hint="eastAsia" w:asciiTheme="minorEastAsia" w:hAnsiTheme="minorEastAsia" w:eastAsiaTheme="minorEastAsia" w:cstheme="minorEastAsia"/>
          <w:color w:val="000000"/>
          <w:sz w:val="22"/>
          <w:u w:val="single"/>
        </w:rPr>
        <w:t xml:space="preserve">   （供应商名 称）  </w:t>
      </w:r>
      <w:r>
        <w:rPr>
          <w:rFonts w:hint="eastAsia" w:asciiTheme="minorEastAsia" w:hAnsiTheme="minorEastAsia" w:eastAsiaTheme="minorEastAsia" w:cstheme="minorEastAsia"/>
          <w:color w:val="000000"/>
          <w:sz w:val="22"/>
        </w:rPr>
        <w:t>的法定代表人，现授权委托</w:t>
      </w:r>
      <w:r>
        <w:rPr>
          <w:rFonts w:hint="eastAsia" w:asciiTheme="minorEastAsia" w:hAnsiTheme="minorEastAsia" w:eastAsiaTheme="minorEastAsia" w:cstheme="minorEastAsia"/>
          <w:color w:val="000000"/>
          <w:sz w:val="22"/>
          <w:u w:val="single"/>
        </w:rPr>
        <w:t xml:space="preserve">  （单 位 名 称）   </w:t>
      </w:r>
      <w:r>
        <w:rPr>
          <w:rFonts w:hint="eastAsia" w:asciiTheme="minorEastAsia" w:hAnsiTheme="minorEastAsia" w:eastAsiaTheme="minorEastAsia" w:cstheme="minorEastAsia"/>
          <w:color w:val="000000"/>
          <w:sz w:val="22"/>
        </w:rPr>
        <w:t>的</w:t>
      </w:r>
      <w:r>
        <w:rPr>
          <w:rFonts w:hint="eastAsia" w:asciiTheme="minorEastAsia" w:hAnsiTheme="minorEastAsia" w:eastAsiaTheme="minorEastAsia" w:cstheme="minorEastAsia"/>
          <w:color w:val="000000"/>
          <w:sz w:val="22"/>
          <w:u w:val="single"/>
        </w:rPr>
        <w:t xml:space="preserve">  （授权代表姓名）  </w:t>
      </w:r>
      <w:r>
        <w:rPr>
          <w:rFonts w:hint="eastAsia" w:asciiTheme="minorEastAsia" w:hAnsiTheme="minorEastAsia" w:eastAsiaTheme="minorEastAsia" w:cstheme="minorEastAsia"/>
          <w:color w:val="000000"/>
          <w:sz w:val="22"/>
        </w:rPr>
        <w:t>为我公司法定代表人授权代表，参加贵处组织的</w:t>
      </w:r>
      <w:r>
        <w:rPr>
          <w:rFonts w:hint="eastAsia" w:asciiTheme="minorEastAsia" w:hAnsiTheme="minorEastAsia" w:eastAsiaTheme="minorEastAsia" w:cstheme="minorEastAsia"/>
          <w:color w:val="000000"/>
          <w:sz w:val="22"/>
          <w:u w:val="single"/>
        </w:rPr>
        <w:t xml:space="preserve">  招标项目名称（括号中填写项目编号）  </w:t>
      </w:r>
      <w:r>
        <w:rPr>
          <w:rFonts w:hint="eastAsia" w:asciiTheme="minorEastAsia" w:hAnsiTheme="minorEastAsia" w:eastAsiaTheme="minorEastAsia" w:cstheme="minorEastAsia"/>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授权代表无转授权，特此授权</w:t>
      </w:r>
    </w:p>
    <w:p>
      <w:pPr>
        <w:widowControl/>
        <w:snapToGrid w:val="0"/>
        <w:spacing w:line="360" w:lineRule="auto"/>
        <w:ind w:left="1260"/>
        <w:jc w:val="left"/>
        <w:rPr>
          <w:rFonts w:asciiTheme="minorEastAsia" w:hAnsiTheme="minorEastAsia" w:eastAsiaTheme="minorEastAsia" w:cstheme="minorEastAsia"/>
          <w:color w:val="000000"/>
          <w:sz w:val="22"/>
        </w:rPr>
      </w:pP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授权代表：</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性别 ：</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年龄：</w:t>
      </w:r>
      <w:r>
        <w:rPr>
          <w:rFonts w:hint="eastAsia" w:asciiTheme="minorEastAsia" w:hAnsiTheme="minorEastAsia" w:eastAsiaTheme="minorEastAsia" w:cstheme="minorEastAsia"/>
          <w:color w:val="000000"/>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身份证号码：</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职务：</w:t>
      </w:r>
      <w:r>
        <w:rPr>
          <w:rFonts w:hint="eastAsia" w:asciiTheme="minorEastAsia" w:hAnsiTheme="minorEastAsia" w:eastAsiaTheme="minorEastAsia" w:cstheme="minorEastAsia"/>
          <w:color w:val="000000"/>
          <w:sz w:val="22"/>
          <w:u w:val="single"/>
        </w:rPr>
        <w:t xml:space="preserve">      </w:t>
      </w:r>
    </w:p>
    <w:p>
      <w:pPr>
        <w:widowControl/>
        <w:snapToGrid w:val="0"/>
        <w:spacing w:line="360" w:lineRule="auto"/>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详细通讯地址：</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邮政编码：</w:t>
      </w:r>
      <w:r>
        <w:rPr>
          <w:rFonts w:hint="eastAsia" w:asciiTheme="minorEastAsia" w:hAnsiTheme="minorEastAsia" w:eastAsiaTheme="minorEastAsia" w:cstheme="minorEastAsia"/>
          <w:color w:val="000000"/>
          <w:sz w:val="22"/>
          <w:u w:val="single"/>
        </w:rPr>
        <w:t xml:space="preserve">           </w:t>
      </w:r>
    </w:p>
    <w:p>
      <w:pPr>
        <w:widowControl/>
        <w:snapToGrid w:val="0"/>
        <w:ind w:left="2098" w:firstLine="959"/>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电话：</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 传真：</w:t>
      </w:r>
      <w:r>
        <w:rPr>
          <w:rFonts w:hint="eastAsia" w:asciiTheme="minorEastAsia" w:hAnsiTheme="minorEastAsia" w:eastAsiaTheme="minorEastAsia" w:cstheme="minorEastAsia"/>
          <w:color w:val="000000"/>
          <w:sz w:val="22"/>
          <w:u w:val="single"/>
        </w:rPr>
        <w:t xml:space="preserve">                    </w:t>
      </w:r>
    </w:p>
    <w:p>
      <w:pPr>
        <w:widowControl/>
        <w:snapToGrid w:val="0"/>
        <w:ind w:left="2098"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w:t>
      </w:r>
    </w:p>
    <w:p>
      <w:pPr>
        <w:widowControl/>
        <w:snapToGrid w:val="0"/>
        <w:spacing w:line="360" w:lineRule="auto"/>
        <w:ind w:left="2098" w:right="440"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w:t>
      </w:r>
      <w:r>
        <w:rPr>
          <w:rFonts w:hint="eastAsia" w:asciiTheme="minorEastAsia" w:hAnsiTheme="minorEastAsia" w:eastAsiaTheme="minorEastAsia" w:cstheme="minorEastAsia"/>
          <w:color w:val="000000"/>
          <w:sz w:val="22"/>
          <w:u w:val="single"/>
        </w:rPr>
        <w:t xml:space="preserve">                                   （盖章）</w:t>
      </w:r>
    </w:p>
    <w:p>
      <w:pPr>
        <w:widowControl/>
        <w:snapToGrid w:val="0"/>
        <w:spacing w:line="360" w:lineRule="auto"/>
        <w:ind w:left="2098" w:right="440" w:firstLine="95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法定代表人：</w:t>
      </w:r>
      <w:r>
        <w:rPr>
          <w:rFonts w:hint="eastAsia" w:asciiTheme="minorEastAsia" w:hAnsiTheme="minorEastAsia" w:eastAsiaTheme="minorEastAsia" w:cstheme="minorEastAsia"/>
          <w:color w:val="000000"/>
          <w:sz w:val="22"/>
          <w:u w:val="single"/>
        </w:rPr>
        <w:t xml:space="preserve">                           （签字或盖章）</w:t>
      </w:r>
    </w:p>
    <w:p>
      <w:pPr>
        <w:widowControl/>
        <w:snapToGrid w:val="0"/>
        <w:spacing w:line="360" w:lineRule="auto"/>
        <w:jc w:val="left"/>
        <w:rPr>
          <w:rFonts w:asciiTheme="minorEastAsia" w:hAnsiTheme="minorEastAsia" w:eastAsiaTheme="minorEastAsia" w:cstheme="minorEastAsia"/>
          <w:color w:val="000000"/>
          <w:sz w:val="22"/>
        </w:rPr>
      </w:pPr>
    </w:p>
    <w:p>
      <w:pPr>
        <w:widowControl/>
        <w:snapToGrid w:val="0"/>
        <w:spacing w:line="360" w:lineRule="auto"/>
        <w:ind w:left="2098" w:right="440" w:firstLine="959"/>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2"/>
        </w:rPr>
        <w:t>授权委托日期：</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 xml:space="preserve">年 </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月</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日</w:t>
      </w:r>
    </w:p>
    <w:tbl>
      <w:tblPr>
        <w:tblStyle w:val="36"/>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320" w:lineRule="atLeast"/>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授权代表身份证复印件与影印件粘贴处</w:t>
            </w: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24"/>
              </w:rPr>
            </w:pPr>
          </w:p>
          <w:p>
            <w:pPr>
              <w:widowControl/>
              <w:snapToGrid w:val="0"/>
              <w:spacing w:line="400" w:lineRule="exact"/>
              <w:jc w:val="center"/>
              <w:rPr>
                <w:rFonts w:asciiTheme="minorEastAsia" w:hAnsiTheme="minorEastAsia" w:eastAsiaTheme="minorEastAsia" w:cstheme="minorEastAsia"/>
                <w:color w:val="000000"/>
                <w:sz w:val="36"/>
              </w:rPr>
            </w:pPr>
          </w:p>
        </w:tc>
      </w:tr>
    </w:tbl>
    <w:p>
      <w:pPr>
        <w:widowControl/>
        <w:tabs>
          <w:tab w:val="left" w:pos="360"/>
        </w:tabs>
        <w:snapToGrid w:val="0"/>
        <w:spacing w:line="580" w:lineRule="atLeast"/>
        <w:ind w:left="36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注：法定代表人必须签字或盖章，否则做无效标处理。</w:t>
      </w:r>
    </w:p>
    <w:p>
      <w:pPr>
        <w:rPr>
          <w:rFonts w:asciiTheme="minorEastAsia" w:hAnsiTheme="minorEastAsia" w:eastAsiaTheme="minorEastAsia" w:cstheme="minorEastAsia"/>
          <w:color w:val="000000"/>
          <w:sz w:val="30"/>
        </w:rPr>
      </w:pPr>
      <w:r>
        <w:rPr>
          <w:rFonts w:hint="eastAsia" w:asciiTheme="minorEastAsia" w:hAnsiTheme="minorEastAsia" w:eastAsiaTheme="minorEastAsia" w:cstheme="minorEastAsia"/>
          <w:color w:val="000000"/>
          <w:sz w:val="30"/>
        </w:rPr>
        <w:br w:type="page"/>
      </w:r>
    </w:p>
    <w:p>
      <w:pPr>
        <w:pStyle w:val="3"/>
        <w:rPr>
          <w:rFonts w:asciiTheme="minorEastAsia" w:hAnsiTheme="minorEastAsia" w:eastAsiaTheme="minorEastAsia" w:cstheme="minorEastAsia"/>
          <w:color w:val="000000"/>
        </w:rPr>
      </w:pPr>
      <w:bookmarkStart w:id="40" w:name="_Toc424164168"/>
      <w:bookmarkStart w:id="41" w:name="_Toc24550050"/>
      <w:bookmarkStart w:id="42" w:name="_Toc440162800"/>
      <w:bookmarkStart w:id="43" w:name="_Toc7988468"/>
      <w:bookmarkStart w:id="44" w:name="_Toc30408915"/>
      <w:bookmarkStart w:id="45" w:name="_Toc7988414"/>
      <w:bookmarkStart w:id="46" w:name="_Toc8008423"/>
      <w:r>
        <w:rPr>
          <w:rFonts w:hint="eastAsia" w:asciiTheme="minorEastAsia" w:hAnsiTheme="minorEastAsia" w:eastAsiaTheme="minorEastAsia" w:cstheme="minorEastAsia"/>
          <w:color w:val="000000"/>
        </w:rPr>
        <w:t>二、“商务技术文件”格式</w:t>
      </w:r>
      <w:bookmarkEnd w:id="40"/>
      <w:bookmarkEnd w:id="41"/>
      <w:bookmarkEnd w:id="42"/>
      <w:bookmarkEnd w:id="43"/>
      <w:bookmarkEnd w:id="44"/>
      <w:bookmarkEnd w:id="45"/>
      <w:bookmarkEnd w:id="46"/>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 “商务技术文件”封面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hint="eastAsia" w:asciiTheme="minorEastAsia" w:hAnsiTheme="minorEastAsia" w:eastAsiaTheme="minorEastAsia" w:cstheme="minorEastAsia"/>
          <w:b/>
          <w:color w:val="000000"/>
          <w:w w:val="90"/>
          <w:sz w:val="220"/>
          <w:lang w:eastAsia="zh-CN"/>
        </w:rPr>
      </w:pPr>
      <w:r>
        <w:rPr>
          <w:rFonts w:hint="eastAsia" w:asciiTheme="minorEastAsia" w:hAnsiTheme="minorEastAsia" w:eastAsiaTheme="minorEastAsia" w:cstheme="minorEastAsia"/>
          <w:b/>
          <w:color w:val="000000"/>
          <w:w w:val="90"/>
          <w:sz w:val="44"/>
          <w:lang w:eastAsia="zh-CN"/>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（商务技术文件）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000000"/>
                <w:sz w:val="28"/>
                <w:szCs w:val="28"/>
              </w:rPr>
            </w:pPr>
          </w:p>
        </w:tc>
      </w:tr>
    </w:tbl>
    <w:p>
      <w:pPr>
        <w:rPr>
          <w:rFonts w:asciiTheme="minorEastAsia" w:hAnsiTheme="minorEastAsia" w:eastAsiaTheme="minorEastAsia" w:cstheme="minorEastAsia"/>
          <w:color w:val="000000"/>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2.2供应商自评分指引表</w:t>
      </w:r>
    </w:p>
    <w:tbl>
      <w:tblPr>
        <w:tblStyle w:val="36"/>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rFonts w:asciiTheme="minorEastAsia" w:hAnsiTheme="minorEastAsia" w:eastAsiaTheme="minorEastAsia" w:cstheme="minorEastAsia"/>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heme="minorEastAsia" w:hAnsiTheme="minorEastAsia" w:eastAsiaTheme="minorEastAsia" w:cstheme="minorEastAsia"/>
                <w:color w:val="000000"/>
                <w:sz w:val="22"/>
              </w:rPr>
            </w:pPr>
          </w:p>
        </w:tc>
      </w:tr>
    </w:tbl>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p>
    <w:p>
      <w:pPr>
        <w:rPr>
          <w:rFonts w:asciiTheme="minorEastAsia" w:hAnsiTheme="minorEastAsia" w:eastAsiaTheme="minorEastAsia" w:cstheme="minorEastAsia"/>
          <w:color w:val="000000"/>
          <w:sz w:val="32"/>
        </w:rPr>
      </w:pPr>
      <w:r>
        <w:rPr>
          <w:rFonts w:hint="eastAsia" w:asciiTheme="minorEastAsia" w:hAnsiTheme="minorEastAsia" w:eastAsiaTheme="minorEastAsia" w:cstheme="minorEastAsia"/>
          <w:color w:val="000000"/>
          <w:sz w:val="32"/>
        </w:rPr>
        <w:t>2.3供应商参与政府采购活动投标资格声明函</w:t>
      </w:r>
    </w:p>
    <w:p>
      <w:pPr>
        <w:widowControl/>
        <w:snapToGrid w:val="0"/>
        <w:spacing w:line="360" w:lineRule="exact"/>
        <w:jc w:val="center"/>
        <w:rPr>
          <w:rFonts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供应商参与政府采购活动投标资格声明函</w:t>
      </w:r>
    </w:p>
    <w:tbl>
      <w:tblPr>
        <w:tblStyle w:val="36"/>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rFonts w:asciiTheme="minorEastAsia" w:hAnsiTheme="minorEastAsia" w:eastAsiaTheme="minorEastAsia" w:cstheme="minorEastAsia"/>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LGCG</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1、根据政府采购法第二十二条规定，我单位满足以下条件：</w:t>
            </w:r>
          </w:p>
          <w:p>
            <w:pPr>
              <w:widowControl/>
              <w:snapToGrid w:val="0"/>
              <w:spacing w:line="400" w:lineRule="exact"/>
              <w:ind w:firstLine="450"/>
              <w:jc w:val="left"/>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 xml:space="preserve">（一）具有独立承担民事责任的能力； </w:t>
            </w:r>
          </w:p>
          <w:p>
            <w:pPr>
              <w:widowControl/>
              <w:snapToGrid w:val="0"/>
              <w:spacing w:line="400" w:lineRule="exact"/>
              <w:ind w:firstLine="450"/>
              <w:jc w:val="left"/>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 xml:space="preserve">　　（二）具有良好的商业信誉和健全的财务会计制度； </w:t>
            </w:r>
          </w:p>
          <w:p>
            <w:pPr>
              <w:widowControl/>
              <w:snapToGrid w:val="0"/>
              <w:spacing w:line="400" w:lineRule="exact"/>
              <w:ind w:firstLine="450"/>
              <w:jc w:val="left"/>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 xml:space="preserve">　　（三）具有履行合同所必需的设备和专业技术能力； </w:t>
            </w:r>
          </w:p>
          <w:p>
            <w:pPr>
              <w:widowControl/>
              <w:snapToGrid w:val="0"/>
              <w:spacing w:line="400" w:lineRule="exact"/>
              <w:ind w:firstLine="450"/>
              <w:jc w:val="left"/>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 xml:space="preserve">　　（四）有依法缴纳税收和社会保障资金的良好记录； </w:t>
            </w:r>
          </w:p>
          <w:p>
            <w:pPr>
              <w:widowControl/>
              <w:snapToGrid w:val="0"/>
              <w:spacing w:line="400" w:lineRule="exact"/>
              <w:ind w:firstLine="450"/>
              <w:jc w:val="left"/>
              <w:rPr>
                <w:rFonts w:hint="eastAsia" w:asciiTheme="minorEastAsia" w:hAnsiTheme="minorEastAsia" w:eastAsiaTheme="minorEastAsia" w:cstheme="minorEastAsia"/>
                <w:color w:val="000000"/>
                <w:sz w:val="22"/>
                <w:lang w:eastAsia="zh-CN"/>
              </w:rPr>
            </w:pPr>
            <w:r>
              <w:rPr>
                <w:rFonts w:hint="eastAsia" w:asciiTheme="minorEastAsia" w:hAnsiTheme="minorEastAsia" w:eastAsiaTheme="minorEastAsia" w:cstheme="minorEastAsia"/>
                <w:color w:val="000000"/>
                <w:sz w:val="22"/>
              </w:rPr>
              <w:t xml:space="preserve">　　（五）参加政府采购活动前三年内，在经营活动中没有重大违法记录； </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（六）法律、行政法规规定的其他条件。 </w:t>
            </w:r>
          </w:p>
          <w:p>
            <w:pPr>
              <w:widowControl/>
              <w:snapToGrid w:val="0"/>
              <w:spacing w:line="400" w:lineRule="exact"/>
              <w:ind w:firstLine="45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asciiTheme="minorEastAsia" w:hAnsiTheme="minorEastAsia" w:eastAsiaTheme="minorEastAsia" w:cstheme="minorEastAsia"/>
                <w:b/>
                <w:color w:val="000000"/>
                <w:sz w:val="22"/>
              </w:rPr>
              <w:t>我单位承诺不存在上述文件规定依法限制参与政府采购的情况。</w:t>
            </w:r>
          </w:p>
          <w:p>
            <w:pPr>
              <w:widowControl/>
              <w:snapToGrid w:val="0"/>
              <w:spacing w:line="400" w:lineRule="exact"/>
              <w:ind w:firstLine="45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3、我单位承诺没有被各地、各级财政部门限制参加政府采购活动。</w:t>
            </w:r>
          </w:p>
          <w:p>
            <w:pPr>
              <w:widowControl/>
              <w:tabs>
                <w:tab w:val="center" w:pos="4483"/>
              </w:tabs>
              <w:snapToGrid w:val="0"/>
              <w:spacing w:line="360" w:lineRule="auto"/>
              <w:ind w:firstLine="400"/>
              <w:jc w:val="left"/>
              <w:rPr>
                <w:rFonts w:asciiTheme="minorEastAsia" w:hAnsiTheme="minorEastAsia" w:eastAsiaTheme="minorEastAsia" w:cstheme="minorEastAsia"/>
                <w:color w:val="000000"/>
                <w:sz w:val="22"/>
                <w:u w:val="single"/>
              </w:rPr>
            </w:pPr>
            <w:r>
              <w:rPr>
                <w:rFonts w:hint="eastAsia" w:asciiTheme="minorEastAsia" w:hAnsiTheme="minorEastAsia" w:eastAsiaTheme="minorEastAsia" w:cstheme="minorEastAsia"/>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签署日期：</w:t>
            </w:r>
          </w:p>
        </w:tc>
      </w:tr>
    </w:tbl>
    <w:p>
      <w:pPr>
        <w:widowControl/>
        <w:snapToGrid w:val="0"/>
        <w:spacing w:line="460" w:lineRule="atLeast"/>
        <w:jc w:val="left"/>
        <w:rPr>
          <w:rFonts w:asciiTheme="minorEastAsia" w:hAnsiTheme="minorEastAsia" w:eastAsiaTheme="minorEastAsia" w:cstheme="minorEastAsia"/>
          <w:color w:val="000000"/>
          <w:sz w:val="30"/>
        </w:rPr>
      </w:pPr>
    </w:p>
    <w:p>
      <w:pPr>
        <w:rPr>
          <w:rFonts w:asciiTheme="minorEastAsia" w:hAnsiTheme="minorEastAsia" w:eastAsiaTheme="minorEastAsia" w:cstheme="minorEastAsia"/>
          <w:color w:val="000000"/>
          <w:sz w:val="36"/>
        </w:rPr>
      </w:pPr>
    </w:p>
    <w:p>
      <w:pPr>
        <w:rPr>
          <w:rFonts w:asciiTheme="minorEastAsia" w:hAnsiTheme="minorEastAsia" w:eastAsiaTheme="minorEastAsia" w:cstheme="minorEastAsia"/>
          <w:color w:val="000000"/>
          <w:sz w:val="36"/>
        </w:rPr>
      </w:pPr>
    </w:p>
    <w:p>
      <w:pP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36"/>
        </w:rPr>
        <w:t>2.4投标函</w:t>
      </w:r>
    </w:p>
    <w:p>
      <w:pPr>
        <w:widowControl/>
        <w:snapToGrid w:val="0"/>
        <w:spacing w:line="460" w:lineRule="atLeast"/>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2"/>
        </w:rPr>
        <w:t xml:space="preserve">                               </w:t>
      </w:r>
      <w:r>
        <w:rPr>
          <w:rFonts w:hint="eastAsia" w:asciiTheme="minorEastAsia" w:hAnsiTheme="minorEastAsia" w:eastAsiaTheme="minorEastAsia" w:cstheme="minorEastAsia"/>
          <w:color w:val="000000"/>
          <w:sz w:val="36"/>
        </w:rPr>
        <w:t>投标函</w:t>
      </w:r>
    </w:p>
    <w:p>
      <w:pPr>
        <w:widowControl/>
        <w:snapToGrid w:val="0"/>
        <w:spacing w:line="500" w:lineRule="exact"/>
        <w:ind w:firstLine="4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u w:val="single"/>
          <w:lang w:eastAsia="zh-CN"/>
        </w:rPr>
        <w:t>龙港市综合行政执法局</w:t>
      </w:r>
      <w:r>
        <w:rPr>
          <w:rFonts w:hint="eastAsia" w:asciiTheme="minorEastAsia" w:hAnsiTheme="minorEastAsia" w:eastAsiaTheme="minorEastAsia" w:cstheme="minorEastAsia"/>
          <w:color w:val="000000"/>
          <w:sz w:val="22"/>
        </w:rPr>
        <w:t>：</w:t>
      </w:r>
    </w:p>
    <w:p>
      <w:pPr>
        <w:widowControl/>
        <w:snapToGrid w:val="0"/>
        <w:spacing w:line="460" w:lineRule="atLeast"/>
        <w:ind w:firstLine="540"/>
        <w:jc w:val="left"/>
        <w:rPr>
          <w:rFonts w:asciiTheme="minorEastAsia" w:hAnsiTheme="minorEastAsia" w:eastAsiaTheme="minorEastAsia" w:cstheme="minorEastAsia"/>
          <w:color w:val="000000"/>
          <w:sz w:val="22"/>
        </w:rPr>
      </w:pP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    </w:t>
      </w:r>
      <w:r>
        <w:rPr>
          <w:rFonts w:hint="eastAsia" w:asciiTheme="minorEastAsia" w:hAnsiTheme="minorEastAsia" w:eastAsiaTheme="minorEastAsia" w:cstheme="minorEastAsia"/>
          <w:color w:val="000000"/>
          <w:sz w:val="22"/>
          <w:u w:val="single"/>
        </w:rPr>
        <w:t xml:space="preserve">     （供应商全称）    </w:t>
      </w:r>
      <w:r>
        <w:rPr>
          <w:rFonts w:hint="eastAsia" w:asciiTheme="minorEastAsia" w:hAnsiTheme="minorEastAsia" w:eastAsiaTheme="minorEastAsia" w:cstheme="minorEastAsia"/>
          <w:color w:val="000000"/>
          <w:sz w:val="22"/>
        </w:rPr>
        <w:t>授权</w:t>
      </w:r>
      <w:r>
        <w:rPr>
          <w:rFonts w:hint="eastAsia" w:asciiTheme="minorEastAsia" w:hAnsiTheme="minorEastAsia" w:eastAsiaTheme="minorEastAsia" w:cstheme="minorEastAsia"/>
          <w:color w:val="000000"/>
          <w:sz w:val="22"/>
          <w:u w:val="single"/>
        </w:rPr>
        <w:t xml:space="preserve">   （授权代表名称）  </w:t>
      </w:r>
      <w:r>
        <w:rPr>
          <w:rFonts w:hint="eastAsia" w:asciiTheme="minorEastAsia" w:hAnsiTheme="minorEastAsia" w:eastAsiaTheme="minorEastAsia" w:cstheme="minorEastAsia"/>
          <w:color w:val="000000"/>
          <w:sz w:val="22"/>
        </w:rPr>
        <w:t xml:space="preserve"> 为授权代表，参加贵方组织的</w:t>
      </w:r>
      <w:r>
        <w:rPr>
          <w:rFonts w:hint="eastAsia" w:asciiTheme="minorEastAsia" w:hAnsiTheme="minorEastAsia" w:eastAsiaTheme="minorEastAsia" w:cstheme="minorEastAsia"/>
          <w:color w:val="000000"/>
          <w:sz w:val="22"/>
          <w:u w:val="single"/>
        </w:rPr>
        <w:t>（采购项目名称）（项目编号：              ）</w:t>
      </w:r>
      <w:r>
        <w:rPr>
          <w:rFonts w:hint="eastAsia" w:asciiTheme="minorEastAsia" w:hAnsiTheme="minorEastAsia" w:eastAsiaTheme="minorEastAsia" w:cstheme="minorEastAsia"/>
          <w:color w:val="000000"/>
          <w:sz w:val="22"/>
        </w:rPr>
        <w:t xml:space="preserve">采购的有关活动，并对该项目进行报价。为此：    </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1、提供供应商须知规定的全部响应文件。</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2、保证遵守竞争性投标文件中的有关规定和收费标准。</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3、保证忠实地执行双方所签的合同，并承担合同规定的责任义务。</w:t>
      </w:r>
    </w:p>
    <w:p>
      <w:pPr>
        <w:widowControl/>
        <w:snapToGrid w:val="0"/>
        <w:spacing w:line="460" w:lineRule="atLeast"/>
        <w:ind w:firstLine="539"/>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4、我单位承诺如我单位为成交供应商，我方根据采购人要求完成本项目。</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7、利益冲突：近三年内直至目前，我公司与本项目的采购人、采购机构没有任何的利害关系。</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8、</w:t>
      </w:r>
      <w:r>
        <w:rPr>
          <w:rFonts w:hint="eastAsia" w:asciiTheme="minorEastAsia" w:hAnsiTheme="minorEastAsia" w:eastAsiaTheme="minorEastAsia" w:cstheme="minorEastAsia"/>
          <w:color w:val="000000"/>
          <w:sz w:val="22"/>
          <w:lang w:val="zh-CN"/>
        </w:rPr>
        <w:t>我公司近三年内没有行贿受贿记录；我公司没有被政府采购管理部门限制参加投标。</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9、响应文件自递交投标响应文件截止之日起90天内有效。</w:t>
      </w:r>
    </w:p>
    <w:p>
      <w:pPr>
        <w:widowControl/>
        <w:snapToGrid w:val="0"/>
        <w:spacing w:line="460" w:lineRule="atLeast"/>
        <w:ind w:firstLine="539"/>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10、与本采购有关的一切往来通讯请寄：</w:t>
      </w:r>
    </w:p>
    <w:p>
      <w:pPr>
        <w:widowControl/>
        <w:snapToGrid w:val="0"/>
        <w:spacing w:line="460" w:lineRule="atLeast"/>
        <w:ind w:firstLine="540"/>
        <w:jc w:val="left"/>
        <w:rPr>
          <w:rFonts w:asciiTheme="minorEastAsia" w:hAnsiTheme="minorEastAsia" w:eastAsiaTheme="minorEastAsia" w:cstheme="minorEastAsia"/>
          <w:color w:val="000000"/>
          <w:sz w:val="22"/>
        </w:rPr>
      </w:pP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邮编：</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电话：</w:t>
      </w:r>
      <w:r>
        <w:rPr>
          <w:rFonts w:hint="eastAsia" w:asciiTheme="minorEastAsia" w:hAnsiTheme="minorEastAsia" w:eastAsiaTheme="minorEastAsia" w:cstheme="minorEastAsia"/>
          <w:color w:val="000000"/>
          <w:sz w:val="22"/>
          <w:u w:val="single"/>
        </w:rPr>
        <w:t xml:space="preserve">                 </w:t>
      </w:r>
      <w:r>
        <w:rPr>
          <w:rFonts w:hint="eastAsia" w:asciiTheme="minorEastAsia" w:hAnsiTheme="minorEastAsia" w:eastAsiaTheme="minorEastAsia" w:cstheme="minorEastAsia"/>
          <w:color w:val="000000"/>
          <w:sz w:val="22"/>
        </w:rPr>
        <w:t>传真：</w:t>
      </w:r>
      <w:r>
        <w:rPr>
          <w:rFonts w:hint="eastAsia" w:asciiTheme="minorEastAsia" w:hAnsiTheme="minorEastAsia" w:eastAsiaTheme="minorEastAsia" w:cstheme="minorEastAsia"/>
          <w:color w:val="000000"/>
          <w:sz w:val="22"/>
          <w:u w:val="single"/>
        </w:rPr>
        <w:t xml:space="preserve">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投标供应商(签章):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 xml:space="preserve">法定代表人或授权代表（签字或盖章）：               </w:t>
      </w:r>
    </w:p>
    <w:p>
      <w:pPr>
        <w:widowControl/>
        <w:snapToGrid w:val="0"/>
        <w:spacing w:line="460" w:lineRule="atLeast"/>
        <w:ind w:firstLine="540"/>
        <w:jc w:val="left"/>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日期：</w:t>
      </w:r>
    </w:p>
    <w:p>
      <w:pPr>
        <w:widowControl/>
        <w:snapToGrid w:val="0"/>
        <w:spacing w:line="460" w:lineRule="atLeast"/>
        <w:ind w:left="840"/>
        <w:jc w:val="left"/>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u w:val="thick"/>
        </w:rPr>
        <w:t>注：若不提供此函，做无效处理。</w:t>
      </w:r>
    </w:p>
    <w:p>
      <w:pPr>
        <w:widowControl/>
        <w:snapToGrid w:val="0"/>
        <w:spacing w:line="460" w:lineRule="atLeast"/>
        <w:ind w:left="840"/>
        <w:jc w:val="left"/>
        <w:rPr>
          <w:rFonts w:asciiTheme="minorEastAsia" w:hAnsiTheme="minorEastAsia" w:eastAsiaTheme="minorEastAsia" w:cstheme="minorEastAsia"/>
          <w:color w:val="000000"/>
        </w:rPr>
        <w:sectPr>
          <w:footerReference r:id="rId7" w:type="first"/>
          <w:footerReference r:id="rId6" w:type="default"/>
          <w:pgSz w:w="11907" w:h="16840"/>
          <w:pgMar w:top="1440" w:right="1117" w:bottom="1440" w:left="1440" w:header="720" w:footer="720" w:gutter="0"/>
          <w:pgBorders>
            <w:top w:val="none" w:sz="0" w:space="0"/>
            <w:left w:val="none" w:sz="0" w:space="0"/>
            <w:bottom w:val="none" w:sz="0" w:space="0"/>
            <w:right w:val="none" w:sz="0" w:space="0"/>
          </w:pgBorders>
          <w:pgNumType w:start="1"/>
          <w:cols w:space="720" w:num="1"/>
          <w:titlePg/>
          <w:docGrid w:linePitch="286" w:charSpace="0"/>
        </w:sect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2.5投标供应商基本情况说明</w:t>
      </w: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投标供应商基本情况说明（后附企业介绍）</w:t>
      </w:r>
    </w:p>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1、名称及概况：</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sz w:val="24"/>
        </w:rPr>
        <w:t>（1）投标供应商名称：</w:t>
      </w:r>
      <w:r>
        <w:rPr>
          <w:rFonts w:hint="eastAsia" w:asciiTheme="minorEastAsia" w:hAnsiTheme="minorEastAsia" w:eastAsiaTheme="minorEastAsia" w:cstheme="minorEastAsia"/>
          <w:color w:val="000000"/>
          <w:w w:val="90"/>
          <w:sz w:val="24"/>
        </w:rPr>
        <w:t>______________________________________________________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w w:val="90"/>
          <w:sz w:val="24"/>
        </w:rPr>
        <w:t>（2）单位组织形式：</w:t>
      </w:r>
      <w:r>
        <w:rPr>
          <w:rFonts w:hint="eastAsia" w:asciiTheme="minorEastAsia" w:hAnsiTheme="minorEastAsia" w:eastAsiaTheme="minorEastAsia" w:cstheme="minorEastAsia"/>
          <w:color w:val="000000"/>
          <w:w w:val="90"/>
          <w:sz w:val="22"/>
        </w:rPr>
        <w:t>________________________________________________________________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w w:val="90"/>
          <w:sz w:val="24"/>
        </w:rPr>
        <w:t>（3）法定代表人姓名：</w:t>
      </w:r>
      <w:r>
        <w:rPr>
          <w:rFonts w:hint="eastAsia" w:asciiTheme="minorEastAsia" w:hAnsiTheme="minorEastAsia" w:eastAsiaTheme="minorEastAsia" w:cstheme="minorEastAsia"/>
          <w:color w:val="000000"/>
          <w:w w:val="90"/>
          <w:sz w:val="22"/>
        </w:rPr>
        <w:t>______________________________________________________________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color w:val="000000"/>
          <w:sz w:val="24"/>
        </w:rPr>
        <w:t>（4）单位地址：</w:t>
      </w:r>
      <w:r>
        <w:rPr>
          <w:rFonts w:hint="eastAsia" w:asciiTheme="minorEastAsia" w:hAnsiTheme="minorEastAsia" w:eastAsiaTheme="minorEastAsia" w:cstheme="minorEastAsia"/>
          <w:color w:val="000000"/>
          <w:w w:val="90"/>
          <w:sz w:val="22"/>
        </w:rPr>
        <w:t>___________________________________________________________________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（5）单位传真/电话号码：</w:t>
      </w:r>
      <w:r>
        <w:rPr>
          <w:rFonts w:hint="eastAsia" w:asciiTheme="minorEastAsia" w:hAnsiTheme="minorEastAsia" w:eastAsiaTheme="minorEastAsia" w:cstheme="minorEastAsia"/>
          <w:color w:val="000000"/>
          <w:w w:val="90"/>
          <w:sz w:val="22"/>
        </w:rPr>
        <w:t>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（6）成立或工商注册日期：</w:t>
      </w:r>
      <w:r>
        <w:rPr>
          <w:rFonts w:hint="eastAsia" w:asciiTheme="minorEastAsia" w:hAnsiTheme="minorEastAsia" w:eastAsiaTheme="minorEastAsia" w:cstheme="minorEastAsia"/>
          <w:color w:val="000000"/>
          <w:w w:val="90"/>
          <w:sz w:val="24"/>
        </w:rPr>
        <w:t>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（7）实收资本：</w:t>
      </w:r>
      <w:r>
        <w:rPr>
          <w:rFonts w:hint="eastAsia" w:asciiTheme="minorEastAsia" w:hAnsiTheme="minorEastAsia" w:eastAsiaTheme="minorEastAsia" w:cstheme="minorEastAsia"/>
          <w:color w:val="000000"/>
          <w:w w:val="90"/>
          <w:sz w:val="24"/>
        </w:rPr>
        <w:t>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（8）近期资产负债表（</w:t>
      </w:r>
      <w:r>
        <w:rPr>
          <w:rFonts w:hint="eastAsia" w:asciiTheme="minorEastAsia" w:hAnsiTheme="minorEastAsia" w:eastAsiaTheme="minorEastAsia" w:cstheme="minorEastAsia"/>
          <w:color w:val="000000"/>
          <w:sz w:val="24"/>
          <w:u w:val="single"/>
        </w:rPr>
        <w:t>到</w:t>
      </w:r>
      <w:r>
        <w:rPr>
          <w:rFonts w:hint="eastAsia" w:asciiTheme="minorEastAsia" w:hAnsiTheme="minorEastAsia" w:eastAsiaTheme="minorEastAsia" w:cstheme="minorEastAsia"/>
          <w:color w:val="000000"/>
          <w:w w:val="90"/>
          <w:sz w:val="24"/>
        </w:rPr>
        <w:t>____________</w:t>
      </w:r>
      <w:r>
        <w:rPr>
          <w:rFonts w:hint="eastAsia" w:asciiTheme="minorEastAsia" w:hAnsiTheme="minorEastAsia" w:eastAsiaTheme="minorEastAsia" w:cstheme="minorEastAsia"/>
          <w:color w:val="000000"/>
          <w:sz w:val="24"/>
          <w:u w:val="single"/>
        </w:rPr>
        <w:t>年</w:t>
      </w:r>
      <w:r>
        <w:rPr>
          <w:rFonts w:hint="eastAsia" w:asciiTheme="minorEastAsia" w:hAnsiTheme="minorEastAsia" w:eastAsiaTheme="minorEastAsia" w:cstheme="minorEastAsia"/>
          <w:color w:val="000000"/>
          <w:w w:val="90"/>
          <w:sz w:val="24"/>
        </w:rPr>
        <w:t>______</w:t>
      </w:r>
      <w:r>
        <w:rPr>
          <w:rFonts w:hint="eastAsia" w:asciiTheme="minorEastAsia" w:hAnsiTheme="minorEastAsia" w:eastAsiaTheme="minorEastAsia" w:cstheme="minorEastAsia"/>
          <w:color w:val="000000"/>
          <w:sz w:val="24"/>
          <w:u w:val="single"/>
        </w:rPr>
        <w:t>月</w:t>
      </w:r>
      <w:r>
        <w:rPr>
          <w:rFonts w:hint="eastAsia" w:asciiTheme="minorEastAsia" w:hAnsiTheme="minorEastAsia" w:eastAsiaTheme="minorEastAsia" w:cstheme="minorEastAsia"/>
          <w:color w:val="000000"/>
          <w:w w:val="90"/>
          <w:sz w:val="24"/>
        </w:rPr>
        <w:t>______</w:t>
      </w:r>
      <w:r>
        <w:rPr>
          <w:rFonts w:hint="eastAsia" w:asciiTheme="minorEastAsia" w:hAnsiTheme="minorEastAsia" w:eastAsiaTheme="minorEastAsia" w:cstheme="minorEastAsia"/>
          <w:color w:val="000000"/>
          <w:sz w:val="24"/>
          <w:u w:val="single"/>
        </w:rPr>
        <w:t>日止</w:t>
      </w:r>
      <w:r>
        <w:rPr>
          <w:rFonts w:hint="eastAsia" w:asciiTheme="minorEastAsia" w:hAnsiTheme="minorEastAsia" w:eastAsiaTheme="minorEastAsia" w:cstheme="minorEastAsia"/>
          <w:color w:val="000000"/>
          <w:sz w:val="24"/>
        </w:rPr>
        <w:t>）</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1）固定资产：</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2）流动资产：</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3）长期负债：</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4）流动负债：</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5）净    值：</w:t>
      </w:r>
      <w:r>
        <w:rPr>
          <w:rFonts w:hint="eastAsia" w:asciiTheme="minorEastAsia" w:hAnsiTheme="minorEastAsia" w:eastAsiaTheme="minorEastAsia" w:cstheme="minorEastAsia"/>
          <w:color w:val="000000"/>
          <w:w w:val="90"/>
          <w:sz w:val="24"/>
        </w:rPr>
        <w:t>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6）主要负责人姓名：</w:t>
      </w:r>
      <w:r>
        <w:rPr>
          <w:rFonts w:hint="eastAsia" w:asciiTheme="minorEastAsia" w:hAnsiTheme="minorEastAsia" w:eastAsiaTheme="minorEastAsia" w:cstheme="minorEastAsia"/>
          <w:color w:val="000000"/>
          <w:w w:val="90"/>
          <w:sz w:val="24"/>
        </w:rPr>
        <w:t>___________________________________________________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b/>
          <w:color w:val="000000"/>
          <w:sz w:val="24"/>
        </w:rPr>
        <w:t>2、企业现有的与本项目实施有关的设备情况</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w w:val="90"/>
          <w:sz w:val="24"/>
        </w:rPr>
        <w:t>_________________________</w:t>
      </w:r>
    </w:p>
    <w:p>
      <w:pPr>
        <w:spacing w:line="360" w:lineRule="auto"/>
        <w:rPr>
          <w:rFonts w:asciiTheme="minorEastAsia" w:hAnsiTheme="minorEastAsia" w:eastAsiaTheme="minorEastAsia" w:cstheme="minorEastAsia"/>
          <w:color w:val="000000"/>
          <w:w w:val="90"/>
          <w:sz w:val="24"/>
        </w:rPr>
      </w:pPr>
      <w:r>
        <w:rPr>
          <w:rFonts w:hint="eastAsia" w:asciiTheme="minorEastAsia" w:hAnsiTheme="minorEastAsia" w:eastAsiaTheme="minorEastAsia" w:cstheme="minorEastAsia"/>
          <w:b/>
          <w:color w:val="000000"/>
          <w:sz w:val="24"/>
        </w:rPr>
        <w:t>3、企业现有的与本项目实施有关的专业技术人员情况：</w:t>
      </w:r>
      <w:r>
        <w:rPr>
          <w:rFonts w:hint="eastAsia" w:asciiTheme="minorEastAsia" w:hAnsiTheme="minorEastAsia" w:eastAsiaTheme="minorEastAsia" w:cstheme="minorEastAsia"/>
          <w:color w:val="000000"/>
          <w:w w:val="90"/>
          <w:sz w:val="24"/>
        </w:rPr>
        <w:t xml:space="preserve"> 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w w:val="90"/>
          <w:sz w:val="24"/>
        </w:rPr>
        <w:t>_____________________________________________________________________________</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4、近三年的年营业总额</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w w:val="90"/>
          <w:sz w:val="24"/>
        </w:rPr>
        <w:t>____________________________________</w:t>
      </w:r>
    </w:p>
    <w:p>
      <w:pPr>
        <w:spacing w:line="360" w:lineRule="auto"/>
        <w:ind w:firstLine="468" w:firstLineChars="193"/>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兹证明上述声明是真实、正确的、并提供了全部能提供的资料和数据，我们同意遵照公开招标采购文件要求出示有关证明文件。</w:t>
      </w:r>
    </w:p>
    <w:p>
      <w:pPr>
        <w:pStyle w:val="20"/>
        <w:spacing w:line="400" w:lineRule="exact"/>
        <w:ind w:firstLine="482"/>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投标供应商名称（盖章）：</w:t>
      </w:r>
    </w:p>
    <w:p>
      <w:pPr>
        <w:pStyle w:val="20"/>
        <w:spacing w:line="400" w:lineRule="exact"/>
        <w:ind w:firstLine="482"/>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法定代表人或授权代表（签字或盖章）：</w:t>
      </w:r>
    </w:p>
    <w:p>
      <w:pPr>
        <w:spacing w:line="360" w:lineRule="auto"/>
        <w:ind w:firstLine="486"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日    期：</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color w:val="000000"/>
        </w:rPr>
        <w:t>2.6商务偏离表、技术偏离表</w:t>
      </w:r>
    </w:p>
    <w:p>
      <w:pPr>
        <w:widowControl/>
        <w:snapToGrid w:val="0"/>
        <w:spacing w:line="400" w:lineRule="exac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商务偏离表</w:t>
      </w:r>
    </w:p>
    <w:tbl>
      <w:tblPr>
        <w:tblStyle w:val="36"/>
        <w:tblW w:w="9673" w:type="dxa"/>
        <w:tblInd w:w="94" w:type="dxa"/>
        <w:tblLayout w:type="fixed"/>
        <w:tblCellMar>
          <w:top w:w="0" w:type="dxa"/>
          <w:left w:w="0" w:type="dxa"/>
          <w:bottom w:w="0" w:type="dxa"/>
          <w:right w:w="0" w:type="dxa"/>
        </w:tblCellMar>
      </w:tblPr>
      <w:tblGrid>
        <w:gridCol w:w="896"/>
        <w:gridCol w:w="1710"/>
        <w:gridCol w:w="2664"/>
        <w:gridCol w:w="2110"/>
        <w:gridCol w:w="2293"/>
      </w:tblGrid>
      <w:tr>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投标响应文件</w:t>
            </w:r>
          </w:p>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bl>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供应商盖章：</w:t>
      </w:r>
    </w:p>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ind w:firstLine="3600"/>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技术偏离表</w:t>
      </w:r>
    </w:p>
    <w:tbl>
      <w:tblPr>
        <w:tblStyle w:val="36"/>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投标响应文件</w:t>
            </w:r>
          </w:p>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rFonts w:asciiTheme="minorEastAsia" w:hAnsiTheme="minorEastAsia" w:eastAsiaTheme="minorEastAsia" w:cstheme="minorEastAsia"/>
                <w:color w:val="000000"/>
                <w:sz w:val="24"/>
              </w:rPr>
            </w:pPr>
          </w:p>
        </w:tc>
      </w:tr>
    </w:tbl>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供应商盖章：</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2.7投标产品配置清单</w:t>
      </w:r>
    </w:p>
    <w:p>
      <w:pPr>
        <w:spacing w:line="360" w:lineRule="exact"/>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投标产品配置清单</w:t>
      </w:r>
    </w:p>
    <w:p>
      <w:pPr>
        <w:spacing w:line="360" w:lineRule="exact"/>
        <w:jc w:val="center"/>
        <w:rPr>
          <w:rFonts w:asciiTheme="minorEastAsia" w:hAnsiTheme="minorEastAsia" w:eastAsiaTheme="minorEastAsia" w:cstheme="minorEastAsia"/>
          <w:sz w:val="36"/>
          <w:lang w:val="zh-CN"/>
        </w:rPr>
      </w:pPr>
    </w:p>
    <w:p>
      <w:pPr>
        <w:spacing w:line="360" w:lineRule="exact"/>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供应商名称：</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招标编号：</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w:t>
      </w:r>
    </w:p>
    <w:tbl>
      <w:tblPr>
        <w:tblStyle w:val="36"/>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序号</w:t>
            </w: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货物名称</w:t>
            </w: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品牌产地</w:t>
            </w: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r>
              <w:rPr>
                <w:rFonts w:hint="eastAsia" w:asciiTheme="minorEastAsia" w:hAnsiTheme="minorEastAsia" w:eastAsiaTheme="minorEastAsia" w:cstheme="minorEastAsia"/>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307"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48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2894" w:type="dxa"/>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Theme="minorEastAsia" w:hAnsiTheme="minorEastAsia" w:eastAsiaTheme="minorEastAsia" w:cstheme="minorEastAsia"/>
                <w:b/>
                <w:spacing w:val="20"/>
                <w:sz w:val="22"/>
                <w:szCs w:val="22"/>
              </w:rPr>
            </w:pPr>
          </w:p>
        </w:tc>
      </w:tr>
    </w:tbl>
    <w:p>
      <w:pPr>
        <w:spacing w:line="360" w:lineRule="exact"/>
        <w:rPr>
          <w:rFonts w:asciiTheme="minorEastAsia" w:hAnsiTheme="minorEastAsia" w:eastAsiaTheme="minorEastAsia" w:cstheme="minorEastAsia"/>
          <w:b/>
          <w:spacing w:val="20"/>
          <w:sz w:val="22"/>
        </w:rPr>
      </w:pPr>
    </w:p>
    <w:p>
      <w:pPr>
        <w:spacing w:line="360" w:lineRule="exact"/>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供应商盖章：</w:t>
      </w:r>
      <w:r>
        <w:rPr>
          <w:rFonts w:hint="eastAsia" w:asciiTheme="minorEastAsia" w:hAnsiTheme="minorEastAsia" w:eastAsiaTheme="minorEastAsia" w:cstheme="minorEastAsia"/>
          <w:b/>
          <w:spacing w:val="20"/>
          <w:sz w:val="22"/>
          <w:u w:val="single"/>
        </w:rPr>
        <w:t xml:space="preserve">                 </w:t>
      </w:r>
      <w:r>
        <w:rPr>
          <w:rFonts w:hint="eastAsia" w:asciiTheme="minorEastAsia" w:hAnsiTheme="minorEastAsia" w:eastAsiaTheme="minorEastAsia" w:cstheme="minorEastAsia"/>
          <w:b/>
          <w:spacing w:val="20"/>
          <w:sz w:val="22"/>
        </w:rPr>
        <w:t xml:space="preserve">   </w:t>
      </w:r>
    </w:p>
    <w:p>
      <w:pPr>
        <w:spacing w:line="360" w:lineRule="exact"/>
        <w:rPr>
          <w:rFonts w:asciiTheme="minorEastAsia" w:hAnsiTheme="minorEastAsia" w:eastAsiaTheme="minorEastAsia" w:cstheme="minorEastAsia"/>
          <w:b/>
          <w:spacing w:val="20"/>
          <w:sz w:val="22"/>
        </w:rPr>
      </w:pPr>
    </w:p>
    <w:p>
      <w:pPr>
        <w:spacing w:line="360" w:lineRule="auto"/>
        <w:ind w:left="360"/>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注：1、放置技术资信标中，不得含报价。</w:t>
      </w:r>
    </w:p>
    <w:p>
      <w:pPr>
        <w:spacing w:line="360" w:lineRule="auto"/>
        <w:ind w:firstLine="920" w:firstLineChars="350"/>
        <w:rPr>
          <w:rFonts w:asciiTheme="minorEastAsia" w:hAnsiTheme="minorEastAsia" w:eastAsiaTheme="minorEastAsia" w:cstheme="minorEastAsia"/>
          <w:b/>
          <w:spacing w:val="20"/>
          <w:sz w:val="22"/>
        </w:rPr>
      </w:pPr>
      <w:r>
        <w:rPr>
          <w:rFonts w:hint="eastAsia" w:asciiTheme="minorEastAsia" w:hAnsiTheme="minorEastAsia" w:eastAsiaTheme="minorEastAsia" w:cstheme="minorEastAsia"/>
          <w:b/>
          <w:spacing w:val="20"/>
          <w:sz w:val="22"/>
        </w:rPr>
        <w:t>2、所投产品详细配置、技术应另页描述。</w:t>
      </w:r>
    </w:p>
    <w:p>
      <w:pPr>
        <w:pStyle w:val="5"/>
        <w:ind w:firstLine="428"/>
        <w:rPr>
          <w:rFonts w:asciiTheme="minorEastAsia" w:hAnsiTheme="minorEastAsia" w:eastAsiaTheme="minorEastAsia" w:cstheme="minorEastAsia"/>
        </w:rPr>
      </w:pP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 xml:space="preserve">                    </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投标供应商名称（盖章）：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法定代表人或授权代表（签字或盖章）：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日    期：</w:t>
      </w: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 xml:space="preserve">   </w:t>
      </w:r>
    </w:p>
    <w:p>
      <w:pPr>
        <w:pStyle w:val="49"/>
        <w:rPr>
          <w:rFonts w:asciiTheme="minorEastAsia" w:hAnsiTheme="minorEastAsia" w:eastAsiaTheme="minorEastAsia" w:cstheme="minorEastAsia"/>
          <w:lang w:val="zh-CN"/>
        </w:rPr>
      </w:pPr>
    </w:p>
    <w:p>
      <w:pPr>
        <w:pStyle w:val="14"/>
        <w:rPr>
          <w:rFonts w:asciiTheme="minorEastAsia" w:hAnsiTheme="minorEastAsia" w:eastAsiaTheme="minorEastAsia" w:cstheme="minorEastAsia"/>
          <w:lang w:val="zh-CN"/>
        </w:rPr>
      </w:pPr>
    </w:p>
    <w:p>
      <w:pPr>
        <w:pStyle w:val="15"/>
        <w:ind w:firstLine="204"/>
        <w:rPr>
          <w:rFonts w:asciiTheme="minorEastAsia" w:hAnsiTheme="minorEastAsia" w:eastAsiaTheme="minorEastAsia" w:cstheme="minorEastAsia"/>
          <w:lang w:val="zh-CN"/>
        </w:rPr>
      </w:pPr>
    </w:p>
    <w:p>
      <w:pPr>
        <w:pStyle w:val="15"/>
        <w:ind w:firstLine="204"/>
        <w:rPr>
          <w:rFonts w:asciiTheme="minorEastAsia" w:hAnsiTheme="minorEastAsia" w:eastAsiaTheme="minorEastAsia" w:cstheme="minorEastAsia"/>
          <w:lang w:val="zh-CN"/>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2.8项目实施方案</w:t>
      </w:r>
    </w:p>
    <w:p>
      <w:pPr>
        <w:pStyle w:val="20"/>
        <w:adjustRightInd w:val="0"/>
        <w:snapToGrid w:val="0"/>
        <w:spacing w:line="440" w:lineRule="atLeast"/>
        <w:ind w:firstLine="2108" w:firstLineChars="581"/>
        <w:outlineLvl w:val="0"/>
        <w:rPr>
          <w:rFonts w:asciiTheme="minorEastAsia" w:hAnsiTheme="minorEastAsia" w:eastAsiaTheme="minorEastAsia" w:cstheme="minorEastAsia"/>
          <w:b/>
          <w:color w:val="000000"/>
          <w:sz w:val="36"/>
          <w:szCs w:val="36"/>
        </w:rPr>
      </w:pPr>
      <w:bookmarkStart w:id="47" w:name="_Toc477340075"/>
      <w:r>
        <w:rPr>
          <w:rFonts w:hint="eastAsia" w:asciiTheme="minorEastAsia" w:hAnsiTheme="minorEastAsia" w:eastAsiaTheme="minorEastAsia" w:cstheme="minorEastAsia"/>
          <w:b/>
          <w:color w:val="000000"/>
          <w:sz w:val="36"/>
          <w:szCs w:val="36"/>
        </w:rPr>
        <w:t xml:space="preserve">      项目实施方案</w:t>
      </w:r>
      <w:bookmarkEnd w:id="47"/>
    </w:p>
    <w:p>
      <w:pPr>
        <w:spacing w:line="460" w:lineRule="atLeast"/>
        <w:jc w:val="center"/>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4"/>
        </w:rPr>
        <w:t>（格式自拟）</w:t>
      </w:r>
    </w:p>
    <w:p>
      <w:pPr>
        <w:pStyle w:val="20"/>
        <w:spacing w:line="520" w:lineRule="atLeast"/>
        <w:ind w:firstLine="442"/>
        <w:rPr>
          <w:rFonts w:asciiTheme="minorEastAsia" w:hAnsiTheme="minorEastAsia" w:eastAsiaTheme="minorEastAsia" w:cstheme="minorEastAsia"/>
          <w:b/>
          <w:bCs/>
          <w:color w:val="000000"/>
          <w:sz w:val="22"/>
        </w:rPr>
      </w:pPr>
    </w:p>
    <w:p>
      <w:pPr>
        <w:pStyle w:val="20"/>
        <w:adjustRightInd w:val="0"/>
        <w:snapToGrid w:val="0"/>
        <w:spacing w:line="440" w:lineRule="atLeast"/>
        <w:outlineLvl w:val="0"/>
        <w:rPr>
          <w:rFonts w:asciiTheme="minorEastAsia" w:hAnsiTheme="minorEastAsia" w:eastAsiaTheme="minorEastAsia" w:cstheme="minorEastAsia"/>
          <w:b/>
          <w:bCs/>
          <w:color w:val="000000"/>
          <w:kern w:val="0"/>
          <w:sz w:val="32"/>
          <w:szCs w:val="32"/>
        </w:rPr>
      </w:pPr>
      <w:bookmarkStart w:id="48" w:name="_Toc477340081"/>
    </w:p>
    <w:p>
      <w:pPr>
        <w:pStyle w:val="21"/>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color w:val="000000"/>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2.9业绩证明</w:t>
      </w:r>
      <w:bookmarkEnd w:id="48"/>
    </w:p>
    <w:p>
      <w:pPr>
        <w:spacing w:before="99"/>
        <w:jc w:val="center"/>
        <w:rPr>
          <w:rFonts w:asciiTheme="minorEastAsia" w:hAnsiTheme="minorEastAsia" w:eastAsiaTheme="minorEastAsia" w:cstheme="minorEastAsia"/>
          <w:b/>
          <w:bCs/>
          <w:spacing w:val="1"/>
          <w:sz w:val="44"/>
          <w:szCs w:val="44"/>
        </w:rPr>
      </w:pPr>
      <w:r>
        <w:rPr>
          <w:rFonts w:hint="eastAsia" w:asciiTheme="minorEastAsia" w:hAnsiTheme="minorEastAsia" w:eastAsiaTheme="minorEastAsia" w:cstheme="minorEastAsia"/>
          <w:b/>
          <w:bCs/>
          <w:spacing w:val="1"/>
          <w:sz w:val="44"/>
          <w:szCs w:val="44"/>
        </w:rPr>
        <w:t>供应商业绩表及证明材料</w:t>
      </w:r>
    </w:p>
    <w:p>
      <w:pPr>
        <w:spacing w:before="99"/>
        <w:ind w:left="2417"/>
        <w:rPr>
          <w:rFonts w:asciiTheme="minorEastAsia" w:hAnsiTheme="minorEastAsia" w:eastAsiaTheme="minorEastAsia" w:cstheme="minorEastAsia"/>
          <w:sz w:val="44"/>
          <w:szCs w:val="44"/>
        </w:rPr>
      </w:pPr>
    </w:p>
    <w:p>
      <w:pPr>
        <w:spacing w:line="360" w:lineRule="auto"/>
        <w:rPr>
          <w:rFonts w:hint="eastAsia" w:asciiTheme="minorEastAsia" w:hAnsiTheme="minorEastAsia" w:eastAsiaTheme="minorEastAsia" w:cstheme="minorEastAsia"/>
          <w:b/>
          <w:bCs/>
          <w:sz w:val="22"/>
          <w:szCs w:val="22"/>
          <w:u w:val="single"/>
          <w:lang w:eastAsia="zh-CN"/>
        </w:rPr>
      </w:pPr>
      <w:r>
        <w:rPr>
          <w:rFonts w:hint="eastAsia" w:asciiTheme="minorEastAsia" w:hAnsiTheme="minorEastAsia" w:eastAsiaTheme="minorEastAsia" w:cstheme="minorEastAsia"/>
          <w:b/>
          <w:sz w:val="22"/>
          <w:szCs w:val="22"/>
        </w:rPr>
        <w:t>项目名称：</w:t>
      </w:r>
      <w:r>
        <w:rPr>
          <w:rFonts w:hint="eastAsia" w:asciiTheme="minorEastAsia" w:hAnsiTheme="minorEastAsia" w:eastAsiaTheme="minorEastAsia" w:cstheme="minorEastAsia"/>
          <w:b/>
          <w:sz w:val="22"/>
          <w:szCs w:val="22"/>
          <w:u w:val="single"/>
          <w:lang w:eastAsia="zh-CN"/>
        </w:rPr>
        <w:t>龙港市垃圾房智能化监管设备采购项目</w:t>
      </w:r>
    </w:p>
    <w:p>
      <w:pPr>
        <w:spacing w:line="360" w:lineRule="auto"/>
        <w:rPr>
          <w:rFonts w:asciiTheme="minorEastAsia" w:hAnsiTheme="minorEastAsia" w:eastAsiaTheme="minorEastAsia" w:cstheme="minorEastAsia"/>
          <w:b/>
          <w:sz w:val="22"/>
          <w:szCs w:val="22"/>
          <w:u w:val="single"/>
        </w:rPr>
      </w:pPr>
      <w:r>
        <w:rPr>
          <w:rFonts w:hint="eastAsia" w:asciiTheme="minorEastAsia" w:hAnsiTheme="minorEastAsia" w:eastAsiaTheme="minorEastAsia" w:cstheme="minorEastAsia"/>
          <w:b/>
          <w:sz w:val="22"/>
          <w:szCs w:val="22"/>
        </w:rPr>
        <w:t>项目编号：</w:t>
      </w:r>
      <w:r>
        <w:rPr>
          <w:rFonts w:hint="eastAsia" w:asciiTheme="minorEastAsia" w:hAnsiTheme="minorEastAsia" w:eastAsiaTheme="minorEastAsia" w:cstheme="minorEastAsia"/>
          <w:b/>
          <w:bCs/>
          <w:sz w:val="22"/>
          <w:szCs w:val="22"/>
          <w:u w:val="single"/>
        </w:rPr>
        <w:t>LGCG</w:t>
      </w:r>
    </w:p>
    <w:tbl>
      <w:tblPr>
        <w:tblStyle w:val="36"/>
        <w:tblW w:w="9896" w:type="dxa"/>
        <w:tblInd w:w="0" w:type="dxa"/>
        <w:tblLayout w:type="fixed"/>
        <w:tblCellMar>
          <w:top w:w="0" w:type="dxa"/>
          <w:left w:w="0" w:type="dxa"/>
          <w:bottom w:w="0" w:type="dxa"/>
          <w:right w:w="0" w:type="dxa"/>
        </w:tblCellMar>
      </w:tblPr>
      <w:tblGrid>
        <w:gridCol w:w="546"/>
        <w:gridCol w:w="2556"/>
        <w:gridCol w:w="1857"/>
        <w:gridCol w:w="1800"/>
        <w:gridCol w:w="1107"/>
        <w:gridCol w:w="1215"/>
        <w:gridCol w:w="815"/>
      </w:tblGrid>
      <w:tr>
        <w:tblPrEx>
          <w:tblCellMar>
            <w:top w:w="0" w:type="dxa"/>
            <w:left w:w="0" w:type="dxa"/>
            <w:bottom w:w="0" w:type="dxa"/>
            <w:right w:w="0" w:type="dxa"/>
          </w:tblCellMar>
        </w:tblPrEx>
        <w:trPr>
          <w:trHeight w:val="702"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b/>
                <w:sz w:val="22"/>
                <w:szCs w:val="22"/>
                <w:lang w:val="en-US" w:eastAsia="zh-CN"/>
              </w:rPr>
            </w:pPr>
            <w:r>
              <w:rPr>
                <w:rFonts w:hint="eastAsia" w:asciiTheme="minorEastAsia" w:hAnsiTheme="minorEastAsia" w:eastAsiaTheme="minorEastAsia" w:cstheme="minorEastAsia"/>
                <w:b/>
                <w:sz w:val="22"/>
                <w:szCs w:val="22"/>
                <w:lang w:val="en-US" w:eastAsia="zh-CN"/>
              </w:rPr>
              <w:t>项目名称</w:t>
            </w: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用户单位</w:t>
            </w: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合同开始时间</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合同金额</w:t>
            </w: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数量</w:t>
            </w: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备注</w:t>
            </w: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7"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19" w:hRule="exact"/>
        </w:trPr>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25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5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c>
          <w:tcPr>
            <w:tcW w:w="180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10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r>
        <w:tblPrEx>
          <w:tblCellMar>
            <w:top w:w="0" w:type="dxa"/>
            <w:left w:w="0" w:type="dxa"/>
            <w:bottom w:w="0" w:type="dxa"/>
            <w:right w:w="0" w:type="dxa"/>
          </w:tblCellMar>
        </w:tblPrEx>
        <w:trPr>
          <w:trHeight w:val="529" w:hRule="exact"/>
        </w:trPr>
        <w:tc>
          <w:tcPr>
            <w:tcW w:w="6759" w:type="dxa"/>
            <w:gridSpan w:val="4"/>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合计</w:t>
            </w:r>
          </w:p>
        </w:tc>
        <w:tc>
          <w:tcPr>
            <w:tcW w:w="1107"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1215"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b/>
                <w:sz w:val="22"/>
                <w:szCs w:val="22"/>
              </w:rPr>
            </w:pPr>
          </w:p>
        </w:tc>
        <w:tc>
          <w:tcPr>
            <w:tcW w:w="815"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b/>
                <w:sz w:val="22"/>
                <w:szCs w:val="22"/>
              </w:rPr>
            </w:pPr>
          </w:p>
        </w:tc>
      </w:tr>
    </w:tbl>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备注：1、提供</w:t>
      </w:r>
      <w:r>
        <w:rPr>
          <w:rFonts w:hint="eastAsia" w:asciiTheme="minorEastAsia" w:hAnsiTheme="minorEastAsia" w:eastAsiaTheme="minorEastAsia" w:cstheme="minorEastAsia"/>
          <w:b/>
          <w:sz w:val="22"/>
          <w:szCs w:val="22"/>
          <w:lang w:val="en-US" w:eastAsia="zh-CN"/>
        </w:rPr>
        <w:t>相应证明材料扫描件</w:t>
      </w:r>
      <w:r>
        <w:rPr>
          <w:rFonts w:hint="eastAsia" w:asciiTheme="minorEastAsia" w:hAnsiTheme="minorEastAsia" w:eastAsiaTheme="minorEastAsia" w:cstheme="minorEastAsia"/>
          <w:b/>
          <w:sz w:val="22"/>
          <w:szCs w:val="22"/>
          <w:lang w:val="zh-CN"/>
        </w:rPr>
        <w:t>加盖公章。</w:t>
      </w:r>
    </w:p>
    <w:p>
      <w:pPr>
        <w:autoSpaceDE w:val="0"/>
        <w:autoSpaceDN w:val="0"/>
        <w:adjustRightInd w:val="0"/>
        <w:spacing w:line="440" w:lineRule="atLeast"/>
        <w:rPr>
          <w:rFonts w:asciiTheme="minorEastAsia" w:hAnsiTheme="minorEastAsia" w:eastAsiaTheme="minorEastAsia" w:cstheme="minorEastAsia"/>
          <w:b/>
          <w:sz w:val="22"/>
          <w:szCs w:val="22"/>
          <w:lang w:val="zh-CN"/>
        </w:rPr>
      </w:pPr>
      <w:r>
        <w:rPr>
          <w:rFonts w:hint="eastAsia" w:asciiTheme="minorEastAsia" w:hAnsiTheme="minorEastAsia" w:eastAsiaTheme="minorEastAsia" w:cstheme="minorEastAsia"/>
          <w:b/>
          <w:sz w:val="22"/>
          <w:szCs w:val="22"/>
          <w:lang w:val="zh-CN"/>
        </w:rPr>
        <w:t>2、本表可根据具体需要自行增减。</w:t>
      </w: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atLeas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投标供应商名称（盖章）：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法定代表人或授权代表（签字或盖章）：</w:t>
      </w:r>
    </w:p>
    <w:p>
      <w:pPr>
        <w:pStyle w:val="20"/>
        <w:spacing w:line="400" w:lineRule="exact"/>
        <w:ind w:firstLine="442"/>
        <w:rPr>
          <w:rFonts w:asciiTheme="minorEastAsia" w:hAnsiTheme="minorEastAsia" w:eastAsiaTheme="minorEastAsia" w:cstheme="minorEastAsia"/>
          <w:b/>
          <w:color w:val="000000"/>
          <w:sz w:val="22"/>
        </w:rPr>
      </w:pPr>
      <w:r>
        <w:rPr>
          <w:rFonts w:hint="eastAsia" w:asciiTheme="minorEastAsia" w:hAnsiTheme="minorEastAsia" w:eastAsiaTheme="minorEastAsia" w:cstheme="minorEastAsia"/>
          <w:b/>
          <w:color w:val="000000"/>
          <w:sz w:val="22"/>
        </w:rPr>
        <w:t>日    期：</w:t>
      </w: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pStyle w:val="20"/>
        <w:spacing w:line="400" w:lineRule="exact"/>
        <w:ind w:firstLine="442"/>
        <w:rPr>
          <w:rFonts w:asciiTheme="minorEastAsia" w:hAnsiTheme="minorEastAsia" w:eastAsiaTheme="minorEastAsia" w:cstheme="minorEastAsia"/>
          <w:b/>
          <w:color w:val="000000"/>
          <w:sz w:val="22"/>
        </w:rPr>
      </w:pPr>
    </w:p>
    <w:p>
      <w:pPr>
        <w:widowControl/>
        <w:jc w:val="left"/>
        <w:rPr>
          <w:rFonts w:asciiTheme="minorEastAsia" w:hAnsiTheme="minorEastAsia" w:eastAsiaTheme="minorEastAsia" w:cstheme="minorEastAsia"/>
          <w:b/>
          <w:bCs/>
          <w:color w:val="000000"/>
          <w:sz w:val="32"/>
          <w:szCs w:val="32"/>
        </w:rPr>
      </w:pP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2.10项目负责人、项目小组人员资格证书、职称证书等情况</w:t>
      </w: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  （一）拟派项目负责人情况表</w:t>
      </w:r>
    </w:p>
    <w:tbl>
      <w:tblPr>
        <w:tblStyle w:val="36"/>
        <w:tblpPr w:leftFromText="180" w:rightFromText="180" w:vertAnchor="text" w:horzAnchor="margin" w:tblpY="108"/>
        <w:tblW w:w="96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姓名</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性别</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restart"/>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年龄</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职称</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毕业时间</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所学专业</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学历</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从业年限</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证书编号</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其他资质情况</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联系电话</w:t>
            </w:r>
          </w:p>
        </w:tc>
        <w:tc>
          <w:tcPr>
            <w:tcW w:w="2115" w:type="dxa"/>
            <w:vAlign w:val="center"/>
          </w:tcPr>
          <w:p>
            <w:pPr>
              <w:autoSpaceDE w:val="0"/>
              <w:autoSpaceDN w:val="0"/>
              <w:adjustRightInd w:val="0"/>
              <w:jc w:val="center"/>
              <w:rPr>
                <w:rFonts w:asciiTheme="minorEastAsia" w:hAnsiTheme="minorEastAsia" w:eastAsiaTheme="minorEastAsia" w:cstheme="minorEastAsia"/>
                <w:sz w:val="22"/>
              </w:rPr>
            </w:pPr>
          </w:p>
        </w:tc>
        <w:tc>
          <w:tcPr>
            <w:tcW w:w="5176" w:type="dxa"/>
            <w:vMerge w:val="continue"/>
            <w:vAlign w:val="center"/>
          </w:tcPr>
          <w:p>
            <w:pPr>
              <w:adjustRightInd w:val="0"/>
              <w:jc w:val="center"/>
              <w:rPr>
                <w:rFonts w:asciiTheme="minorEastAsia" w:hAnsiTheme="minorEastAsia" w:eastAsiaTheme="minorEastAsia" w:cstheme="minorEastAsia"/>
                <w:b/>
                <w:sz w:val="22"/>
              </w:rPr>
            </w:pPr>
          </w:p>
        </w:tc>
      </w:tr>
    </w:tbl>
    <w:p>
      <w:pPr>
        <w:spacing w:line="380" w:lineRule="exact"/>
        <w:rPr>
          <w:rFonts w:asciiTheme="minorEastAsia" w:hAnsiTheme="minorEastAsia" w:eastAsiaTheme="minorEastAsia" w:cstheme="minorEastAsia"/>
          <w:b/>
          <w:sz w:val="22"/>
          <w:u w:val="single"/>
        </w:rPr>
      </w:pPr>
      <w:r>
        <w:rPr>
          <w:rFonts w:hint="eastAsia" w:asciiTheme="minorEastAsia" w:hAnsiTheme="minorEastAsia" w:eastAsiaTheme="minorEastAsia" w:cstheme="minorEastAsia"/>
          <w:b/>
          <w:sz w:val="22"/>
          <w:u w:val="single"/>
        </w:rPr>
        <w:t>注：须随表提交相应的证书复印件必须是公司正式在编人员。</w:t>
      </w:r>
    </w:p>
    <w:p>
      <w:pPr>
        <w:rPr>
          <w:rFonts w:asciiTheme="minorEastAsia" w:hAnsiTheme="minorEastAsia" w:eastAsiaTheme="minorEastAsia" w:cstheme="minorEastAsia"/>
          <w:sz w:val="22"/>
        </w:rPr>
      </w:pP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投标人（盖章）：</w:t>
      </w: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法定代表人或授权代表（签字或盖章）：</w:t>
      </w:r>
    </w:p>
    <w:p>
      <w:pPr>
        <w:spacing w:line="500" w:lineRule="exact"/>
        <w:ind w:firstLine="436" w:firstLineChars="196"/>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日期：</w:t>
      </w:r>
    </w:p>
    <w:p>
      <w:pPr>
        <w:spacing w:line="500" w:lineRule="exact"/>
        <w:ind w:firstLine="436" w:firstLineChars="196"/>
        <w:rPr>
          <w:rFonts w:asciiTheme="minorEastAsia" w:hAnsiTheme="minorEastAsia" w:eastAsiaTheme="minorEastAsia" w:cstheme="minorEastAsia"/>
          <w:sz w:val="22"/>
        </w:rPr>
      </w:pPr>
    </w:p>
    <w:p>
      <w:pPr>
        <w:autoSpaceDE w:val="0"/>
        <w:autoSpaceDN w:val="0"/>
        <w:adjustRightInd w:val="0"/>
        <w:spacing w:line="440" w:lineRule="atLeast"/>
        <w:rPr>
          <w:rFonts w:asciiTheme="minorEastAsia" w:hAnsiTheme="minorEastAsia" w:eastAsiaTheme="minorEastAsia" w:cstheme="minorEastAsia"/>
          <w:sz w:val="32"/>
          <w:szCs w:val="32"/>
          <w:lang w:val="zh-CN"/>
        </w:rPr>
      </w:pPr>
    </w:p>
    <w:p>
      <w:pPr>
        <w:autoSpaceDE w:val="0"/>
        <w:autoSpaceDN w:val="0"/>
        <w:adjustRightInd w:val="0"/>
        <w:spacing w:line="440" w:lineRule="atLeast"/>
        <w:jc w:val="center"/>
        <w:rPr>
          <w:rFonts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（二）项目小组人员情况表</w:t>
      </w:r>
    </w:p>
    <w:tbl>
      <w:tblPr>
        <w:tblStyle w:val="36"/>
        <w:tblW w:w="9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序号</w:t>
            </w:r>
          </w:p>
        </w:tc>
        <w:tc>
          <w:tcPr>
            <w:tcW w:w="1776"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姓名</w:t>
            </w:r>
          </w:p>
        </w:tc>
        <w:tc>
          <w:tcPr>
            <w:tcW w:w="1061"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性别</w:t>
            </w:r>
          </w:p>
        </w:tc>
        <w:tc>
          <w:tcPr>
            <w:tcW w:w="863"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年龄</w:t>
            </w:r>
          </w:p>
        </w:tc>
        <w:tc>
          <w:tcPr>
            <w:tcW w:w="937"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学历</w:t>
            </w:r>
          </w:p>
        </w:tc>
        <w:tc>
          <w:tcPr>
            <w:tcW w:w="1050"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专业</w:t>
            </w:r>
          </w:p>
        </w:tc>
        <w:tc>
          <w:tcPr>
            <w:tcW w:w="1175"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职称</w:t>
            </w:r>
          </w:p>
        </w:tc>
        <w:tc>
          <w:tcPr>
            <w:tcW w:w="1175"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本项目中的职责</w:t>
            </w:r>
          </w:p>
        </w:tc>
        <w:tc>
          <w:tcPr>
            <w:tcW w:w="954" w:type="dxa"/>
            <w:vAlign w:val="center"/>
          </w:tcPr>
          <w:p>
            <w:pPr>
              <w:adjustRightInd w:val="0"/>
              <w:snapToGrid w:val="0"/>
              <w:jc w:val="center"/>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35" w:hRule="atLeast"/>
          <w:jc w:val="center"/>
        </w:trPr>
        <w:tc>
          <w:tcPr>
            <w:tcW w:w="667" w:type="dxa"/>
            <w:vAlign w:val="center"/>
          </w:tcPr>
          <w:p>
            <w:pPr>
              <w:adjustRightInd w:val="0"/>
              <w:snapToGrid w:val="0"/>
              <w:spacing w:line="360" w:lineRule="auto"/>
              <w:rPr>
                <w:rFonts w:asciiTheme="minorEastAsia" w:hAnsiTheme="minorEastAsia" w:eastAsiaTheme="minorEastAsia" w:cstheme="minorEastAsia"/>
                <w:sz w:val="22"/>
              </w:rPr>
            </w:pPr>
          </w:p>
        </w:tc>
        <w:tc>
          <w:tcPr>
            <w:tcW w:w="1776"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61"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863"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37"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050"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1175" w:type="dxa"/>
            <w:vAlign w:val="center"/>
          </w:tcPr>
          <w:p>
            <w:pPr>
              <w:adjustRightInd w:val="0"/>
              <w:snapToGrid w:val="0"/>
              <w:spacing w:line="360" w:lineRule="auto"/>
              <w:jc w:val="center"/>
              <w:rPr>
                <w:rFonts w:asciiTheme="minorEastAsia" w:hAnsiTheme="minorEastAsia" w:eastAsiaTheme="minorEastAsia" w:cstheme="minorEastAsia"/>
                <w:sz w:val="22"/>
              </w:rPr>
            </w:pPr>
          </w:p>
        </w:tc>
        <w:tc>
          <w:tcPr>
            <w:tcW w:w="954" w:type="dxa"/>
            <w:vAlign w:val="center"/>
          </w:tcPr>
          <w:p>
            <w:pPr>
              <w:adjustRightInd w:val="0"/>
              <w:snapToGrid w:val="0"/>
              <w:spacing w:line="360" w:lineRule="auto"/>
              <w:jc w:val="center"/>
              <w:rPr>
                <w:rFonts w:asciiTheme="minorEastAsia" w:hAnsiTheme="minorEastAsia" w:eastAsiaTheme="minorEastAsia" w:cstheme="minorEastAsia"/>
                <w:sz w:val="22"/>
              </w:rPr>
            </w:pPr>
          </w:p>
        </w:tc>
      </w:tr>
    </w:tbl>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1、一旦我单位中标，将实行项目负责人负责制，并配备上述项目机构人员。我方保证上述填报内容真实，若不真实，愿按有关规定接受处理。</w:t>
      </w:r>
    </w:p>
    <w:p>
      <w:pPr>
        <w:tabs>
          <w:tab w:val="left" w:pos="4532"/>
        </w:tabs>
        <w:spacing w:line="360" w:lineRule="auto"/>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2、以上的人员必须是公司正式在编人员</w:t>
      </w:r>
      <w:bookmarkStart w:id="49" w:name="OLE_LINK41"/>
      <w:r>
        <w:rPr>
          <w:rFonts w:hint="eastAsia" w:asciiTheme="minorEastAsia" w:hAnsiTheme="minorEastAsia" w:eastAsiaTheme="minorEastAsia" w:cstheme="minorEastAsia"/>
          <w:sz w:val="22"/>
        </w:rPr>
        <w:t>。</w:t>
      </w:r>
      <w:bookmarkEnd w:id="49"/>
    </w:p>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p>
    <w:p>
      <w:pPr>
        <w:tabs>
          <w:tab w:val="left" w:pos="4532"/>
        </w:tabs>
        <w:spacing w:line="360" w:lineRule="auto"/>
        <w:rPr>
          <w:rFonts w:asciiTheme="minorEastAsia" w:hAnsiTheme="minorEastAsia" w:eastAsiaTheme="minorEastAsia" w:cstheme="minorEastAsia"/>
          <w:sz w:val="22"/>
        </w:rPr>
      </w:pP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投标人（盖章）：</w:t>
      </w: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法定代表人或授权代表（签字或盖章）：</w:t>
      </w:r>
    </w:p>
    <w:p>
      <w:pPr>
        <w:spacing w:line="500" w:lineRule="exac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日期：</w:t>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2.1</w:t>
      </w:r>
      <w:r>
        <w:rPr>
          <w:rFonts w:hint="eastAsia" w:asciiTheme="minorEastAsia" w:hAnsiTheme="minorEastAsia" w:eastAsiaTheme="minorEastAsia" w:cstheme="minorEastAsia"/>
          <w:color w:val="000000"/>
          <w:lang w:val="en-US" w:eastAsia="zh-CN"/>
        </w:rPr>
        <w:t>1</w:t>
      </w:r>
      <w:r>
        <w:rPr>
          <w:rFonts w:hint="eastAsia" w:asciiTheme="minorEastAsia" w:hAnsiTheme="minorEastAsia" w:eastAsiaTheme="minorEastAsia" w:cstheme="minorEastAsia"/>
          <w:color w:val="000000"/>
        </w:rPr>
        <w:t>投标供应商认为有必要提供的其他材料或说明（如有）</w:t>
      </w:r>
    </w:p>
    <w:p>
      <w:pPr>
        <w:pStyle w:val="6"/>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sz w:val="40"/>
        </w:rPr>
      </w:pPr>
      <w:r>
        <w:rPr>
          <w:rFonts w:hint="eastAsia" w:asciiTheme="minorEastAsia" w:hAnsiTheme="minorEastAsia" w:eastAsiaTheme="minorEastAsia" w:cstheme="minorEastAsia"/>
          <w:b/>
          <w:color w:val="000000"/>
          <w:sz w:val="40"/>
        </w:rPr>
        <w:t>投标供应商认为有必要提供的其他材料或说明</w:t>
      </w:r>
    </w:p>
    <w:p>
      <w:pPr>
        <w:spacing w:line="360" w:lineRule="auto"/>
        <w:jc w:val="left"/>
        <w:rPr>
          <w:rFonts w:hint="eastAsia" w:asciiTheme="minorEastAsia" w:hAnsiTheme="minorEastAsia" w:eastAsiaTheme="minorEastAsia" w:cstheme="minorEastAsia"/>
          <w:b/>
          <w:color w:val="000000"/>
          <w:sz w:val="24"/>
          <w:u w:val="single"/>
          <w:lang w:eastAsia="zh-CN"/>
        </w:rPr>
      </w:pPr>
      <w:r>
        <w:rPr>
          <w:rFonts w:hint="eastAsia" w:asciiTheme="minorEastAsia" w:hAnsiTheme="minorEastAsia" w:eastAsiaTheme="minorEastAsia" w:cstheme="minorEastAsia"/>
          <w:b/>
          <w:color w:val="000000"/>
          <w:sz w:val="24"/>
        </w:rPr>
        <w:t>项目名称：</w:t>
      </w:r>
      <w:r>
        <w:rPr>
          <w:rFonts w:hint="eastAsia" w:asciiTheme="minorEastAsia" w:hAnsiTheme="minorEastAsia" w:eastAsiaTheme="minorEastAsia" w:cstheme="minorEastAsia"/>
          <w:b/>
          <w:color w:val="000000"/>
          <w:sz w:val="24"/>
          <w:u w:val="single"/>
          <w:lang w:eastAsia="zh-CN"/>
        </w:rPr>
        <w:t>龙港市垃圾房智能化监管设备采购项目</w:t>
      </w:r>
    </w:p>
    <w:p>
      <w:pPr>
        <w:spacing w:line="360" w:lineRule="auto"/>
        <w:rPr>
          <w:rFonts w:asciiTheme="minorEastAsia" w:hAnsiTheme="minorEastAsia" w:eastAsiaTheme="minorEastAsia" w:cstheme="minorEastAsia"/>
          <w:b/>
          <w:color w:val="000000"/>
          <w:sz w:val="24"/>
          <w:u w:val="single"/>
        </w:rPr>
      </w:pPr>
      <w:r>
        <w:rPr>
          <w:rFonts w:hint="eastAsia" w:asciiTheme="minorEastAsia" w:hAnsiTheme="minorEastAsia" w:eastAsiaTheme="minorEastAsia" w:cstheme="minorEastAsia"/>
          <w:b/>
          <w:color w:val="000000"/>
          <w:sz w:val="24"/>
        </w:rPr>
        <w:t>项目编号：</w:t>
      </w:r>
      <w:r>
        <w:rPr>
          <w:rFonts w:hint="eastAsia" w:asciiTheme="minorEastAsia" w:hAnsiTheme="minorEastAsia" w:eastAsiaTheme="minorEastAsia" w:cstheme="minorEastAsia"/>
          <w:b/>
          <w:color w:val="000000"/>
          <w:sz w:val="24"/>
          <w:u w:val="single"/>
        </w:rPr>
        <w:t>LGCG</w:t>
      </w:r>
    </w:p>
    <w:tbl>
      <w:tblPr>
        <w:tblStyle w:val="36"/>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Theme="minorEastAsia" w:hAnsiTheme="minorEastAsia" w:eastAsiaTheme="minorEastAsia" w:cstheme="minorEastAsia"/>
                <w:color w:val="000000"/>
                <w:szCs w:val="21"/>
              </w:rPr>
            </w:pPr>
          </w:p>
        </w:tc>
      </w:tr>
    </w:tbl>
    <w:p>
      <w:pPr>
        <w:snapToGri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投标供应商名称（盖章）：____________________________________________</w:t>
      </w:r>
    </w:p>
    <w:p>
      <w:pPr>
        <w:snapToGrid w:val="0"/>
        <w:spacing w:line="360" w:lineRule="auto"/>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法定代表人或其授权代表（签字或盖章）：____________________________</w:t>
      </w:r>
    </w:p>
    <w:p>
      <w:pPr>
        <w:spacing w:line="360" w:lineRule="auto"/>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 w:val="24"/>
        </w:rPr>
        <w:t>日期：________年____月____日</w:t>
      </w:r>
    </w:p>
    <w:p>
      <w:pPr>
        <w:rPr>
          <w:rFonts w:asciiTheme="minorEastAsia" w:hAnsiTheme="minorEastAsia" w:eastAsiaTheme="minorEastAsia" w:cstheme="minorEastAsia"/>
          <w:b/>
          <w:color w:val="000000" w:themeColor="text1"/>
          <w:sz w:val="30"/>
          <w14:textFill>
            <w14:solidFill>
              <w14:schemeClr w14:val="tx1"/>
            </w14:solidFill>
          </w14:textFill>
        </w:rPr>
      </w:pPr>
      <w:r>
        <w:rPr>
          <w:rFonts w:hint="eastAsia" w:asciiTheme="minorEastAsia" w:hAnsiTheme="minorEastAsia" w:eastAsiaTheme="minorEastAsia" w:cstheme="minorEastAsia"/>
          <w:b/>
          <w:color w:val="000000" w:themeColor="text1"/>
          <w:sz w:val="30"/>
          <w14:textFill>
            <w14:solidFill>
              <w14:schemeClr w14:val="tx1"/>
            </w14:solidFill>
          </w14:textFill>
        </w:rPr>
        <w:br w:type="page"/>
      </w:r>
    </w:p>
    <w:p>
      <w:pPr>
        <w:widowControl/>
        <w:snapToGrid w:val="0"/>
        <w:spacing w:before="120" w:after="120" w:line="324" w:lineRule="auto"/>
        <w:jc w:val="center"/>
        <w:rPr>
          <w:rFonts w:asciiTheme="minorEastAsia" w:hAnsiTheme="minorEastAsia" w:eastAsiaTheme="minorEastAsia" w:cstheme="minorEastAsia"/>
          <w:b/>
          <w:color w:val="000000" w:themeColor="text1"/>
          <w:sz w:val="30"/>
          <w14:textFill>
            <w14:solidFill>
              <w14:schemeClr w14:val="tx1"/>
            </w14:solidFill>
          </w14:textFill>
        </w:rPr>
      </w:pPr>
      <w:r>
        <w:rPr>
          <w:rFonts w:hint="eastAsia" w:asciiTheme="minorEastAsia" w:hAnsiTheme="minorEastAsia" w:eastAsiaTheme="minorEastAsia" w:cstheme="minorEastAsia"/>
          <w:b/>
          <w:color w:val="000000" w:themeColor="text1"/>
          <w:sz w:val="30"/>
          <w14:textFill>
            <w14:solidFill>
              <w14:schemeClr w14:val="tx1"/>
            </w14:solidFill>
          </w14:textFill>
        </w:rPr>
        <w:t>诚信投标承诺书</w:t>
      </w:r>
    </w:p>
    <w:p>
      <w:pPr>
        <w:widowControl/>
        <w:snapToGrid w:val="0"/>
        <w:ind w:right="-153"/>
        <w:jc w:val="center"/>
        <w:rPr>
          <w:rFonts w:asciiTheme="minorEastAsia" w:hAnsiTheme="minorEastAsia" w:eastAsiaTheme="minorEastAsia" w:cstheme="minorEastAsia"/>
          <w:color w:val="000000" w:themeColor="text1"/>
          <w:sz w:val="22"/>
          <w14:textFill>
            <w14:solidFill>
              <w14:schemeClr w14:val="tx1"/>
            </w14:solidFill>
          </w14:textFill>
        </w:rPr>
      </w:pPr>
    </w:p>
    <w:p>
      <w:pPr>
        <w:widowControl/>
        <w:snapToGrid w:val="0"/>
        <w:spacing w:line="520" w:lineRule="exact"/>
        <w:ind w:right="-153" w:firstLine="630"/>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本企业郑重承诺：</w:t>
      </w:r>
    </w:p>
    <w:p>
      <w:pPr>
        <w:widowControl/>
        <w:snapToGrid w:val="0"/>
        <w:spacing w:line="520" w:lineRule="exact"/>
        <w:ind w:right="-153" w:firstLine="630"/>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   </w:t>
      </w:r>
    </w:p>
    <w:p>
      <w:pPr>
        <w:widowControl/>
        <w:snapToGrid w:val="0"/>
        <w:spacing w:line="520" w:lineRule="exact"/>
        <w:ind w:left="2" w:right="-153" w:hanging="2"/>
        <w:jc w:val="left"/>
        <w:rPr>
          <w:rFonts w:asciiTheme="minorEastAsia" w:hAnsiTheme="minorEastAsia" w:eastAsiaTheme="minorEastAsia" w:cstheme="minorEastAsia"/>
          <w:color w:val="000000" w:themeColor="text1"/>
          <w:sz w:val="22"/>
          <w14:textFill>
            <w14:solidFill>
              <w14:schemeClr w14:val="tx1"/>
            </w14:solidFill>
          </w14:textFill>
        </w:rPr>
      </w:pP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 xml:space="preserve">投标供应商（盖章）：           </w:t>
      </w: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rFonts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520" w:lineRule="exact"/>
        <w:ind w:left="-174" w:right="-153" w:firstLine="174"/>
        <w:jc w:val="left"/>
        <w:rPr>
          <w:rFonts w:asciiTheme="minorEastAsia" w:hAnsiTheme="minorEastAsia" w:eastAsiaTheme="minorEastAsia" w:cstheme="minorEastAsia"/>
          <w:color w:val="000000"/>
          <w:sz w:val="22"/>
        </w:rPr>
      </w:pPr>
    </w:p>
    <w:p>
      <w:pPr>
        <w:widowControl/>
        <w:snapToGrid w:val="0"/>
        <w:spacing w:line="400" w:lineRule="exact"/>
        <w:jc w:val="left"/>
        <w:rPr>
          <w:rFonts w:asciiTheme="minorEastAsia" w:hAnsiTheme="minorEastAsia" w:eastAsiaTheme="minorEastAsia" w:cstheme="minorEastAsia"/>
          <w:color w:val="000000"/>
          <w:sz w:val="24"/>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pStyle w:val="3"/>
        <w:ind w:firstLine="422"/>
        <w:rPr>
          <w:rFonts w:asciiTheme="minorEastAsia" w:hAnsiTheme="minorEastAsia" w:eastAsiaTheme="minorEastAsia" w:cstheme="minorEastAsia"/>
          <w:b w:val="0"/>
          <w:bCs w:val="0"/>
          <w:color w:val="000000"/>
        </w:rPr>
      </w:pPr>
      <w:bookmarkStart w:id="50" w:name="_Toc7988469"/>
      <w:bookmarkStart w:id="51" w:name="_Toc24550051"/>
      <w:bookmarkStart w:id="52" w:name="_Toc440162801"/>
      <w:bookmarkStart w:id="53" w:name="_Toc8008424"/>
      <w:bookmarkStart w:id="54" w:name="_Toc7988415"/>
      <w:bookmarkStart w:id="55" w:name="_Toc30408916"/>
      <w:r>
        <w:rPr>
          <w:rFonts w:hint="eastAsia" w:asciiTheme="minorEastAsia" w:hAnsiTheme="minorEastAsia" w:eastAsiaTheme="minorEastAsia" w:cstheme="minorEastAsia"/>
          <w:color w:val="000000"/>
        </w:rPr>
        <w:t>三、“报价文件”格式</w:t>
      </w:r>
      <w:bookmarkEnd w:id="50"/>
      <w:bookmarkEnd w:id="51"/>
      <w:bookmarkEnd w:id="52"/>
      <w:bookmarkEnd w:id="53"/>
      <w:bookmarkEnd w:id="54"/>
      <w:bookmarkEnd w:id="55"/>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3.1 “报价文件”封面</w:t>
      </w:r>
    </w:p>
    <w:p>
      <w:pPr>
        <w:spacing w:line="360" w:lineRule="auto"/>
        <w:jc w:val="right"/>
        <w:rPr>
          <w:rFonts w:asciiTheme="minorEastAsia" w:hAnsiTheme="minorEastAsia" w:eastAsiaTheme="minorEastAsia" w:cstheme="minorEastAsia"/>
          <w:b/>
          <w:color w:val="000000"/>
          <w:sz w:val="32"/>
        </w:rPr>
      </w:pPr>
    </w:p>
    <w:p>
      <w:pPr>
        <w:spacing w:line="276" w:lineRule="auto"/>
        <w:jc w:val="center"/>
        <w:rPr>
          <w:rFonts w:hint="eastAsia" w:asciiTheme="minorEastAsia" w:hAnsiTheme="minorEastAsia" w:eastAsiaTheme="minorEastAsia" w:cstheme="minorEastAsia"/>
          <w:b/>
          <w:color w:val="000000"/>
          <w:w w:val="80"/>
          <w:sz w:val="52"/>
          <w:lang w:eastAsia="zh-CN"/>
        </w:rPr>
      </w:pPr>
      <w:r>
        <w:rPr>
          <w:rFonts w:hint="eastAsia" w:asciiTheme="minorEastAsia" w:hAnsiTheme="minorEastAsia" w:eastAsiaTheme="minorEastAsia" w:cstheme="minorEastAsia"/>
          <w:b/>
          <w:color w:val="000000"/>
          <w:w w:val="90"/>
          <w:sz w:val="44"/>
          <w:lang w:eastAsia="zh-CN"/>
        </w:rPr>
        <w:t>龙港市垃圾房智能化监管设备采购项目</w:t>
      </w:r>
    </w:p>
    <w:p>
      <w:pPr>
        <w:spacing w:line="360" w:lineRule="auto"/>
        <w:jc w:val="center"/>
        <w:rPr>
          <w:rFonts w:asciiTheme="minorEastAsia" w:hAnsiTheme="minorEastAsia" w:eastAsiaTheme="minorEastAsia" w:cstheme="minorEastAsia"/>
          <w:b/>
          <w:color w:val="000000"/>
          <w:sz w:val="52"/>
        </w:rPr>
      </w:pPr>
    </w:p>
    <w:p>
      <w:pPr>
        <w:spacing w:line="276" w:lineRule="auto"/>
        <w:jc w:val="center"/>
        <w:rPr>
          <w:rFonts w:asciiTheme="minorEastAsia" w:hAnsiTheme="minorEastAsia" w:eastAsiaTheme="minorEastAsia" w:cstheme="minorEastAsia"/>
          <w:color w:val="000000"/>
          <w:sz w:val="96"/>
        </w:rPr>
      </w:pPr>
      <w:r>
        <w:rPr>
          <w:rFonts w:hint="eastAsia" w:asciiTheme="minorEastAsia" w:hAnsiTheme="minorEastAsia" w:eastAsiaTheme="minorEastAsia" w:cstheme="minorEastAsia"/>
          <w:color w:val="000000"/>
          <w:sz w:val="96"/>
        </w:rPr>
        <w:t>投 标 文 件</w:t>
      </w:r>
    </w:p>
    <w:p>
      <w:pPr>
        <w:spacing w:line="360" w:lineRule="auto"/>
        <w:jc w:val="center"/>
        <w:rPr>
          <w:rFonts w:asciiTheme="minorEastAsia" w:hAnsiTheme="minorEastAsia" w:eastAsiaTheme="minorEastAsia" w:cstheme="minorEastAsia"/>
          <w:b/>
          <w:color w:val="000000"/>
          <w:sz w:val="52"/>
        </w:rPr>
      </w:pPr>
      <w:r>
        <w:rPr>
          <w:rFonts w:hint="eastAsia" w:asciiTheme="minorEastAsia" w:hAnsiTheme="minorEastAsia" w:eastAsiaTheme="minorEastAsia" w:cstheme="minorEastAsia"/>
          <w:b/>
          <w:color w:val="000000"/>
          <w:sz w:val="52"/>
        </w:rPr>
        <w:t>（报价文件）</w:t>
      </w:r>
    </w:p>
    <w:p>
      <w:pPr>
        <w:spacing w:line="360" w:lineRule="auto"/>
        <w:jc w:val="center"/>
        <w:rPr>
          <w:rFonts w:asciiTheme="minorEastAsia" w:hAnsiTheme="minorEastAsia" w:eastAsiaTheme="minorEastAsia" w:cstheme="minorEastAsia"/>
          <w:b/>
          <w:color w:val="000000"/>
          <w:sz w:val="52"/>
        </w:rPr>
      </w:pPr>
    </w:p>
    <w:tbl>
      <w:tblPr>
        <w:tblStyle w:val="36"/>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项目编号：LGCG</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投标供应商名称（盖章）：</w:t>
            </w:r>
            <w:r>
              <w:rPr>
                <w:rFonts w:hint="eastAsia" w:asciiTheme="minorEastAsia" w:hAnsiTheme="minorEastAsia" w:eastAsiaTheme="minorEastAsia" w:cstheme="minorEastAsia"/>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投标供应商地址：</w:t>
            </w:r>
            <w:r>
              <w:rPr>
                <w:rFonts w:hint="eastAsia" w:asciiTheme="minorEastAsia" w:hAnsiTheme="minorEastAsia" w:eastAsiaTheme="minorEastAsia" w:cstheme="minorEastAsia"/>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法定代表人或其授权代表（签字或盖章）：</w:t>
            </w:r>
            <w:r>
              <w:rPr>
                <w:rFonts w:hint="eastAsia" w:asciiTheme="minorEastAsia" w:hAnsiTheme="minorEastAsia" w:eastAsiaTheme="minorEastAsia" w:cstheme="minorEastAsia"/>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日期：</w:t>
            </w:r>
            <w:r>
              <w:rPr>
                <w:rFonts w:hint="eastAsia" w:asciiTheme="minorEastAsia" w:hAnsiTheme="minorEastAsia" w:eastAsiaTheme="minorEastAsia" w:cstheme="minorEastAsia"/>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Theme="minorEastAsia" w:hAnsiTheme="minorEastAsia" w:eastAsiaTheme="minorEastAsia" w:cstheme="minorEastAsia"/>
                <w:color w:val="000000"/>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Theme="minorEastAsia" w:hAnsiTheme="minorEastAsia" w:eastAsiaTheme="minorEastAsia" w:cstheme="minorEastAsia"/>
                <w:b/>
                <w:color w:val="000000"/>
                <w:sz w:val="28"/>
                <w:szCs w:val="28"/>
              </w:rPr>
            </w:pPr>
          </w:p>
        </w:tc>
      </w:tr>
    </w:tbl>
    <w:p>
      <w:pPr>
        <w:rPr>
          <w:rFonts w:asciiTheme="minorEastAsia" w:hAnsiTheme="minorEastAsia" w:eastAsiaTheme="minorEastAsia" w:cstheme="minorEastAsia"/>
          <w:color w:val="000000"/>
        </w:rPr>
      </w:pPr>
    </w:p>
    <w:p>
      <w:pPr>
        <w:widowControl/>
        <w:snapToGrid w:val="0"/>
        <w:spacing w:line="460" w:lineRule="atLeast"/>
        <w:jc w:val="left"/>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rPr>
        <w:br w:type="page"/>
      </w:r>
      <w:r>
        <w:rPr>
          <w:rFonts w:hint="eastAsia" w:asciiTheme="minorEastAsia" w:hAnsiTheme="minorEastAsia" w:eastAsiaTheme="minorEastAsia" w:cstheme="minorEastAsia"/>
          <w:b/>
          <w:bCs/>
          <w:color w:val="000000"/>
          <w:sz w:val="28"/>
          <w:szCs w:val="28"/>
        </w:rPr>
        <w:t>3.2开标一览表</w:t>
      </w:r>
    </w:p>
    <w:p>
      <w:pPr>
        <w:widowControl/>
        <w:snapToGrid w:val="0"/>
        <w:spacing w:line="400" w:lineRule="exact"/>
        <w:jc w:val="center"/>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36"/>
        </w:rPr>
        <w:t>开标一览表</w:t>
      </w: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jc w:val="left"/>
        <w:rPr>
          <w:rFonts w:asciiTheme="minorEastAsia" w:hAnsiTheme="minorEastAsia" w:eastAsiaTheme="minorEastAsia" w:cstheme="minorEastAsia"/>
          <w:color w:val="000000"/>
          <w:sz w:val="36"/>
        </w:rPr>
      </w:pPr>
    </w:p>
    <w:p>
      <w:pPr>
        <w:widowControl/>
        <w:snapToGrid w:val="0"/>
        <w:spacing w:line="400" w:lineRule="exact"/>
        <w:jc w:val="left"/>
        <w:rPr>
          <w:rFonts w:asciiTheme="minorEastAsia" w:hAnsiTheme="minorEastAsia" w:eastAsiaTheme="minorEastAsia" w:cstheme="minorEastAsia"/>
          <w:color w:val="000000"/>
          <w:sz w:val="36"/>
        </w:rPr>
      </w:pPr>
      <w:r>
        <w:rPr>
          <w:rFonts w:hint="eastAsia" w:asciiTheme="minorEastAsia" w:hAnsiTheme="minorEastAsia" w:eastAsiaTheme="minorEastAsia" w:cstheme="minorEastAsia"/>
          <w:color w:val="000000"/>
          <w:sz w:val="24"/>
        </w:rPr>
        <w:t>供应商名称：                           采购编号：          报价单位：人民币元</w:t>
      </w:r>
    </w:p>
    <w:tbl>
      <w:tblPr>
        <w:tblStyle w:val="36"/>
        <w:tblW w:w="10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84"/>
        <w:gridCol w:w="1534"/>
        <w:gridCol w:w="530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5"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项目名称</w:t>
            </w:r>
          </w:p>
        </w:tc>
        <w:tc>
          <w:tcPr>
            <w:tcW w:w="1484" w:type="dxa"/>
            <w:vAlign w:val="center"/>
          </w:tcPr>
          <w:p>
            <w:pPr>
              <w:pStyle w:val="20"/>
              <w:snapToGrid w:val="0"/>
              <w:spacing w:line="460" w:lineRule="atLeast"/>
              <w:jc w:val="center"/>
              <w:rPr>
                <w:rFonts w:hint="eastAsia" w:asciiTheme="minorEastAsia" w:hAnsiTheme="minorEastAsia" w:eastAsiaTheme="minorEastAsia" w:cstheme="minorEastAsia"/>
                <w:b/>
                <w:sz w:val="22"/>
              </w:rPr>
            </w:pPr>
            <w:r>
              <w:rPr>
                <w:rFonts w:hint="eastAsia" w:ascii="宋体" w:hAnsi="宋体" w:cs="宋体"/>
                <w:b/>
                <w:bCs/>
                <w:color w:val="000000"/>
                <w:kern w:val="0"/>
                <w:szCs w:val="21"/>
                <w:lang w:bidi="ar"/>
              </w:rPr>
              <w:t>项目分项内容</w:t>
            </w:r>
          </w:p>
        </w:tc>
        <w:tc>
          <w:tcPr>
            <w:tcW w:w="1534" w:type="dxa"/>
            <w:vAlign w:val="center"/>
          </w:tcPr>
          <w:p>
            <w:pPr>
              <w:pStyle w:val="20"/>
              <w:snapToGrid w:val="0"/>
              <w:spacing w:line="460" w:lineRule="atLeast"/>
              <w:jc w:val="center"/>
              <w:rPr>
                <w:rFonts w:hint="eastAsia" w:asciiTheme="minorEastAsia" w:hAnsiTheme="minorEastAsia" w:eastAsiaTheme="minorEastAsia" w:cstheme="minorEastAsia"/>
                <w:b/>
                <w:sz w:val="22"/>
                <w:lang w:val="en-US" w:eastAsia="zh-CN"/>
              </w:rPr>
            </w:pPr>
            <w:r>
              <w:rPr>
                <w:rFonts w:hint="eastAsia" w:asciiTheme="minorEastAsia" w:hAnsiTheme="minorEastAsia" w:eastAsiaTheme="minorEastAsia" w:cstheme="minorEastAsia"/>
                <w:b/>
                <w:sz w:val="22"/>
                <w:lang w:val="en-US" w:eastAsia="zh-CN"/>
              </w:rPr>
              <w:t>数量</w:t>
            </w:r>
          </w:p>
        </w:tc>
        <w:tc>
          <w:tcPr>
            <w:tcW w:w="5300"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投标报价</w:t>
            </w:r>
          </w:p>
        </w:tc>
        <w:tc>
          <w:tcPr>
            <w:tcW w:w="804" w:type="dxa"/>
            <w:vAlign w:val="center"/>
          </w:tcPr>
          <w:p>
            <w:pPr>
              <w:pStyle w:val="20"/>
              <w:snapToGrid w:val="0"/>
              <w:spacing w:line="460" w:lineRule="atLeast"/>
              <w:jc w:val="center"/>
              <w:rPr>
                <w:rFonts w:asciiTheme="minorEastAsia" w:hAnsiTheme="minorEastAsia" w:eastAsiaTheme="minorEastAsia" w:cstheme="minorEastAsia"/>
                <w:b/>
                <w:sz w:val="22"/>
              </w:rPr>
            </w:pPr>
            <w:r>
              <w:rPr>
                <w:rFonts w:hint="eastAsia" w:asciiTheme="minorEastAsia" w:hAnsiTheme="minorEastAsia" w:eastAsiaTheme="minorEastAsia" w:cstheme="minorEastAsia"/>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1155" w:type="dxa"/>
            <w:vMerge w:val="restart"/>
            <w:vAlign w:val="center"/>
          </w:tcPr>
          <w:p>
            <w:pPr>
              <w:pStyle w:val="20"/>
              <w:spacing w:line="460" w:lineRule="atLeast"/>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sz w:val="22"/>
                <w:lang w:eastAsia="zh-CN"/>
              </w:rPr>
              <w:t>龙港市垃圾房智能化监管设备采购项目</w:t>
            </w:r>
          </w:p>
        </w:tc>
        <w:tc>
          <w:tcPr>
            <w:tcW w:w="1484" w:type="dxa"/>
            <w:vAlign w:val="center"/>
          </w:tcPr>
          <w:p>
            <w:pPr>
              <w:pStyle w:val="20"/>
              <w:spacing w:line="460" w:lineRule="atLeast"/>
              <w:jc w:val="center"/>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软件部分</w:t>
            </w:r>
          </w:p>
        </w:tc>
        <w:tc>
          <w:tcPr>
            <w:tcW w:w="1534" w:type="dxa"/>
            <w:vAlign w:val="center"/>
          </w:tcPr>
          <w:p>
            <w:pPr>
              <w:pStyle w:val="20"/>
              <w:spacing w:line="460" w:lineRule="atLeast"/>
              <w:jc w:val="center"/>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1项</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asciiTheme="minorEastAsia" w:hAnsiTheme="minorEastAsia" w:eastAsiaTheme="minorEastAsia" w:cstheme="minorEastAsia"/>
                <w:b/>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1484" w:type="dxa"/>
            <w:vAlign w:val="center"/>
          </w:tcPr>
          <w:p>
            <w:pPr>
              <w:pStyle w:val="20"/>
              <w:spacing w:line="460" w:lineRule="atLeast"/>
              <w:jc w:val="center"/>
              <w:rPr>
                <w:rFonts w:hint="eastAsia" w:asciiTheme="minorEastAsia" w:hAnsiTheme="minorEastAsia" w:eastAsiaTheme="minorEastAsia" w:cstheme="minorEastAsia"/>
                <w:sz w:val="22"/>
              </w:rPr>
            </w:pPr>
            <w:r>
              <w:rPr>
                <w:rFonts w:hint="eastAsia" w:ascii="宋体" w:hAnsi="宋体" w:cs="宋体"/>
                <w:kern w:val="0"/>
                <w:szCs w:val="21"/>
                <w:lang w:bidi="ar"/>
              </w:rPr>
              <w:t>视频管理平台</w:t>
            </w:r>
          </w:p>
        </w:tc>
        <w:tc>
          <w:tcPr>
            <w:tcW w:w="1534" w:type="dxa"/>
            <w:vAlign w:val="center"/>
          </w:tcPr>
          <w:p>
            <w:pPr>
              <w:pStyle w:val="20"/>
              <w:spacing w:line="460" w:lineRule="atLeast"/>
              <w:jc w:val="center"/>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1项</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1484" w:type="dxa"/>
            <w:vAlign w:val="center"/>
          </w:tcPr>
          <w:p>
            <w:pPr>
              <w:widowControl/>
              <w:jc w:val="center"/>
              <w:textAlignment w:val="center"/>
              <w:rPr>
                <w:rFonts w:hint="eastAsia" w:ascii="宋体" w:hAnsi="宋体" w:cs="宋体"/>
                <w:kern w:val="0"/>
                <w:szCs w:val="21"/>
                <w:lang w:bidi="ar"/>
              </w:rPr>
            </w:pPr>
            <w:r>
              <w:rPr>
                <w:rFonts w:hint="eastAsia" w:ascii="宋体" w:hAnsi="宋体" w:cs="宋体"/>
                <w:szCs w:val="21"/>
              </w:rPr>
              <w:t>新建垃圾房（非封闭场所）</w:t>
            </w:r>
          </w:p>
        </w:tc>
        <w:tc>
          <w:tcPr>
            <w:tcW w:w="1534" w:type="dxa"/>
            <w:vAlign w:val="center"/>
          </w:tcPr>
          <w:p>
            <w:pPr>
              <w:widowControl/>
              <w:jc w:val="center"/>
              <w:textAlignment w:val="center"/>
              <w:rPr>
                <w:rFonts w:hint="eastAsia" w:asciiTheme="minorEastAsia" w:hAnsiTheme="minorEastAsia" w:eastAsiaTheme="minorEastAsia" w:cstheme="minorEastAsia"/>
                <w:sz w:val="22"/>
                <w:lang w:val="en-US" w:eastAsia="zh-CN"/>
              </w:rPr>
            </w:pPr>
            <w:r>
              <w:rPr>
                <w:rFonts w:hint="eastAsia" w:ascii="宋体" w:hAnsi="宋体" w:cs="宋体"/>
                <w:color w:val="000000"/>
                <w:kern w:val="0"/>
                <w:szCs w:val="21"/>
                <w:lang w:bidi="ar"/>
              </w:rPr>
              <w:t>90座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1484" w:type="dxa"/>
            <w:vAlign w:val="center"/>
          </w:tcPr>
          <w:p>
            <w:pPr>
              <w:widowControl/>
              <w:jc w:val="center"/>
              <w:textAlignment w:val="center"/>
              <w:rPr>
                <w:rFonts w:hint="eastAsia" w:ascii="宋体" w:hAnsi="宋体" w:eastAsia="宋体" w:cs="宋体"/>
                <w:kern w:val="0"/>
                <w:szCs w:val="21"/>
                <w:lang w:eastAsia="zh-CN" w:bidi="ar"/>
              </w:rPr>
            </w:pPr>
            <w:r>
              <w:rPr>
                <w:rFonts w:hint="eastAsia" w:ascii="宋体" w:hAnsi="宋体" w:cs="宋体"/>
                <w:szCs w:val="21"/>
                <w:lang w:eastAsia="zh-CN"/>
              </w:rPr>
              <w:t>新建垃圾房（封闭场所）</w:t>
            </w:r>
          </w:p>
        </w:tc>
        <w:tc>
          <w:tcPr>
            <w:tcW w:w="1534" w:type="dxa"/>
            <w:vAlign w:val="center"/>
          </w:tcPr>
          <w:p>
            <w:pPr>
              <w:widowControl/>
              <w:jc w:val="center"/>
              <w:textAlignment w:val="center"/>
              <w:rPr>
                <w:rFonts w:hint="eastAsia" w:asciiTheme="minorEastAsia" w:hAnsiTheme="minorEastAsia" w:eastAsiaTheme="minorEastAsia" w:cstheme="minorEastAsia"/>
                <w:sz w:val="22"/>
                <w:lang w:val="en-US" w:eastAsia="zh-CN"/>
              </w:rPr>
            </w:pPr>
            <w:r>
              <w:rPr>
                <w:rFonts w:hint="eastAsia" w:ascii="宋体" w:hAnsi="宋体" w:cs="宋体"/>
                <w:color w:val="000000"/>
                <w:kern w:val="0"/>
                <w:szCs w:val="21"/>
                <w:lang w:bidi="ar"/>
              </w:rPr>
              <w:t>90座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1484" w:type="dxa"/>
            <w:vAlign w:val="center"/>
          </w:tcPr>
          <w:p>
            <w:pPr>
              <w:widowControl/>
              <w:jc w:val="center"/>
              <w:textAlignment w:val="center"/>
              <w:rPr>
                <w:rFonts w:hint="eastAsia" w:ascii="宋体" w:hAnsi="宋体" w:eastAsia="宋体" w:cs="宋体"/>
                <w:szCs w:val="21"/>
                <w:lang w:eastAsia="zh-CN"/>
              </w:rPr>
            </w:pPr>
            <w:r>
              <w:rPr>
                <w:rFonts w:hint="eastAsia" w:ascii="宋体" w:hAnsi="宋体" w:cs="宋体"/>
                <w:szCs w:val="21"/>
                <w:lang w:eastAsia="zh-CN"/>
              </w:rPr>
              <w:t>原有单面垃圾房（单面）</w:t>
            </w:r>
          </w:p>
        </w:tc>
        <w:tc>
          <w:tcPr>
            <w:tcW w:w="1534"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1484" w:type="dxa"/>
            <w:vAlign w:val="center"/>
          </w:tcPr>
          <w:p>
            <w:pPr>
              <w:widowControl/>
              <w:jc w:val="both"/>
              <w:textAlignment w:val="center"/>
              <w:rPr>
                <w:rFonts w:hint="eastAsia" w:ascii="宋体" w:hAnsi="宋体" w:cs="宋体"/>
                <w:szCs w:val="21"/>
              </w:rPr>
            </w:pPr>
            <w:r>
              <w:rPr>
                <w:rFonts w:hint="eastAsia" w:ascii="宋体" w:hAnsi="宋体" w:cs="宋体"/>
                <w:szCs w:val="21"/>
              </w:rPr>
              <w:t>原有双面垃圾房（双面）</w:t>
            </w:r>
          </w:p>
        </w:tc>
        <w:tc>
          <w:tcPr>
            <w:tcW w:w="1534" w:type="dxa"/>
            <w:vAlign w:val="center"/>
          </w:tcPr>
          <w:p>
            <w:pPr>
              <w:widowControl/>
              <w:jc w:val="center"/>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bidi="ar"/>
              </w:rPr>
              <w:t>44座</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5" w:type="dxa"/>
            <w:vMerge w:val="continue"/>
            <w:vAlign w:val="center"/>
          </w:tcPr>
          <w:p>
            <w:pPr>
              <w:pStyle w:val="20"/>
              <w:spacing w:line="460" w:lineRule="atLeast"/>
              <w:jc w:val="center"/>
              <w:rPr>
                <w:rFonts w:hint="eastAsia" w:asciiTheme="minorEastAsia" w:hAnsiTheme="minorEastAsia" w:eastAsiaTheme="minorEastAsia" w:cstheme="minorEastAsia"/>
                <w:sz w:val="22"/>
                <w:lang w:eastAsia="zh-CN"/>
              </w:rPr>
            </w:pPr>
          </w:p>
        </w:tc>
        <w:tc>
          <w:tcPr>
            <w:tcW w:w="301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en-US" w:eastAsia="zh-CN"/>
              </w:rPr>
              <w:t>合计</w:t>
            </w:r>
          </w:p>
        </w:tc>
        <w:tc>
          <w:tcPr>
            <w:tcW w:w="5300" w:type="dxa"/>
            <w:vAlign w:val="center"/>
          </w:tcPr>
          <w:p>
            <w:pPr>
              <w:pStyle w:val="20"/>
              <w:spacing w:line="460" w:lineRule="atLeas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2"/>
              </w:rPr>
              <w:t>小写：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pStyle w:val="20"/>
              <w:spacing w:line="460" w:lineRule="atLeast"/>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w:t>
            </w:r>
            <w:r>
              <w:rPr>
                <w:rFonts w:hint="eastAsia" w:asciiTheme="minorEastAsia" w:hAnsiTheme="minorEastAsia" w:eastAsiaTheme="minorEastAsia" w:cstheme="minorEastAsia"/>
                <w:sz w:val="22"/>
                <w:u w:val="single"/>
              </w:rPr>
              <w:t xml:space="preserve">            </w:t>
            </w:r>
            <w:r>
              <w:rPr>
                <w:rFonts w:hint="eastAsia" w:asciiTheme="minorEastAsia" w:hAnsiTheme="minorEastAsia" w:eastAsiaTheme="minorEastAsia" w:cstheme="minorEastAsia"/>
                <w:sz w:val="22"/>
              </w:rPr>
              <w:t>元</w:t>
            </w:r>
          </w:p>
        </w:tc>
        <w:tc>
          <w:tcPr>
            <w:tcW w:w="804" w:type="dxa"/>
            <w:vAlign w:val="center"/>
          </w:tcPr>
          <w:p>
            <w:pPr>
              <w:pStyle w:val="20"/>
              <w:spacing w:line="460" w:lineRule="atLeast"/>
              <w:rPr>
                <w:rFonts w:asciiTheme="minorEastAsia" w:hAnsiTheme="minorEastAsia" w:eastAsiaTheme="minorEastAsia" w:cstheme="minorEastAsia"/>
                <w:b/>
                <w:sz w:val="22"/>
              </w:rPr>
            </w:pPr>
          </w:p>
        </w:tc>
      </w:tr>
    </w:tbl>
    <w:p>
      <w:pPr>
        <w:pStyle w:val="20"/>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▲开标一览表中投标价为符合招标文件要求的项目报价（含税、运保、随机工具、随机附件等费用），同时包括整个项目实施过程中所有费用，招标代理费及其它需要的费用。</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rPr>
        <w:t>▲不提供此表格的将视为没有实质性响应招标文件。</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投标供应商全称（盖章）：</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法定代表人或授权代表（签字或盖章）：</w:t>
      </w:r>
    </w:p>
    <w:p>
      <w:pPr>
        <w:widowControl/>
        <w:autoSpaceDE w:val="0"/>
        <w:autoSpaceDN w:val="0"/>
        <w:snapToGrid w:val="0"/>
        <w:spacing w:line="440" w:lineRule="atLeas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日期：</w:t>
      </w:r>
    </w:p>
    <w:p>
      <w:pP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br w:type="page"/>
      </w: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Theme="minorEastAsia" w:hAnsiTheme="minorEastAsia" w:eastAsiaTheme="minorEastAsia" w:cstheme="minorEastAsia"/>
          <w:sz w:val="24"/>
          <w:lang w:val="zh-CN"/>
        </w:rPr>
      </w:pPr>
    </w:p>
    <w:p>
      <w:pPr>
        <w:autoSpaceDE w:val="0"/>
        <w:autoSpaceDN w:val="0"/>
        <w:adjustRightInd w:val="0"/>
        <w:spacing w:line="360" w:lineRule="atLeast"/>
        <w:jc w:val="center"/>
        <w:textAlignment w:val="baseline"/>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分项报价表</w:t>
      </w:r>
    </w:p>
    <w:p>
      <w:pPr>
        <w:spacing w:line="360" w:lineRule="exact"/>
        <w:jc w:val="right"/>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（价格单位：元）</w:t>
      </w:r>
    </w:p>
    <w:tbl>
      <w:tblPr>
        <w:tblStyle w:val="36"/>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87" w:hRule="atLeast"/>
        </w:trPr>
        <w:tc>
          <w:tcPr>
            <w:tcW w:w="913"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1326"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名称</w:t>
            </w:r>
          </w:p>
        </w:tc>
        <w:tc>
          <w:tcPr>
            <w:tcW w:w="1212"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品牌/型号</w:t>
            </w:r>
          </w:p>
        </w:tc>
        <w:tc>
          <w:tcPr>
            <w:tcW w:w="1973"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数量</w:t>
            </w:r>
          </w:p>
        </w:tc>
        <w:tc>
          <w:tcPr>
            <w:tcW w:w="1586" w:type="dxa"/>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单价</w:t>
            </w:r>
          </w:p>
        </w:tc>
        <w:tc>
          <w:tcPr>
            <w:tcW w:w="2627" w:type="dxa"/>
            <w:gridSpan w:val="2"/>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502" w:rightChars="236"/>
              <w:jc w:val="center"/>
              <w:rPr>
                <w:rFonts w:asciiTheme="minorEastAsia" w:hAnsiTheme="minorEastAsia" w:eastAsiaTheme="minorEastAsia" w:cstheme="minorEastAsia"/>
                <w:b/>
                <w:sz w:val="22"/>
                <w:szCs w:val="22"/>
              </w:rPr>
            </w:pPr>
          </w:p>
        </w:tc>
        <w:tc>
          <w:tcPr>
            <w:tcW w:w="1326" w:type="dxa"/>
            <w:vAlign w:val="center"/>
          </w:tcPr>
          <w:p>
            <w:pPr>
              <w:ind w:right="502" w:rightChars="236"/>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vAlign w:val="center"/>
          </w:tcPr>
          <w:p>
            <w:pPr>
              <w:jc w:val="center"/>
              <w:rPr>
                <w:rFonts w:asciiTheme="minorEastAsia" w:hAnsiTheme="minorEastAsia" w:eastAsiaTheme="minorEastAsia" w:cstheme="minorEastAsia"/>
                <w:b/>
                <w:sz w:val="22"/>
                <w:szCs w:val="22"/>
              </w:rPr>
            </w:pPr>
          </w:p>
        </w:tc>
        <w:tc>
          <w:tcPr>
            <w:tcW w:w="2627" w:type="dxa"/>
            <w:gridSpan w:val="2"/>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vAlign w:val="center"/>
          </w:tcPr>
          <w:p>
            <w:pPr>
              <w:jc w:val="center"/>
              <w:rPr>
                <w:rFonts w:asciiTheme="minorEastAsia" w:hAnsiTheme="minorEastAsia" w:eastAsiaTheme="minorEastAsia" w:cstheme="minorEastAsia"/>
                <w:b/>
                <w:sz w:val="22"/>
                <w:szCs w:val="22"/>
              </w:rPr>
            </w:pPr>
          </w:p>
        </w:tc>
        <w:tc>
          <w:tcPr>
            <w:tcW w:w="2627" w:type="dxa"/>
            <w:gridSpan w:val="2"/>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86" w:type="dxa"/>
            <w:tcBorders>
              <w:right w:val="single" w:color="auto" w:sz="4" w:space="0"/>
            </w:tcBorders>
            <w:vAlign w:val="center"/>
          </w:tcPr>
          <w:p>
            <w:pPr>
              <w:jc w:val="center"/>
              <w:rPr>
                <w:rFonts w:asciiTheme="minorEastAsia" w:hAnsiTheme="minorEastAsia" w:eastAsiaTheme="minorEastAsia" w:cstheme="minorEastAsia"/>
                <w:b/>
                <w:sz w:val="22"/>
                <w:szCs w:val="22"/>
              </w:rPr>
            </w:pPr>
          </w:p>
        </w:tc>
        <w:tc>
          <w:tcPr>
            <w:tcW w:w="2627" w:type="dxa"/>
            <w:gridSpan w:val="2"/>
            <w:tcBorders>
              <w:left w:val="single" w:color="auto" w:sz="4" w:space="0"/>
            </w:tcBorders>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Theme="minorEastAsia" w:hAnsiTheme="minorEastAsia" w:eastAsiaTheme="minorEastAsia" w:cstheme="minorEastAsia"/>
                <w:b/>
                <w:sz w:val="22"/>
                <w:szCs w:val="22"/>
              </w:rPr>
            </w:pPr>
          </w:p>
        </w:tc>
        <w:tc>
          <w:tcPr>
            <w:tcW w:w="1326" w:type="dxa"/>
            <w:vAlign w:val="center"/>
          </w:tcPr>
          <w:p>
            <w:pPr>
              <w:jc w:val="center"/>
              <w:rPr>
                <w:rFonts w:asciiTheme="minorEastAsia" w:hAnsiTheme="minorEastAsia" w:eastAsiaTheme="minorEastAsia" w:cstheme="minorEastAsia"/>
                <w:b/>
                <w:sz w:val="22"/>
                <w:szCs w:val="22"/>
              </w:rPr>
            </w:pPr>
          </w:p>
        </w:tc>
        <w:tc>
          <w:tcPr>
            <w:tcW w:w="1212" w:type="dxa"/>
            <w:vAlign w:val="center"/>
          </w:tcPr>
          <w:p>
            <w:pPr>
              <w:jc w:val="center"/>
              <w:rPr>
                <w:rFonts w:asciiTheme="minorEastAsia" w:hAnsiTheme="minorEastAsia" w:eastAsiaTheme="minorEastAsia" w:cstheme="minorEastAsia"/>
                <w:b/>
                <w:sz w:val="22"/>
                <w:szCs w:val="22"/>
              </w:rPr>
            </w:pPr>
          </w:p>
        </w:tc>
        <w:tc>
          <w:tcPr>
            <w:tcW w:w="1973" w:type="dxa"/>
            <w:vAlign w:val="center"/>
          </w:tcPr>
          <w:p>
            <w:pPr>
              <w:snapToGrid w:val="0"/>
              <w:spacing w:line="400" w:lineRule="atLeast"/>
              <w:jc w:val="center"/>
              <w:rPr>
                <w:rFonts w:asciiTheme="minorEastAsia" w:hAnsiTheme="minorEastAsia" w:eastAsiaTheme="minorEastAsia" w:cstheme="minorEastAsia"/>
                <w:b/>
                <w:sz w:val="22"/>
                <w:szCs w:val="22"/>
              </w:rPr>
            </w:pPr>
          </w:p>
        </w:tc>
        <w:tc>
          <w:tcPr>
            <w:tcW w:w="1593" w:type="dxa"/>
            <w:gridSpan w:val="2"/>
            <w:tcBorders>
              <w:right w:val="single" w:color="auto" w:sz="4" w:space="0"/>
            </w:tcBorders>
            <w:vAlign w:val="center"/>
          </w:tcPr>
          <w:p>
            <w:pPr>
              <w:jc w:val="center"/>
              <w:rPr>
                <w:rFonts w:asciiTheme="minorEastAsia" w:hAnsiTheme="minorEastAsia" w:eastAsiaTheme="minorEastAsia" w:cstheme="minorEastAsia"/>
                <w:b/>
                <w:sz w:val="22"/>
                <w:szCs w:val="22"/>
              </w:rPr>
            </w:pPr>
          </w:p>
        </w:tc>
        <w:tc>
          <w:tcPr>
            <w:tcW w:w="2620" w:type="dxa"/>
            <w:tcBorders>
              <w:left w:val="single" w:color="auto" w:sz="4" w:space="0"/>
            </w:tcBorders>
            <w:vAlign w:val="center"/>
          </w:tcPr>
          <w:p>
            <w:pPr>
              <w:jc w:val="center"/>
              <w:rPr>
                <w:rFonts w:asciiTheme="minorEastAsia" w:hAnsiTheme="minorEastAsia" w:eastAsiaTheme="minorEastAsia" w:cstheme="minorEastAsia"/>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451" w:type="dxa"/>
            <w:gridSpan w:val="3"/>
            <w:vAlign w:val="center"/>
          </w:tcPr>
          <w:p>
            <w:pPr>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合计报价</w:t>
            </w:r>
          </w:p>
        </w:tc>
        <w:tc>
          <w:tcPr>
            <w:tcW w:w="6186" w:type="dxa"/>
            <w:gridSpan w:val="4"/>
            <w:vAlign w:val="center"/>
          </w:tcPr>
          <w:p>
            <w:pPr>
              <w:jc w:val="center"/>
              <w:rPr>
                <w:rFonts w:asciiTheme="minorEastAsia" w:hAnsiTheme="minorEastAsia" w:eastAsiaTheme="minorEastAsia" w:cstheme="minorEastAsia"/>
                <w:b/>
                <w:sz w:val="22"/>
                <w:szCs w:val="22"/>
              </w:rPr>
            </w:pPr>
          </w:p>
        </w:tc>
      </w:tr>
    </w:tbl>
    <w:p>
      <w:pPr>
        <w:rPr>
          <w:rFonts w:asciiTheme="minorEastAsia" w:hAnsiTheme="minorEastAsia" w:eastAsiaTheme="minorEastAsia" w:cstheme="minorEastAsia"/>
          <w:bCs/>
        </w:rPr>
      </w:pPr>
    </w:p>
    <w:p>
      <w:pPr>
        <w:rPr>
          <w:rFonts w:asciiTheme="minorEastAsia" w:hAnsiTheme="minorEastAsia" w:eastAsiaTheme="minorEastAsia" w:cstheme="minorEastAsia"/>
        </w:rPr>
      </w:pPr>
      <w:r>
        <w:rPr>
          <w:rFonts w:hint="eastAsia" w:asciiTheme="minorEastAsia" w:hAnsiTheme="minorEastAsia" w:eastAsiaTheme="minorEastAsia" w:cstheme="minorEastAsia"/>
          <w:bCs/>
        </w:rPr>
        <w:t>附注：</w:t>
      </w:r>
      <w:r>
        <w:rPr>
          <w:rFonts w:hint="eastAsia" w:asciiTheme="minorEastAsia" w:hAnsiTheme="minorEastAsia" w:eastAsiaTheme="minorEastAsia" w:cstheme="minorEastAsia"/>
        </w:rPr>
        <w:t>1. 不提供详细分项报价表将视为没有实质性响应招标文件，货物名称按采购设备清单内容。</w:t>
      </w:r>
    </w:p>
    <w:p>
      <w:pPr>
        <w:ind w:firstLine="630"/>
        <w:rPr>
          <w:rFonts w:asciiTheme="minorEastAsia" w:hAnsiTheme="minorEastAsia" w:eastAsiaTheme="minorEastAsia" w:cstheme="minorEastAsia"/>
        </w:rPr>
      </w:pPr>
      <w:r>
        <w:rPr>
          <w:rFonts w:hint="eastAsia" w:asciiTheme="minorEastAsia" w:hAnsiTheme="minorEastAsia" w:eastAsiaTheme="minorEastAsia" w:cstheme="minorEastAsia"/>
        </w:rPr>
        <w:t>2. 如果免费请在该备注栏内注明“免”，如果含在产品价格中则填“含”，如无此项内容则填“无”，不留空白。</w:t>
      </w:r>
    </w:p>
    <w:p>
      <w:pPr>
        <w:ind w:firstLine="630"/>
        <w:rPr>
          <w:rFonts w:asciiTheme="minorEastAsia" w:hAnsiTheme="minorEastAsia" w:eastAsiaTheme="minorEastAsia" w:cstheme="minorEastAsia"/>
        </w:rPr>
      </w:pPr>
      <w:r>
        <w:rPr>
          <w:rFonts w:hint="eastAsia" w:asciiTheme="minorEastAsia" w:hAnsiTheme="minorEastAsia" w:eastAsiaTheme="minorEastAsia" w:cstheme="minorEastAsia"/>
        </w:rPr>
        <w:t>3.  根据《中华人民共和国政府采购法实施条例 》第四十三条规定，在中标或者成交公告的内容中可能增加本表，请各供应商认真填写，确保报价数据的真实性、完整性和合理性。</w:t>
      </w:r>
    </w:p>
    <w:p>
      <w:pPr>
        <w:ind w:firstLine="63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rPr>
        <w:t>4、表格可以延续。</w:t>
      </w:r>
      <w:r>
        <w:rPr>
          <w:rFonts w:hint="eastAsia" w:asciiTheme="minorEastAsia" w:hAnsiTheme="minorEastAsia" w:eastAsiaTheme="minorEastAsia" w:cstheme="minorEastAsia"/>
          <w:sz w:val="22"/>
          <w:szCs w:val="22"/>
        </w:rPr>
        <w:t xml:space="preserve"> </w:t>
      </w:r>
    </w:p>
    <w:p>
      <w:pPr>
        <w:pStyle w:val="15"/>
        <w:ind w:firstLine="224"/>
        <w:rPr>
          <w:rFonts w:asciiTheme="minorEastAsia" w:hAnsiTheme="minorEastAsia" w:eastAsiaTheme="minorEastAsia" w:cstheme="minorEastAsia"/>
          <w:sz w:val="22"/>
          <w:szCs w:val="22"/>
          <w:lang w:val="zh-CN"/>
        </w:rPr>
      </w:pPr>
    </w:p>
    <w:p>
      <w:pPr>
        <w:pStyle w:val="15"/>
        <w:ind w:firstLine="224"/>
        <w:rPr>
          <w:rFonts w:asciiTheme="minorEastAsia" w:hAnsiTheme="minorEastAsia" w:eastAsiaTheme="minorEastAsia" w:cstheme="minorEastAsia"/>
          <w:sz w:val="22"/>
          <w:szCs w:val="22"/>
          <w:lang w:val="zh-CN"/>
        </w:rPr>
      </w:pPr>
    </w:p>
    <w:p>
      <w:pPr>
        <w:pStyle w:val="15"/>
        <w:ind w:firstLine="224"/>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投标供应商全称（盖章）：</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法定代表人或授权代表（签字或盖章）：</w:t>
      </w:r>
    </w:p>
    <w:p>
      <w:pPr>
        <w:autoSpaceDE w:val="0"/>
        <w:autoSpaceDN w:val="0"/>
        <w:adjustRightInd w:val="0"/>
        <w:spacing w:line="440" w:lineRule="atLeast"/>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t>日期：</w:t>
      </w:r>
    </w:p>
    <w:p>
      <w:pPr>
        <w:rPr>
          <w:rFonts w:asciiTheme="minorEastAsia" w:hAnsiTheme="minorEastAsia" w:eastAsiaTheme="minorEastAsia" w:cstheme="minorEastAsia"/>
          <w:sz w:val="22"/>
          <w:szCs w:val="22"/>
          <w:lang w:val="zh-CN"/>
        </w:rPr>
      </w:pPr>
      <w:r>
        <w:rPr>
          <w:rFonts w:hint="eastAsia" w:asciiTheme="minorEastAsia" w:hAnsiTheme="minorEastAsia" w:eastAsiaTheme="minorEastAsia" w:cstheme="minorEastAsia"/>
          <w:sz w:val="22"/>
          <w:szCs w:val="22"/>
          <w:lang w:val="zh-CN"/>
        </w:rPr>
        <w:br w:type="page"/>
      </w:r>
    </w:p>
    <w:p>
      <w:pPr>
        <w:pStyle w:val="4"/>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 符合政府采购扶持政策的相关证明材料（如是）</w:t>
      </w:r>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3.3.1 中小企业声明函及相关证明材料（如是）</w:t>
      </w:r>
    </w:p>
    <w:p>
      <w:pPr>
        <w:autoSpaceDE w:val="0"/>
        <w:autoSpaceDN w:val="0"/>
        <w:adjustRightInd w:val="0"/>
        <w:spacing w:line="360" w:lineRule="auto"/>
        <w:jc w:val="center"/>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中小企业声明函（货物）</w:t>
      </w:r>
    </w:p>
    <w:p>
      <w:pPr>
        <w:autoSpaceDE w:val="0"/>
        <w:autoSpaceDN w:val="0"/>
        <w:adjustRightInd w:val="0"/>
        <w:spacing w:line="360" w:lineRule="auto"/>
        <w:ind w:firstLine="486"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kern w:val="0"/>
          <w:sz w:val="24"/>
          <w:u w:val="single"/>
        </w:rPr>
        <w:t>（单位名称）</w:t>
      </w:r>
      <w:r>
        <w:rPr>
          <w:rFonts w:hint="eastAsia" w:asciiTheme="minorEastAsia" w:hAnsiTheme="minorEastAsia" w:eastAsiaTheme="minorEastAsia" w:cstheme="minorEastAsia"/>
          <w:kern w:val="0"/>
          <w:sz w:val="24"/>
        </w:rPr>
        <w:t>的</w:t>
      </w:r>
      <w:r>
        <w:rPr>
          <w:rFonts w:hint="eastAsia" w:asciiTheme="minorEastAsia" w:hAnsiTheme="minorEastAsia" w:eastAsiaTheme="minorEastAsia" w:cstheme="minorEastAsia"/>
          <w:kern w:val="0"/>
          <w:sz w:val="24"/>
          <w:u w:val="single"/>
        </w:rPr>
        <w:t>（项目名称）</w:t>
      </w:r>
      <w:r>
        <w:rPr>
          <w:rFonts w:hint="eastAsia" w:asciiTheme="minorEastAsia" w:hAnsiTheme="minorEastAsia" w:eastAsiaTheme="minorEastAsia" w:cstheme="minorEastAsia"/>
          <w:kern w:val="0"/>
          <w:sz w:val="24"/>
        </w:rPr>
        <w:t>采购活动，</w:t>
      </w:r>
      <w:r>
        <w:rPr>
          <w:rFonts w:hint="eastAsia" w:asciiTheme="minorEastAsia" w:hAnsiTheme="minorEastAsia" w:eastAsiaTheme="minorEastAsia" w:cstheme="minorEastAsia"/>
          <w:b/>
          <w:kern w:val="0"/>
          <w:sz w:val="24"/>
        </w:rPr>
        <w:t>提供的货物全部由符合政策要求的中小企业制造。</w:t>
      </w:r>
      <w:r>
        <w:rPr>
          <w:rFonts w:hint="eastAsia" w:asciiTheme="minorEastAsia" w:hAnsiTheme="minorEastAsia" w:eastAsiaTheme="minorEastAsia" w:cstheme="minorEastAsia"/>
          <w:kern w:val="0"/>
          <w:sz w:val="24"/>
        </w:rPr>
        <w:t>相关企业（含联合体中的中小企业、签订分包意向协议的中小企业）的具体情况如下：</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1. </w:t>
      </w:r>
      <w:r>
        <w:rPr>
          <w:rFonts w:hint="eastAsia" w:asciiTheme="minorEastAsia" w:hAnsiTheme="minorEastAsia" w:eastAsiaTheme="minorEastAsia" w:cstheme="minorEastAsia"/>
          <w:kern w:val="0"/>
          <w:sz w:val="24"/>
          <w:u w:val="single"/>
        </w:rPr>
        <w:t xml:space="preserve">（标的名称） </w:t>
      </w:r>
      <w:r>
        <w:rPr>
          <w:rFonts w:hint="eastAsia" w:asciiTheme="minorEastAsia" w:hAnsiTheme="minorEastAsia" w:eastAsiaTheme="minorEastAsia" w:cstheme="minorEastAsia"/>
          <w:kern w:val="0"/>
          <w:sz w:val="24"/>
        </w:rPr>
        <w:t>，属于</w:t>
      </w:r>
      <w:r>
        <w:rPr>
          <w:rFonts w:hint="eastAsia" w:asciiTheme="minorEastAsia" w:hAnsiTheme="minorEastAsia" w:eastAsiaTheme="minorEastAsia" w:cstheme="minorEastAsia"/>
          <w:kern w:val="0"/>
          <w:sz w:val="24"/>
          <w:u w:val="single"/>
          <w:lang w:eastAsia="zh-CN"/>
        </w:rPr>
        <w:t>工业</w:t>
      </w:r>
      <w:r>
        <w:rPr>
          <w:rFonts w:hint="eastAsia" w:asciiTheme="minorEastAsia" w:hAnsiTheme="minorEastAsia" w:eastAsiaTheme="minorEastAsia" w:cstheme="minorEastAsia"/>
          <w:kern w:val="0"/>
          <w:sz w:val="24"/>
        </w:rPr>
        <w:t>行业；制造商为（</w:t>
      </w:r>
      <w:r>
        <w:rPr>
          <w:rFonts w:hint="eastAsia" w:asciiTheme="minorEastAsia" w:hAnsiTheme="minorEastAsia" w:eastAsiaTheme="minorEastAsia" w:cstheme="minorEastAsia"/>
          <w:kern w:val="0"/>
          <w:sz w:val="24"/>
          <w:u w:val="single"/>
        </w:rPr>
        <w:t>企业名称）</w:t>
      </w:r>
      <w:r>
        <w:rPr>
          <w:rFonts w:hint="eastAsia" w:asciiTheme="minorEastAsia" w:hAnsiTheme="minorEastAsia" w:eastAsiaTheme="minorEastAsia" w:cstheme="minorEastAsia"/>
          <w:kern w:val="0"/>
          <w:sz w:val="24"/>
        </w:rPr>
        <w:t xml:space="preserve">，从业人员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人，营业收入为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万元，资产总额为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万元，属于</w:t>
      </w:r>
      <w:r>
        <w:rPr>
          <w:rFonts w:hint="eastAsia" w:asciiTheme="minorEastAsia" w:hAnsiTheme="minorEastAsia" w:eastAsiaTheme="minorEastAsia" w:cstheme="minorEastAsia"/>
          <w:kern w:val="0"/>
          <w:sz w:val="24"/>
          <w:u w:val="single"/>
        </w:rPr>
        <w:t>（中型企业、</w:t>
      </w:r>
      <w:r>
        <w:rPr>
          <w:rFonts w:hint="eastAsia" w:asciiTheme="minorEastAsia" w:hAnsiTheme="minorEastAsia" w:eastAsiaTheme="minorEastAsia" w:cstheme="minorEastAsia"/>
          <w:b/>
          <w:kern w:val="0"/>
          <w:sz w:val="24"/>
          <w:u w:val="single"/>
        </w:rPr>
        <w:t>小型企业、微型企业</w:t>
      </w:r>
      <w:r>
        <w:rPr>
          <w:rFonts w:hint="eastAsia" w:asciiTheme="minorEastAsia" w:hAnsiTheme="minorEastAsia" w:eastAsiaTheme="minorEastAsia" w:cstheme="minorEastAsia"/>
          <w:kern w:val="0"/>
          <w:sz w:val="24"/>
          <w:u w:val="single"/>
        </w:rPr>
        <w:t>）</w:t>
      </w:r>
      <w:r>
        <w:rPr>
          <w:rFonts w:hint="eastAsia" w:asciiTheme="minorEastAsia" w:hAnsiTheme="minorEastAsia" w:eastAsiaTheme="minorEastAsia" w:cstheme="minorEastAsia"/>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2. </w:t>
      </w:r>
      <w:r>
        <w:rPr>
          <w:rFonts w:hint="eastAsia" w:asciiTheme="minorEastAsia" w:hAnsiTheme="minorEastAsia" w:eastAsiaTheme="minorEastAsia" w:cstheme="minorEastAsia"/>
          <w:kern w:val="0"/>
          <w:sz w:val="24"/>
          <w:u w:val="single"/>
        </w:rPr>
        <w:t>（标的名称）</w:t>
      </w:r>
      <w:r>
        <w:rPr>
          <w:rFonts w:hint="eastAsia" w:asciiTheme="minorEastAsia" w:hAnsiTheme="minorEastAsia" w:eastAsiaTheme="minorEastAsia" w:cstheme="minorEastAsia"/>
          <w:kern w:val="0"/>
          <w:sz w:val="24"/>
        </w:rPr>
        <w:t xml:space="preserve"> ，属于</w:t>
      </w:r>
      <w:r>
        <w:rPr>
          <w:rFonts w:hint="eastAsia" w:asciiTheme="minorEastAsia" w:hAnsiTheme="minorEastAsia" w:eastAsiaTheme="minorEastAsia" w:cstheme="minorEastAsia"/>
          <w:kern w:val="0"/>
          <w:sz w:val="24"/>
          <w:u w:val="single"/>
          <w:lang w:eastAsia="zh-CN"/>
        </w:rPr>
        <w:t>工业</w:t>
      </w:r>
      <w:r>
        <w:rPr>
          <w:rFonts w:hint="eastAsia" w:asciiTheme="minorEastAsia" w:hAnsiTheme="minorEastAsia" w:eastAsiaTheme="minorEastAsia" w:cstheme="minorEastAsia"/>
          <w:kern w:val="0"/>
          <w:sz w:val="24"/>
        </w:rPr>
        <w:t>行业；制造商为</w:t>
      </w:r>
      <w:r>
        <w:rPr>
          <w:rFonts w:hint="eastAsia" w:asciiTheme="minorEastAsia" w:hAnsiTheme="minorEastAsia" w:eastAsiaTheme="minorEastAsia" w:cstheme="minorEastAsia"/>
          <w:kern w:val="0"/>
          <w:sz w:val="24"/>
          <w:u w:val="single"/>
        </w:rPr>
        <w:t>（企业名称）</w:t>
      </w:r>
      <w:r>
        <w:rPr>
          <w:rFonts w:hint="eastAsia" w:asciiTheme="minorEastAsia" w:hAnsiTheme="minorEastAsia" w:eastAsiaTheme="minorEastAsia" w:cstheme="minorEastAsia"/>
          <w:kern w:val="0"/>
          <w:sz w:val="24"/>
        </w:rPr>
        <w:t xml:space="preserve">，从业人员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人，营业收入为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万元，资产总额为 </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万元，属于</w:t>
      </w:r>
      <w:r>
        <w:rPr>
          <w:rFonts w:hint="eastAsia" w:asciiTheme="minorEastAsia" w:hAnsiTheme="minorEastAsia" w:eastAsiaTheme="minorEastAsia" w:cstheme="minorEastAsia"/>
          <w:kern w:val="0"/>
          <w:sz w:val="24"/>
          <w:u w:val="single"/>
        </w:rPr>
        <w:t>（中型企业、</w:t>
      </w:r>
      <w:r>
        <w:rPr>
          <w:rFonts w:hint="eastAsia" w:asciiTheme="minorEastAsia" w:hAnsiTheme="minorEastAsia" w:eastAsiaTheme="minorEastAsia" w:cstheme="minorEastAsia"/>
          <w:b/>
          <w:kern w:val="0"/>
          <w:sz w:val="24"/>
          <w:u w:val="single"/>
        </w:rPr>
        <w:t>小型企业、微型企业</w:t>
      </w:r>
      <w:r>
        <w:rPr>
          <w:rFonts w:hint="eastAsia" w:asciiTheme="minorEastAsia" w:hAnsiTheme="minorEastAsia" w:eastAsiaTheme="minorEastAsia" w:cstheme="minorEastAsia"/>
          <w:kern w:val="0"/>
          <w:sz w:val="24"/>
          <w:u w:val="single"/>
        </w:rPr>
        <w:t>）</w:t>
      </w:r>
      <w:r>
        <w:rPr>
          <w:rFonts w:hint="eastAsia" w:asciiTheme="minorEastAsia" w:hAnsiTheme="minorEastAsia" w:eastAsiaTheme="minorEastAsia" w:cstheme="minorEastAsia"/>
          <w:kern w:val="0"/>
          <w:sz w:val="24"/>
        </w:rPr>
        <w:t>；</w:t>
      </w:r>
    </w:p>
    <w:p>
      <w:pPr>
        <w:autoSpaceDE w:val="0"/>
        <w:autoSpaceDN w:val="0"/>
        <w:adjustRightInd w:val="0"/>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p>
      <w:pPr>
        <w:autoSpaceDE w:val="0"/>
        <w:autoSpaceDN w:val="0"/>
        <w:adjustRightInd w:val="0"/>
        <w:spacing w:line="360" w:lineRule="auto"/>
        <w:ind w:firstLine="42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本企业对上述声明内容的真实性负责。如有虚假，将依法承担相应责任。</w:t>
      </w:r>
    </w:p>
    <w:p>
      <w:pPr>
        <w:autoSpaceDE w:val="0"/>
        <w:autoSpaceDN w:val="0"/>
        <w:adjustRightInd w:val="0"/>
        <w:spacing w:line="360" w:lineRule="auto"/>
        <w:ind w:right="480"/>
        <w:jc w:val="right"/>
        <w:rPr>
          <w:rFonts w:asciiTheme="minorEastAsia" w:hAnsiTheme="minorEastAsia" w:eastAsiaTheme="minorEastAsia" w:cstheme="minorEastAsia"/>
          <w:kern w:val="0"/>
          <w:sz w:val="24"/>
        </w:rPr>
      </w:pPr>
    </w:p>
    <w:p>
      <w:pPr>
        <w:autoSpaceDE w:val="0"/>
        <w:autoSpaceDN w:val="0"/>
        <w:adjustRightInd w:val="0"/>
        <w:spacing w:line="360" w:lineRule="auto"/>
        <w:ind w:right="480"/>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企业名称（盖章）：</w:t>
      </w:r>
    </w:p>
    <w:p>
      <w:pPr>
        <w:autoSpaceDE w:val="0"/>
        <w:autoSpaceDN w:val="0"/>
        <w:adjustRightInd w:val="0"/>
        <w:ind w:firstLine="7290" w:firstLineChars="30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日期：</w:t>
      </w:r>
    </w:p>
    <w:p>
      <w:pPr>
        <w:autoSpaceDE w:val="0"/>
        <w:autoSpaceDN w:val="0"/>
        <w:adjustRightInd w:val="0"/>
        <w:spacing w:line="360" w:lineRule="auto"/>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注：1、从业人员、营业收入、资产总额填报上一年度数据，无上一年度数据的新成立企业可不填报。</w:t>
      </w:r>
    </w:p>
    <w:p>
      <w:pPr>
        <w:autoSpaceDE w:val="0"/>
        <w:autoSpaceDN w:val="0"/>
        <w:adjustRightInd w:val="0"/>
        <w:spacing w:line="360" w:lineRule="auto"/>
        <w:ind w:firstLine="420"/>
        <w:jc w:val="left"/>
        <w:rPr>
          <w:rFonts w:asciiTheme="minorEastAsia" w:hAnsiTheme="minorEastAsia" w:eastAsiaTheme="minorEastAsia" w:cstheme="minorEastAsia"/>
          <w:b/>
          <w:kern w:val="0"/>
          <w:sz w:val="24"/>
          <w:u w:val="single"/>
        </w:rPr>
      </w:pPr>
      <w:r>
        <w:rPr>
          <w:rFonts w:hint="eastAsia" w:asciiTheme="minorEastAsia" w:hAnsiTheme="minorEastAsia" w:eastAsiaTheme="minorEastAsia" w:cstheme="minorEastAsia"/>
          <w:b/>
          <w:kern w:val="0"/>
          <w:sz w:val="24"/>
          <w:u w:val="single"/>
        </w:rPr>
        <w:t>3、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pStyle w:val="35"/>
        <w:ind w:left="428" w:firstLine="428"/>
        <w:rPr>
          <w:rFonts w:asciiTheme="minorEastAsia" w:hAnsiTheme="minorEastAsia" w:eastAsiaTheme="minorEastAsia" w:cstheme="minorEastAsia"/>
        </w:rPr>
      </w:pPr>
    </w:p>
    <w:p>
      <w:pPr>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br w:type="page"/>
      </w:r>
    </w:p>
    <w:p>
      <w:pPr>
        <w:pStyle w:val="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3.3.2 残疾人福利性单位声明函（如是）</w:t>
      </w: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p>
    <w:p>
      <w:pPr>
        <w:spacing w:line="360" w:lineRule="auto"/>
        <w:jc w:val="cente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t>残疾人福利性单位声明函</w:t>
      </w:r>
    </w:p>
    <w:p>
      <w:pPr>
        <w:spacing w:line="360" w:lineRule="auto"/>
        <w:jc w:val="center"/>
        <w:rPr>
          <w:rFonts w:asciiTheme="minorEastAsia" w:hAnsiTheme="minorEastAsia" w:eastAsiaTheme="minorEastAsia" w:cstheme="minorEastAsia"/>
          <w:b/>
          <w:color w:val="000000"/>
          <w:spacing w:val="6"/>
          <w:sz w:val="32"/>
          <w:szCs w:val="32"/>
        </w:rPr>
      </w:pPr>
    </w:p>
    <w:p>
      <w:pPr>
        <w:spacing w:line="360" w:lineRule="auto"/>
        <w:ind w:firstLine="590" w:firstLineChars="200"/>
        <w:rPr>
          <w:rFonts w:asciiTheme="minorEastAsia" w:hAnsiTheme="minorEastAsia" w:eastAsiaTheme="minorEastAsia" w:cstheme="minorEastAsia"/>
          <w:color w:val="000000"/>
          <w:spacing w:val="6"/>
          <w:sz w:val="28"/>
        </w:rPr>
      </w:pPr>
      <w:r>
        <w:rPr>
          <w:rFonts w:hint="eastAsia" w:asciiTheme="minorEastAsia" w:hAnsiTheme="minorEastAsia" w:eastAsiaTheme="minorEastAsia" w:cstheme="minorEastAsia"/>
          <w:color w:val="000000"/>
          <w:spacing w:val="6"/>
          <w:sz w:val="28"/>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000000"/>
          <w:sz w:val="28"/>
        </w:rPr>
        <w:t>〔2017〕141</w:t>
      </w:r>
      <w:r>
        <w:rPr>
          <w:rFonts w:hint="eastAsia" w:asciiTheme="minorEastAsia" w:hAnsiTheme="minorEastAsia" w:eastAsiaTheme="minorEastAsia" w:cstheme="minorEastAsia"/>
          <w:color w:val="000000"/>
          <w:spacing w:val="6"/>
          <w:sz w:val="28"/>
        </w:rPr>
        <w:t>号）的规定，本单位为符合条件的残疾人福利性单位，且本单位参加</w:t>
      </w:r>
      <w:r>
        <w:rPr>
          <w:rFonts w:hint="eastAsia" w:asciiTheme="minorEastAsia" w:hAnsiTheme="minorEastAsia" w:eastAsiaTheme="minorEastAsia" w:cstheme="minorEastAsia"/>
          <w:b/>
          <w:color w:val="000000"/>
          <w:sz w:val="28"/>
          <w:szCs w:val="28"/>
          <w:u w:val="single"/>
          <w:lang w:eastAsia="zh-CN"/>
        </w:rPr>
        <w:t>龙港市垃圾房智能化监管设备采购项目</w:t>
      </w:r>
      <w:r>
        <w:rPr>
          <w:rFonts w:hint="eastAsia" w:asciiTheme="minorEastAsia" w:hAnsiTheme="minorEastAsia" w:eastAsiaTheme="minorEastAsia" w:cstheme="minorEastAsia"/>
          <w:b/>
          <w:color w:val="000000"/>
          <w:sz w:val="28"/>
          <w:szCs w:val="28"/>
          <w:u w:val="single"/>
        </w:rPr>
        <w:t>（项目编号：LGCG）</w:t>
      </w:r>
      <w:r>
        <w:rPr>
          <w:rFonts w:hint="eastAsia" w:asciiTheme="minorEastAsia" w:hAnsiTheme="minorEastAsia" w:eastAsiaTheme="minorEastAsia" w:cstheme="minorEastAsia"/>
          <w:color w:val="000000"/>
          <w:spacing w:val="6"/>
          <w:sz w:val="28"/>
        </w:rPr>
        <w:t>的采购活动提供本单位制造的货物（由本单位承担工程/提供服务），或者提供其他残疾人福利性单位制造的货物（不包括使用非残疾人福利性单位注册商标的货物）。</w:t>
      </w:r>
    </w:p>
    <w:p>
      <w:pPr>
        <w:spacing w:line="360" w:lineRule="auto"/>
        <w:ind w:firstLine="590" w:firstLineChars="200"/>
        <w:rPr>
          <w:rFonts w:asciiTheme="minorEastAsia" w:hAnsiTheme="minorEastAsia" w:eastAsiaTheme="minorEastAsia" w:cstheme="minorEastAsia"/>
          <w:color w:val="000000"/>
          <w:spacing w:val="6"/>
          <w:sz w:val="24"/>
        </w:rPr>
      </w:pPr>
      <w:r>
        <w:rPr>
          <w:rFonts w:hint="eastAsia" w:asciiTheme="minorEastAsia" w:hAnsiTheme="minorEastAsia" w:eastAsiaTheme="minorEastAsia" w:cstheme="minorEastAsia"/>
          <w:color w:val="000000"/>
          <w:spacing w:val="6"/>
          <w:sz w:val="28"/>
        </w:rPr>
        <w:t>本单位对上述声明的真实性负责。如有虚假，将依法承担相应责任。</w:t>
      </w:r>
    </w:p>
    <w:p>
      <w:pPr>
        <w:spacing w:line="360" w:lineRule="auto"/>
        <w:ind w:firstLine="510" w:firstLineChars="200"/>
        <w:rPr>
          <w:rFonts w:asciiTheme="minorEastAsia" w:hAnsiTheme="minorEastAsia" w:eastAsiaTheme="minorEastAsia" w:cstheme="minorEastAsia"/>
          <w:color w:val="000000"/>
          <w:spacing w:val="6"/>
          <w:sz w:val="24"/>
        </w:rPr>
      </w:pPr>
    </w:p>
    <w:p>
      <w:pPr>
        <w:spacing w:line="360" w:lineRule="auto"/>
        <w:ind w:firstLine="510" w:firstLineChars="200"/>
        <w:rPr>
          <w:rFonts w:asciiTheme="minorEastAsia" w:hAnsiTheme="minorEastAsia" w:eastAsiaTheme="minorEastAsia" w:cstheme="minorEastAsia"/>
          <w:color w:val="000000"/>
          <w:spacing w:val="6"/>
          <w:sz w:val="24"/>
        </w:rPr>
      </w:pPr>
    </w:p>
    <w:p>
      <w:pPr>
        <w:tabs>
          <w:tab w:val="left" w:pos="4860"/>
        </w:tabs>
        <w:spacing w:line="360" w:lineRule="auto"/>
        <w:ind w:right="1560"/>
        <w:jc w:val="left"/>
        <w:rPr>
          <w:rFonts w:asciiTheme="minorEastAsia" w:hAnsiTheme="minorEastAsia" w:eastAsiaTheme="minorEastAsia" w:cstheme="minorEastAsia"/>
          <w:color w:val="000000"/>
          <w:spacing w:val="6"/>
          <w:sz w:val="28"/>
        </w:rPr>
      </w:pPr>
      <w:r>
        <w:rPr>
          <w:rFonts w:hint="eastAsia" w:asciiTheme="minorEastAsia" w:hAnsiTheme="minorEastAsia" w:eastAsiaTheme="minorEastAsia" w:cstheme="minorEastAsia"/>
          <w:color w:val="000000"/>
          <w:spacing w:val="6"/>
          <w:sz w:val="28"/>
        </w:rPr>
        <w:t>单位名称（盖章）：</w:t>
      </w:r>
      <w:r>
        <w:rPr>
          <w:rFonts w:hint="eastAsia" w:asciiTheme="minorEastAsia" w:hAnsiTheme="minorEastAsia" w:eastAsiaTheme="minorEastAsia" w:cstheme="minorEastAsia"/>
          <w:color w:val="000000"/>
          <w:w w:val="90"/>
          <w:sz w:val="28"/>
        </w:rPr>
        <w:t>__________________________________</w:t>
      </w:r>
    </w:p>
    <w:p>
      <w:pPr>
        <w:tabs>
          <w:tab w:val="left" w:pos="4860"/>
        </w:tabs>
        <w:spacing w:line="360" w:lineRule="auto"/>
        <w:ind w:right="1560"/>
        <w:jc w:val="left"/>
        <w:rPr>
          <w:rFonts w:asciiTheme="minorEastAsia" w:hAnsiTheme="minorEastAsia" w:eastAsiaTheme="minorEastAsia" w:cstheme="minorEastAsia"/>
          <w:color w:val="000000"/>
          <w:spacing w:val="6"/>
          <w:sz w:val="28"/>
        </w:rPr>
      </w:pPr>
    </w:p>
    <w:p>
      <w:pPr>
        <w:spacing w:line="360" w:lineRule="auto"/>
        <w:rPr>
          <w:rFonts w:asciiTheme="minorEastAsia" w:hAnsiTheme="minorEastAsia" w:eastAsiaTheme="minorEastAsia" w:cstheme="minorEastAsia"/>
          <w:color w:val="000000"/>
          <w:w w:val="90"/>
          <w:sz w:val="28"/>
        </w:rPr>
      </w:pPr>
      <w:r>
        <w:rPr>
          <w:rFonts w:hint="eastAsia" w:asciiTheme="minorEastAsia" w:hAnsiTheme="minorEastAsia" w:eastAsiaTheme="minorEastAsia" w:cstheme="minorEastAsia"/>
          <w:color w:val="000000"/>
          <w:spacing w:val="6"/>
          <w:sz w:val="28"/>
        </w:rPr>
        <w:t>日  期：</w:t>
      </w:r>
      <w:r>
        <w:rPr>
          <w:rFonts w:hint="eastAsia" w:asciiTheme="minorEastAsia" w:hAnsiTheme="minorEastAsia" w:eastAsiaTheme="minorEastAsia" w:cstheme="minorEastAsia"/>
          <w:color w:val="000000"/>
          <w:w w:val="90"/>
          <w:sz w:val="28"/>
        </w:rPr>
        <w:t>____________________________________________</w:t>
      </w:r>
    </w:p>
    <w:p>
      <w:pPr>
        <w:spacing w:line="360" w:lineRule="auto"/>
        <w:rPr>
          <w:rFonts w:asciiTheme="minorEastAsia" w:hAnsiTheme="minorEastAsia" w:eastAsiaTheme="minorEastAsia" w:cstheme="minorEastAsia"/>
          <w:color w:val="000000"/>
          <w:w w:val="90"/>
          <w:sz w:val="28"/>
        </w:rPr>
      </w:pPr>
    </w:p>
    <w:p>
      <w:pPr>
        <w:spacing w:line="360" w:lineRule="auto"/>
        <w:rPr>
          <w:rFonts w:asciiTheme="minorEastAsia" w:hAnsiTheme="minorEastAsia" w:eastAsiaTheme="minorEastAsia" w:cstheme="minorEastAsia"/>
          <w:color w:val="000000"/>
          <w:w w:val="90"/>
          <w:sz w:val="28"/>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widowControl/>
        <w:snapToGrid w:val="0"/>
        <w:spacing w:line="460" w:lineRule="atLeast"/>
        <w:jc w:val="left"/>
        <w:rPr>
          <w:rFonts w:asciiTheme="minorEastAsia" w:hAnsiTheme="minorEastAsia" w:eastAsiaTheme="minorEastAsia" w:cstheme="minorEastAsia"/>
          <w:color w:val="000000"/>
          <w:sz w:val="30"/>
        </w:rPr>
      </w:pPr>
    </w:p>
    <w:p>
      <w:pPr>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br w:type="page"/>
      </w:r>
    </w:p>
    <w:p>
      <w:pPr>
        <w:autoSpaceDE w:val="0"/>
        <w:autoSpaceDN w:val="0"/>
        <w:adjustRightInd w:val="0"/>
        <w:snapToGrid w:val="0"/>
        <w:spacing w:line="360" w:lineRule="atLeast"/>
        <w:jc w:val="center"/>
        <w:textAlignment w:val="bottom"/>
        <w:rPr>
          <w:rFonts w:asciiTheme="minorEastAsia" w:hAnsiTheme="minorEastAsia" w:eastAsiaTheme="minorEastAsia" w:cstheme="minorEastAsia"/>
          <w:sz w:val="36"/>
        </w:rPr>
      </w:pPr>
      <w:r>
        <w:rPr>
          <w:rFonts w:hint="eastAsia" w:asciiTheme="minorEastAsia" w:hAnsiTheme="minorEastAsia" w:eastAsiaTheme="minorEastAsia" w:cstheme="minorEastAsia"/>
          <w:sz w:val="36"/>
        </w:rPr>
        <w:t>第六部分   评标办法</w:t>
      </w:r>
    </w:p>
    <w:p>
      <w:pPr>
        <w:tabs>
          <w:tab w:val="left" w:pos="8820"/>
        </w:tabs>
        <w:adjustRightInd w:val="0"/>
        <w:snapToGrid w:val="0"/>
        <w:spacing w:line="240" w:lineRule="exact"/>
        <w:ind w:firstLine="446" w:firstLineChars="200"/>
        <w:rPr>
          <w:rFonts w:asciiTheme="minorEastAsia" w:hAnsiTheme="minorEastAsia" w:eastAsiaTheme="minorEastAsia" w:cstheme="minorEastAsia"/>
          <w:sz w:val="22"/>
          <w:szCs w:val="22"/>
        </w:rPr>
      </w:pPr>
    </w:p>
    <w:p>
      <w:pPr>
        <w:tabs>
          <w:tab w:val="left" w:pos="8820"/>
        </w:tabs>
        <w:adjustRightInd w:val="0"/>
        <w:snapToGrid w:val="0"/>
        <w:spacing w:line="420" w:lineRule="atLeast"/>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一、总则</w:t>
      </w:r>
    </w:p>
    <w:p>
      <w:pPr>
        <w:pStyle w:val="23"/>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3"/>
        <w:adjustRightInd w:val="0"/>
        <w:snapToGrid w:val="0"/>
        <w:spacing w:line="420" w:lineRule="atLeast"/>
        <w:rPr>
          <w:rFonts w:asciiTheme="minorEastAsia" w:hAnsiTheme="minorEastAsia" w:eastAsiaTheme="minorEastAsia" w:cstheme="minorEastAsia"/>
          <w:bCs/>
          <w:color w:val="000000"/>
          <w:kern w:val="28"/>
          <w:szCs w:val="21"/>
        </w:rPr>
      </w:pPr>
      <w:r>
        <w:rPr>
          <w:rFonts w:hint="eastAsia" w:asciiTheme="minorEastAsia" w:hAnsiTheme="minorEastAsia" w:eastAsiaTheme="minorEastAsia" w:cstheme="minorEastAsia"/>
          <w:sz w:val="22"/>
          <w:szCs w:val="22"/>
        </w:rPr>
        <w:t>评标应遵循公平、公正、科学、择优的原则推荐备选中标人。</w:t>
      </w:r>
    </w:p>
    <w:p>
      <w:pPr>
        <w:adjustRightInd w:val="0"/>
        <w:snapToGrid w:val="0"/>
        <w:spacing w:line="400" w:lineRule="exact"/>
        <w:jc w:val="center"/>
        <w:outlineLvl w:val="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二．评标组织</w:t>
      </w:r>
    </w:p>
    <w:p>
      <w:pPr>
        <w:pStyle w:val="23"/>
        <w:adjustRightInd w:val="0"/>
        <w:snapToGrid w:val="0"/>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三、评标程序</w:t>
      </w:r>
    </w:p>
    <w:p>
      <w:pPr>
        <w:pStyle w:val="5"/>
        <w:adjustRightInd w:val="0"/>
        <w:snapToGrid w:val="0"/>
        <w:spacing w:before="156" w:after="50" w:line="400" w:lineRule="exact"/>
        <w:ind w:left="-213" w:leftChars="-100" w:right="-213" w:rightChars="-100" w:firstLine="45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第一步：评标委员会根据评审原则和评审办法，对各供应商的技术资信部分投标进行评审并打分，技术资信标不合格的供应商对该标段做无效标处理，不进入该标段商务标评审。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bCs/>
          <w:sz w:val="22"/>
          <w:szCs w:val="22"/>
          <w:u w:val="single"/>
        </w:rPr>
      </w:pPr>
      <w:r>
        <w:rPr>
          <w:rFonts w:hint="eastAsia" w:asciiTheme="minorEastAsia" w:hAnsiTheme="minorEastAsia" w:eastAsiaTheme="minorEastAsia" w:cstheme="minorEastAsia"/>
          <w:b/>
          <w:bCs/>
          <w:sz w:val="22"/>
          <w:szCs w:val="22"/>
          <w:u w:val="single"/>
        </w:rPr>
        <w:t>第四步：采购人授权评标委员会根据评审报告确定中标供应商。</w:t>
      </w:r>
    </w:p>
    <w:p>
      <w:pPr>
        <w:pStyle w:val="29"/>
        <w:snapToGrid w:val="0"/>
        <w:spacing w:line="400" w:lineRule="exact"/>
        <w:ind w:left="-213" w:leftChars="-100" w:right="-213" w:rightChars="-100" w:firstLine="448"/>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2"/>
          <w:szCs w:val="22"/>
          <w:u w:val="single"/>
        </w:rPr>
        <w:t>其它参见本采购文件第三部分：“供应商须知” 中的相关内容。</w:t>
      </w:r>
    </w:p>
    <w:p>
      <w:pPr>
        <w:spacing w:line="400" w:lineRule="exact"/>
        <w:ind w:firstLine="566" w:firstLineChars="200"/>
        <w:jc w:val="center"/>
        <w:rPr>
          <w:rFonts w:asciiTheme="minorEastAsia" w:hAnsiTheme="minorEastAsia" w:eastAsiaTheme="minorEastAsia" w:cstheme="minorEastAsia"/>
          <w:b/>
          <w:sz w:val="28"/>
          <w:szCs w:val="28"/>
        </w:rPr>
      </w:pPr>
    </w:p>
    <w:p>
      <w:pPr>
        <w:spacing w:line="400" w:lineRule="exact"/>
        <w:ind w:firstLine="566" w:firstLineChars="20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四、评标办法</w:t>
      </w:r>
    </w:p>
    <w:p>
      <w:pPr>
        <w:pStyle w:val="20"/>
        <w:adjustRightInd w:val="0"/>
        <w:snapToGrid w:val="0"/>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一．商务报价评分30分</w:t>
      </w:r>
    </w:p>
    <w:p>
      <w:pPr>
        <w:pStyle w:val="20"/>
        <w:adjustRightInd w:val="0"/>
        <w:snapToGrid w:val="0"/>
        <w:spacing w:line="360" w:lineRule="auto"/>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1、以供应商有效投标价中的最低价为评标基准价，得满分30分。各标段商务报价评分结算公式为:投标报价得分=(评标基准价／投标报价)×30%×100。</w:t>
      </w:r>
    </w:p>
    <w:p>
      <w:pPr>
        <w:tabs>
          <w:tab w:val="left" w:pos="1899"/>
        </w:tabs>
        <w:adjustRightInd w:val="0"/>
        <w:snapToGrid w:val="0"/>
        <w:spacing w:before="100" w:after="50" w:line="440" w:lineRule="atLeast"/>
        <w:ind w:firstLine="420"/>
        <w:rPr>
          <w:rFonts w:ascii="宋体"/>
          <w:sz w:val="22"/>
          <w:szCs w:val="22"/>
          <w:u w:val="single"/>
        </w:rPr>
      </w:pPr>
      <w:r>
        <w:rPr>
          <w:rFonts w:hint="eastAsia" w:ascii="宋体"/>
          <w:b/>
          <w:sz w:val="22"/>
          <w:szCs w:val="22"/>
          <w:u w:val="single"/>
        </w:rPr>
        <w:t>2、符合关于印发《政府采购促进中小企业发展管理办法》的通知（财库〔2020〕46号）、财政部关于进一步加大政府采购支持中小企业力度的通知（财库〔2022〕19号）规定的企业由本单位提供服务参加政府采购方可享受小型、微型企业的价格扣除扶持政策。：</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(1)本项目对小型和微型企业产品的价格给予10% 的扣除，用扣除后的价格（即投标报价的 90% ）参与报价分评审。</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(2)参与本项目政府采购活动的中小企业应当提供 《中小企业声明函》。</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(3)中小企业按上述优惠取得政府采购合同后，小型、微型企业不得分包或转包给大型、中型企业，中型企业不得分包或转包给大型企业。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b/>
          <w:sz w:val="22"/>
          <w:szCs w:val="22"/>
          <w:u w:val="single"/>
        </w:rPr>
        <w:t>3、</w:t>
      </w:r>
      <w:r>
        <w:rPr>
          <w:rFonts w:hint="eastAsia" w:ascii="宋体" w:hAnsi="宋体" w:cs="宋体"/>
          <w:b/>
          <w:bCs/>
          <w:kern w:val="0"/>
          <w:sz w:val="22"/>
          <w:szCs w:val="22"/>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10%的价格扣除扶持政策。</w:t>
      </w:r>
    </w:p>
    <w:p>
      <w:pPr>
        <w:adjustRightInd w:val="0"/>
        <w:snapToGrid w:val="0"/>
        <w:spacing w:before="100" w:after="50" w:line="440" w:lineRule="atLeast"/>
        <w:ind w:firstLine="420"/>
        <w:rPr>
          <w:rFonts w:ascii="宋体"/>
          <w:b/>
          <w:sz w:val="22"/>
          <w:szCs w:val="22"/>
          <w:u w:val="single"/>
        </w:rPr>
      </w:pPr>
      <w:r>
        <w:rPr>
          <w:rFonts w:hint="eastAsia" w:ascii="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10%价格扣除扶持政策。</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p>
      <w:pPr>
        <w:spacing w:line="500" w:lineRule="exact"/>
        <w:ind w:firstLine="42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5、投标人的</w:t>
      </w:r>
      <w:r>
        <w:rPr>
          <w:rFonts w:hint="eastAsia" w:asciiTheme="minorEastAsia" w:hAnsiTheme="minorEastAsia" w:eastAsiaTheme="minorEastAsia" w:cstheme="minorEastAsia"/>
          <w:sz w:val="22"/>
          <w:szCs w:val="22"/>
        </w:rPr>
        <w:t>技术资信</w:t>
      </w:r>
      <w:r>
        <w:rPr>
          <w:rFonts w:hint="eastAsia" w:asciiTheme="minorEastAsia" w:hAnsiTheme="minorEastAsia" w:eastAsiaTheme="minorEastAsia" w:cstheme="minorEastAsia"/>
          <w:kern w:val="0"/>
          <w:sz w:val="22"/>
          <w:szCs w:val="22"/>
        </w:rPr>
        <w:t>和报价得分之和，即为该投标人的最终得分。</w:t>
      </w:r>
    </w:p>
    <w:p>
      <w:pPr>
        <w:pStyle w:val="20"/>
        <w:snapToGrid w:val="0"/>
        <w:spacing w:line="360" w:lineRule="exact"/>
        <w:ind w:firstLine="42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7、评标委员会按</w:t>
      </w:r>
      <w:r>
        <w:rPr>
          <w:rFonts w:hint="eastAsia" w:asciiTheme="minorEastAsia" w:hAnsiTheme="minorEastAsia" w:eastAsiaTheme="minorEastAsia" w:cstheme="minorEastAsia"/>
          <w:sz w:val="22"/>
          <w:szCs w:val="22"/>
        </w:rPr>
        <w:t>技术资信</w:t>
      </w:r>
      <w:r>
        <w:rPr>
          <w:rFonts w:hint="eastAsia" w:asciiTheme="minorEastAsia" w:hAnsiTheme="minorEastAsia" w:eastAsiaTheme="minorEastAsia" w:cstheme="minorEastAsia"/>
          <w:kern w:val="0"/>
          <w:sz w:val="22"/>
          <w:szCs w:val="22"/>
        </w:rPr>
        <w:t>合格投标人的最终得分高低进行排序，将得分排名第一的投标人推荐中标人候选人（</w:t>
      </w:r>
      <w:r>
        <w:rPr>
          <w:rFonts w:hint="eastAsia" w:asciiTheme="minorEastAsia" w:hAnsiTheme="minorEastAsia" w:eastAsiaTheme="minorEastAsia" w:cstheme="minorEastAsia"/>
          <w:sz w:val="22"/>
          <w:szCs w:val="22"/>
        </w:rPr>
        <w:t>得分相同的，按投标报价由低到高顺序排列。得分且投标报价相同的，按技术指标优劣顺序排列。）</w:t>
      </w:r>
    </w:p>
    <w:p>
      <w:pPr>
        <w:spacing w:line="500" w:lineRule="exact"/>
        <w:ind w:firstLine="42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8、中标人确定后，在龙港市公共资源交易中心及浙江政府采购网上公示评标结果，采购人同时向中标单位发中标通知书，公示期为1个工作日。</w:t>
      </w:r>
    </w:p>
    <w:p>
      <w:pPr>
        <w:pStyle w:val="20"/>
        <w:spacing w:line="360" w:lineRule="auto"/>
        <w:ind w:firstLine="446"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9、本项目</w:t>
      </w:r>
      <w:r>
        <w:rPr>
          <w:rFonts w:hint="eastAsia" w:asciiTheme="minorEastAsia" w:hAnsiTheme="minorEastAsia" w:eastAsiaTheme="minorEastAsia" w:cstheme="minorEastAsia"/>
          <w:kern w:val="0"/>
          <w:sz w:val="22"/>
          <w:szCs w:val="22"/>
          <w:lang w:val="en-US" w:eastAsia="zh-CN" w:bidi="ar-SA"/>
        </w:rPr>
        <w:t>采购预算为 ¥322.47 万元，供应</w:t>
      </w:r>
      <w:r>
        <w:rPr>
          <w:rFonts w:hint="eastAsia" w:asciiTheme="minorEastAsia" w:hAnsiTheme="minorEastAsia" w:eastAsiaTheme="minorEastAsia" w:cstheme="minorEastAsia"/>
          <w:sz w:val="22"/>
          <w:szCs w:val="22"/>
        </w:rPr>
        <w:t>商投标报价超出该采购预算，该供应商按无效投标处理。</w:t>
      </w:r>
    </w:p>
    <w:p>
      <w:pPr>
        <w:pStyle w:val="20"/>
        <w:spacing w:line="360" w:lineRule="auto"/>
        <w:ind w:firstLine="446" w:firstLineChars="200"/>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10、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pPr>
        <w:rPr>
          <w:rFonts w:hint="eastAsia" w:eastAsiaTheme="minorEastAsia"/>
          <w:lang w:eastAsia="zh-CN"/>
        </w:rPr>
      </w:pPr>
      <w:r>
        <w:rPr>
          <w:rFonts w:hint="eastAsia" w:asciiTheme="minorEastAsia" w:hAnsiTheme="minorEastAsia" w:eastAsiaTheme="minorEastAsia" w:cstheme="minorEastAsia"/>
          <w:b/>
          <w:sz w:val="22"/>
          <w:szCs w:val="22"/>
          <w:u w:val="single"/>
        </w:rPr>
        <w:t>二．技术、安装、服务、资信、业绩综合评分</w:t>
      </w:r>
      <w:r>
        <w:rPr>
          <w:rFonts w:hint="eastAsia" w:asciiTheme="minorEastAsia" w:hAnsiTheme="minorEastAsia" w:eastAsiaTheme="minorEastAsia" w:cstheme="minorEastAsia"/>
          <w:b/>
          <w:sz w:val="22"/>
          <w:szCs w:val="22"/>
        </w:rPr>
        <w:t xml:space="preserve">   70分</w:t>
      </w:r>
    </w:p>
    <w:tbl>
      <w:tblPr>
        <w:tblStyle w:val="36"/>
        <w:tblW w:w="4994" w:type="pct"/>
        <w:tblInd w:w="0" w:type="dxa"/>
        <w:tblLayout w:type="autofit"/>
        <w:tblCellMar>
          <w:top w:w="0" w:type="dxa"/>
          <w:left w:w="108" w:type="dxa"/>
          <w:bottom w:w="0" w:type="dxa"/>
          <w:right w:w="108" w:type="dxa"/>
        </w:tblCellMar>
      </w:tblPr>
      <w:tblGrid>
        <w:gridCol w:w="859"/>
        <w:gridCol w:w="862"/>
        <w:gridCol w:w="862"/>
        <w:gridCol w:w="7033"/>
      </w:tblGrid>
      <w:tr>
        <w:tblPrEx>
          <w:tblCellMar>
            <w:top w:w="0" w:type="dxa"/>
            <w:left w:w="108" w:type="dxa"/>
            <w:bottom w:w="0" w:type="dxa"/>
            <w:right w:w="108" w:type="dxa"/>
          </w:tblCellMar>
        </w:tblPrEx>
        <w:trPr>
          <w:trHeight w:val="270" w:hRule="atLeast"/>
        </w:trPr>
        <w:tc>
          <w:tcPr>
            <w:tcW w:w="447" w:type="pc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序号</w:t>
            </w:r>
          </w:p>
        </w:tc>
        <w:tc>
          <w:tcPr>
            <w:tcW w:w="448"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评分内容</w:t>
            </w:r>
          </w:p>
        </w:tc>
        <w:tc>
          <w:tcPr>
            <w:tcW w:w="448" w:type="pc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分值</w:t>
            </w:r>
          </w:p>
        </w:tc>
        <w:tc>
          <w:tcPr>
            <w:tcW w:w="3656" w:type="pct"/>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评审标准</w:t>
            </w:r>
          </w:p>
        </w:tc>
      </w:tr>
      <w:tr>
        <w:tblPrEx>
          <w:tblCellMar>
            <w:top w:w="0" w:type="dxa"/>
            <w:left w:w="108" w:type="dxa"/>
            <w:bottom w:w="0" w:type="dxa"/>
            <w:right w:w="108" w:type="dxa"/>
          </w:tblCellMar>
        </w:tblPrEx>
        <w:trPr>
          <w:trHeight w:val="90"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投标人实力</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投标供应商具有有效的</w:t>
            </w:r>
            <w:r>
              <w:rPr>
                <w:rFonts w:eastAsia="宋体"/>
                <w:color w:val="000000"/>
                <w:kern w:val="0"/>
                <w:szCs w:val="21"/>
                <w:lang w:bidi="ar"/>
              </w:rPr>
              <w:t>质量管理体系认证证书、环境管理体系认证证书、职业健康安全管理体系认证证书</w:t>
            </w:r>
            <w:r>
              <w:rPr>
                <w:rFonts w:hint="eastAsia" w:ascii="宋体" w:hAnsi="宋体" w:cs="宋体"/>
                <w:color w:val="auto"/>
                <w:kern w:val="0"/>
                <w:sz w:val="22"/>
                <w:szCs w:val="22"/>
                <w:highlight w:val="none"/>
                <w:lang w:bidi="ar"/>
              </w:rPr>
              <w:t>的每提供1个得1分，本项最高得3分。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注：提供证书扫描件加盖电子签章，未提供不得分。</w:t>
            </w:r>
          </w:p>
        </w:tc>
      </w:tr>
      <w:tr>
        <w:tblPrEx>
          <w:tblCellMar>
            <w:top w:w="0" w:type="dxa"/>
            <w:left w:w="108" w:type="dxa"/>
            <w:bottom w:w="0" w:type="dxa"/>
            <w:right w:w="108" w:type="dxa"/>
          </w:tblCellMar>
        </w:tblPrEx>
        <w:trPr>
          <w:trHeight w:val="810"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同类项目业绩</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bidi="ar"/>
              </w:rPr>
              <w:t>3</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投标供应商自202</w:t>
            </w:r>
            <w:r>
              <w:rPr>
                <w:rFonts w:hint="eastAsia" w:ascii="宋体" w:hAnsi="宋体" w:cs="宋体"/>
                <w:color w:val="auto"/>
                <w:kern w:val="0"/>
                <w:sz w:val="22"/>
                <w:szCs w:val="22"/>
                <w:highlight w:val="none"/>
                <w:lang w:val="en-US" w:eastAsia="zh-CN" w:bidi="ar"/>
              </w:rPr>
              <w:t>1</w:t>
            </w:r>
            <w:r>
              <w:rPr>
                <w:rFonts w:hint="eastAsia" w:ascii="宋体" w:hAnsi="宋体" w:cs="宋体"/>
                <w:color w:val="auto"/>
                <w:kern w:val="0"/>
                <w:sz w:val="22"/>
                <w:szCs w:val="22"/>
                <w:highlight w:val="none"/>
                <w:lang w:bidi="ar"/>
              </w:rPr>
              <w:t>年1月1日（以合同签订时间为准）以来承接过同类项目的每个得1分，最高得</w:t>
            </w:r>
            <w:r>
              <w:rPr>
                <w:rFonts w:hint="eastAsia" w:ascii="宋体" w:hAnsi="宋体" w:cs="宋体"/>
                <w:color w:val="auto"/>
                <w:kern w:val="0"/>
                <w:sz w:val="22"/>
                <w:szCs w:val="22"/>
                <w:highlight w:val="none"/>
                <w:lang w:val="en-US" w:eastAsia="zh-CN" w:bidi="ar"/>
              </w:rPr>
              <w:t>3</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注：需提供合同扫描件并加盖公章，未提供不得分。</w:t>
            </w:r>
          </w:p>
        </w:tc>
      </w:tr>
      <w:tr>
        <w:tblPrEx>
          <w:tblCellMar>
            <w:top w:w="0" w:type="dxa"/>
            <w:left w:w="108" w:type="dxa"/>
            <w:bottom w:w="0" w:type="dxa"/>
            <w:right w:w="108" w:type="dxa"/>
          </w:tblCellMar>
        </w:tblPrEx>
        <w:trPr>
          <w:trHeight w:val="1190" w:hRule="atLeast"/>
        </w:trPr>
        <w:tc>
          <w:tcPr>
            <w:tcW w:w="447" w:type="pct"/>
            <w:vMerge w:val="restart"/>
            <w:tcBorders>
              <w:top w:val="single" w:color="000000" w:sz="4" w:space="0"/>
              <w:left w:val="single" w:color="000000" w:sz="8"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448"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拟派人员情况</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val="en-US" w:eastAsia="zh-CN" w:bidi="ar"/>
              </w:rPr>
              <w:t>3</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拟派项目管理机构人员：</w:t>
            </w:r>
          </w:p>
          <w:p>
            <w:pPr>
              <w:widowControl/>
              <w:numPr>
                <w:ilvl w:val="0"/>
                <w:numId w:val="7"/>
              </w:numP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投标人针对本项目的项目负责人（一名）</w:t>
            </w:r>
          </w:p>
          <w:p>
            <w:pPr>
              <w:widowControl/>
              <w:numPr>
                <w:ilvl w:val="0"/>
                <w:numId w:val="0"/>
              </w:numP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具备信息系统项目管理师（软考）、二级及以上建造师（机电工程</w:t>
            </w:r>
            <w:r>
              <w:rPr>
                <w:rFonts w:hint="eastAsia" w:ascii="宋体" w:hAnsi="宋体" w:cs="宋体"/>
                <w:color w:val="auto"/>
                <w:kern w:val="0"/>
                <w:sz w:val="22"/>
                <w:szCs w:val="22"/>
                <w:highlight w:val="none"/>
                <w:lang w:val="en-US" w:eastAsia="zh-CN" w:bidi="ar"/>
              </w:rPr>
              <w:t>专业</w:t>
            </w:r>
            <w:r>
              <w:rPr>
                <w:rFonts w:hint="eastAsia" w:ascii="宋体" w:hAnsi="宋体" w:cs="宋体"/>
                <w:color w:val="auto"/>
                <w:kern w:val="0"/>
                <w:sz w:val="22"/>
                <w:szCs w:val="22"/>
                <w:highlight w:val="none"/>
                <w:lang w:bidi="ar"/>
              </w:rPr>
              <w:t>）证书</w:t>
            </w:r>
            <w:r>
              <w:rPr>
                <w:rFonts w:hint="eastAsia" w:ascii="宋体" w:hAnsi="宋体" w:cs="宋体"/>
                <w:color w:val="auto"/>
                <w:kern w:val="0"/>
                <w:sz w:val="22"/>
                <w:szCs w:val="22"/>
                <w:highlight w:val="none"/>
                <w:lang w:val="en-US" w:eastAsia="zh-CN" w:bidi="ar"/>
              </w:rPr>
              <w:t>的</w:t>
            </w:r>
            <w:r>
              <w:rPr>
                <w:rFonts w:hint="eastAsia" w:ascii="宋体" w:hAnsi="宋体" w:cs="宋体"/>
                <w:color w:val="auto"/>
                <w:kern w:val="0"/>
                <w:sz w:val="22"/>
                <w:szCs w:val="22"/>
                <w:highlight w:val="none"/>
                <w:lang w:bidi="ar"/>
              </w:rPr>
              <w:t>每个证书得1.5分，全部具备得3分；</w:t>
            </w:r>
          </w:p>
          <w:p>
            <w:pPr>
              <w:widowControl/>
              <w:textAlignment w:val="center"/>
              <w:rPr>
                <w:rFonts w:hint="eastAsia"/>
              </w:rPr>
            </w:pPr>
            <w:r>
              <w:rPr>
                <w:rFonts w:hint="eastAsia" w:ascii="宋体" w:hAnsi="宋体" w:cs="宋体"/>
                <w:color w:val="auto"/>
                <w:kern w:val="0"/>
                <w:sz w:val="22"/>
                <w:szCs w:val="22"/>
                <w:highlight w:val="none"/>
                <w:lang w:bidi="ar"/>
              </w:rPr>
              <w:t>注：提供社保部门出具</w:t>
            </w:r>
            <w:r>
              <w:rPr>
                <w:rFonts w:hint="eastAsia" w:ascii="宋体" w:hAnsi="宋体" w:cs="宋体"/>
                <w:color w:val="auto"/>
                <w:kern w:val="0"/>
                <w:sz w:val="22"/>
                <w:szCs w:val="22"/>
                <w:highlight w:val="none"/>
                <w:lang w:val="en-US" w:eastAsia="zh-CN" w:bidi="ar"/>
              </w:rPr>
              <w:t>本单位</w:t>
            </w:r>
            <w:r>
              <w:rPr>
                <w:rFonts w:hint="eastAsia" w:ascii="宋体" w:hAnsi="宋体" w:cs="宋体"/>
                <w:color w:val="auto"/>
                <w:kern w:val="0"/>
                <w:sz w:val="22"/>
                <w:szCs w:val="22"/>
                <w:highlight w:val="none"/>
                <w:lang w:bidi="ar"/>
              </w:rPr>
              <w:t>的近三个月的社保证明并加盖公章，否则不得分。</w:t>
            </w:r>
          </w:p>
        </w:tc>
      </w:tr>
      <w:tr>
        <w:tblPrEx>
          <w:tblCellMar>
            <w:top w:w="0" w:type="dxa"/>
            <w:left w:w="108" w:type="dxa"/>
            <w:bottom w:w="0" w:type="dxa"/>
            <w:right w:w="108" w:type="dxa"/>
          </w:tblCellMar>
        </w:tblPrEx>
        <w:trPr>
          <w:trHeight w:val="1197" w:hRule="atLeast"/>
        </w:trPr>
        <w:tc>
          <w:tcPr>
            <w:tcW w:w="447" w:type="pct"/>
            <w:vMerge w:val="continue"/>
            <w:tcBorders>
              <w:left w:val="single" w:color="000000" w:sz="8"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2"/>
                <w:szCs w:val="22"/>
                <w:highlight w:val="none"/>
                <w:lang w:bidi="ar"/>
              </w:rPr>
            </w:pPr>
          </w:p>
        </w:tc>
        <w:tc>
          <w:tcPr>
            <w:tcW w:w="448" w:type="pct"/>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2"/>
                <w:szCs w:val="22"/>
                <w:highlight w:val="none"/>
                <w:lang w:bidi="ar"/>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numPr>
                <w:ilvl w:val="0"/>
                <w:numId w:val="7"/>
              </w:numPr>
              <w:ind w:left="0" w:leftChars="0" w:firstLine="0" w:firstLineChars="0"/>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投标人针对本项目的技术负责人（一名）</w:t>
            </w:r>
          </w:p>
          <w:p>
            <w:pPr>
              <w:widowControl/>
              <w:numPr>
                <w:ilvl w:val="0"/>
                <w:numId w:val="0"/>
              </w:numPr>
              <w:ind w:leftChars="0"/>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val="en-US" w:eastAsia="zh-CN" w:bidi="ar"/>
              </w:rPr>
              <w:t>具备</w:t>
            </w:r>
            <w:r>
              <w:rPr>
                <w:rFonts w:hint="eastAsia" w:ascii="宋体" w:hAnsi="宋体" w:cs="宋体"/>
                <w:color w:val="auto"/>
                <w:kern w:val="0"/>
                <w:sz w:val="22"/>
                <w:szCs w:val="22"/>
                <w:highlight w:val="none"/>
                <w:lang w:bidi="ar"/>
              </w:rPr>
              <w:t>系统架构设计师（软考）、数据库系统工程师</w:t>
            </w:r>
            <w:r>
              <w:rPr>
                <w:rFonts w:hint="eastAsia" w:ascii="宋体" w:hAnsi="宋体" w:cs="宋体"/>
                <w:color w:val="auto"/>
                <w:kern w:val="0"/>
                <w:sz w:val="22"/>
                <w:szCs w:val="22"/>
                <w:highlight w:val="none"/>
                <w:lang w:val="en-US" w:eastAsia="zh-CN" w:bidi="ar"/>
              </w:rPr>
              <w:t>的</w:t>
            </w:r>
            <w:r>
              <w:rPr>
                <w:rFonts w:hint="eastAsia" w:ascii="宋体" w:hAnsi="宋体" w:cs="宋体"/>
                <w:color w:val="auto"/>
                <w:kern w:val="0"/>
                <w:sz w:val="22"/>
                <w:szCs w:val="22"/>
                <w:highlight w:val="none"/>
                <w:lang w:bidi="ar"/>
              </w:rPr>
              <w:t>每个证书得</w:t>
            </w:r>
            <w:r>
              <w:rPr>
                <w:rFonts w:hint="eastAsia" w:ascii="宋体" w:hAnsi="宋体" w:cs="宋体"/>
                <w:color w:val="auto"/>
                <w:kern w:val="0"/>
                <w:sz w:val="22"/>
                <w:szCs w:val="22"/>
                <w:highlight w:val="none"/>
                <w:lang w:val="en-US" w:eastAsia="zh-CN" w:bidi="ar"/>
              </w:rPr>
              <w:t>1</w:t>
            </w:r>
            <w:r>
              <w:rPr>
                <w:rFonts w:hint="eastAsia" w:ascii="宋体" w:hAnsi="宋体" w:cs="宋体"/>
                <w:color w:val="auto"/>
                <w:kern w:val="0"/>
                <w:sz w:val="22"/>
                <w:szCs w:val="22"/>
                <w:highlight w:val="none"/>
                <w:lang w:bidi="ar"/>
              </w:rPr>
              <w:t>分，全部具备得</w:t>
            </w:r>
            <w:r>
              <w:rPr>
                <w:rFonts w:hint="eastAsia" w:ascii="宋体" w:hAnsi="宋体" w:cs="宋体"/>
                <w:color w:val="auto"/>
                <w:kern w:val="0"/>
                <w:sz w:val="22"/>
                <w:szCs w:val="22"/>
                <w:highlight w:val="none"/>
                <w:lang w:val="en-US" w:eastAsia="zh-CN" w:bidi="ar"/>
              </w:rPr>
              <w:t>2</w:t>
            </w:r>
            <w:r>
              <w:rPr>
                <w:rFonts w:hint="eastAsia" w:ascii="宋体" w:hAnsi="宋体" w:cs="宋体"/>
                <w:color w:val="auto"/>
                <w:kern w:val="0"/>
                <w:sz w:val="22"/>
                <w:szCs w:val="22"/>
                <w:highlight w:val="none"/>
                <w:lang w:bidi="ar"/>
              </w:rPr>
              <w:t>分；</w:t>
            </w:r>
          </w:p>
          <w:p>
            <w:pPr>
              <w:pStyle w:val="2"/>
              <w:jc w:val="both"/>
              <w:rPr>
                <w:rFonts w:hint="eastAsia"/>
              </w:rPr>
            </w:pPr>
            <w:r>
              <w:rPr>
                <w:rFonts w:hint="eastAsia" w:ascii="宋体" w:hAnsi="宋体" w:cs="宋体"/>
                <w:color w:val="auto"/>
                <w:kern w:val="0"/>
                <w:sz w:val="22"/>
                <w:szCs w:val="22"/>
                <w:highlight w:val="none"/>
                <w:lang w:bidi="ar"/>
              </w:rPr>
              <w:t>注：提供社保部门出具</w:t>
            </w:r>
            <w:r>
              <w:rPr>
                <w:rFonts w:hint="eastAsia" w:ascii="宋体" w:hAnsi="宋体" w:cs="宋体"/>
                <w:color w:val="auto"/>
                <w:kern w:val="0"/>
                <w:sz w:val="22"/>
                <w:szCs w:val="22"/>
                <w:highlight w:val="none"/>
                <w:lang w:val="en-US" w:eastAsia="zh-CN" w:bidi="ar"/>
              </w:rPr>
              <w:t>本单位</w:t>
            </w:r>
            <w:r>
              <w:rPr>
                <w:rFonts w:hint="eastAsia" w:ascii="宋体" w:hAnsi="宋体" w:cs="宋体"/>
                <w:color w:val="auto"/>
                <w:kern w:val="0"/>
                <w:sz w:val="22"/>
                <w:szCs w:val="22"/>
                <w:highlight w:val="none"/>
                <w:lang w:bidi="ar"/>
              </w:rPr>
              <w:t>的近三个月的社保证明并加盖公章，否则不得分。</w:t>
            </w:r>
          </w:p>
        </w:tc>
      </w:tr>
      <w:tr>
        <w:tblPrEx>
          <w:tblCellMar>
            <w:top w:w="0" w:type="dxa"/>
            <w:left w:w="108" w:type="dxa"/>
            <w:bottom w:w="0" w:type="dxa"/>
            <w:right w:w="108" w:type="dxa"/>
          </w:tblCellMar>
        </w:tblPrEx>
        <w:trPr>
          <w:trHeight w:val="2441" w:hRule="atLeast"/>
        </w:trPr>
        <w:tc>
          <w:tcPr>
            <w:tcW w:w="447" w:type="pct"/>
            <w:vMerge w:val="continue"/>
            <w:tcBorders>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2"/>
                <w:szCs w:val="22"/>
                <w:highlight w:val="none"/>
                <w:lang w:bidi="ar"/>
              </w:rPr>
            </w:pPr>
          </w:p>
        </w:tc>
        <w:tc>
          <w:tcPr>
            <w:tcW w:w="448"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2"/>
                <w:szCs w:val="22"/>
                <w:highlight w:val="none"/>
                <w:lang w:bidi="ar"/>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val="en-US" w:eastAsia="zh-CN" w:bidi="ar"/>
              </w:rPr>
              <w:t>3</w:t>
            </w:r>
            <w:r>
              <w:rPr>
                <w:rFonts w:hint="eastAsia" w:ascii="宋体" w:hAnsi="宋体" w:cs="宋体"/>
                <w:color w:val="auto"/>
                <w:kern w:val="0"/>
                <w:sz w:val="22"/>
                <w:szCs w:val="22"/>
                <w:highlight w:val="none"/>
                <w:lang w:bidi="ar"/>
              </w:rPr>
              <w:t>.项目组成员（除项目负责人、技术负责人外）</w:t>
            </w:r>
          </w:p>
          <w:p>
            <w:pPr>
              <w:widowControl/>
              <w:textAlignment w:val="center"/>
              <w:rPr>
                <w:rFonts w:hint="default" w:ascii="宋体" w:hAnsi="宋体" w:cs="宋体"/>
                <w:color w:val="auto"/>
                <w:kern w:val="0"/>
                <w:sz w:val="22"/>
                <w:szCs w:val="22"/>
                <w:highlight w:val="none"/>
                <w:lang w:val="en-US" w:bidi="ar"/>
              </w:rPr>
            </w:pPr>
            <w:r>
              <w:rPr>
                <w:rFonts w:hint="eastAsia" w:ascii="宋体" w:hAnsi="宋体" w:cs="宋体"/>
                <w:color w:val="auto"/>
                <w:kern w:val="0"/>
                <w:sz w:val="22"/>
                <w:szCs w:val="22"/>
                <w:highlight w:val="none"/>
                <w:lang w:val="en-US" w:eastAsia="zh-CN" w:bidi="ar"/>
              </w:rPr>
              <w:t>①</w:t>
            </w:r>
            <w:r>
              <w:rPr>
                <w:rFonts w:hint="eastAsia" w:ascii="宋体" w:hAnsi="宋体" w:cs="宋体"/>
                <w:color w:val="auto"/>
                <w:kern w:val="0"/>
                <w:sz w:val="22"/>
                <w:szCs w:val="22"/>
                <w:highlight w:val="none"/>
                <w:lang w:bidi="ar"/>
              </w:rPr>
              <w:t>项目组成员中具有互联网技术</w:t>
            </w:r>
            <w:r>
              <w:rPr>
                <w:rFonts w:hint="eastAsia" w:ascii="宋体" w:hAnsi="宋体" w:cs="宋体"/>
                <w:color w:val="auto"/>
                <w:kern w:val="0"/>
                <w:sz w:val="22"/>
                <w:szCs w:val="22"/>
                <w:highlight w:val="none"/>
                <w:lang w:val="en-US" w:eastAsia="zh-CN" w:bidi="ar"/>
              </w:rPr>
              <w:t>专业</w:t>
            </w:r>
            <w:r>
              <w:rPr>
                <w:rFonts w:hint="eastAsia" w:ascii="宋体" w:hAnsi="宋体" w:cs="宋体"/>
                <w:color w:val="auto"/>
                <w:kern w:val="0"/>
                <w:sz w:val="22"/>
                <w:szCs w:val="22"/>
                <w:highlight w:val="none"/>
                <w:lang w:bidi="ar"/>
              </w:rPr>
              <w:t>工程师</w:t>
            </w:r>
            <w:r>
              <w:rPr>
                <w:rFonts w:hint="eastAsia" w:ascii="宋体" w:hAnsi="宋体" w:cs="宋体"/>
                <w:color w:val="auto"/>
                <w:kern w:val="0"/>
                <w:sz w:val="22"/>
                <w:szCs w:val="22"/>
                <w:highlight w:val="none"/>
                <w:lang w:val="en-US" w:eastAsia="zh-CN" w:bidi="ar"/>
              </w:rPr>
              <w:t>职称的得0.5分，</w:t>
            </w:r>
            <w:r>
              <w:rPr>
                <w:rFonts w:hint="eastAsia" w:ascii="宋体" w:hAnsi="宋体" w:cs="宋体"/>
                <w:color w:val="auto"/>
                <w:kern w:val="0"/>
                <w:sz w:val="22"/>
                <w:szCs w:val="22"/>
                <w:highlight w:val="none"/>
                <w:lang w:bidi="ar"/>
              </w:rPr>
              <w:t>互联网技术</w:t>
            </w:r>
            <w:r>
              <w:rPr>
                <w:rFonts w:hint="eastAsia" w:ascii="宋体" w:hAnsi="宋体" w:cs="宋体"/>
                <w:color w:val="auto"/>
                <w:kern w:val="0"/>
                <w:sz w:val="22"/>
                <w:szCs w:val="22"/>
                <w:highlight w:val="none"/>
                <w:lang w:val="en-US" w:eastAsia="zh-CN" w:bidi="ar"/>
              </w:rPr>
              <w:t>专业</w:t>
            </w:r>
            <w:r>
              <w:rPr>
                <w:rFonts w:hint="eastAsia" w:ascii="宋体" w:hAnsi="宋体" w:cs="宋体"/>
                <w:color w:val="auto"/>
                <w:kern w:val="0"/>
                <w:sz w:val="22"/>
                <w:szCs w:val="22"/>
                <w:highlight w:val="none"/>
                <w:lang w:bidi="ar"/>
              </w:rPr>
              <w:t>高级</w:t>
            </w:r>
            <w:r>
              <w:rPr>
                <w:rFonts w:hint="eastAsia" w:ascii="宋体" w:hAnsi="宋体" w:cs="宋体"/>
                <w:color w:val="auto"/>
                <w:kern w:val="0"/>
                <w:sz w:val="22"/>
                <w:szCs w:val="22"/>
                <w:highlight w:val="none"/>
                <w:lang w:val="en-US" w:eastAsia="zh-CN" w:bidi="ar"/>
              </w:rPr>
              <w:t>及以上职称的得1分。本项目最高得1分。</w:t>
            </w:r>
          </w:p>
          <w:p>
            <w:pPr>
              <w:pStyle w:val="2"/>
              <w:jc w:val="both"/>
              <w:rPr>
                <w:rFonts w:hint="eastAsia"/>
              </w:rPr>
            </w:pPr>
            <w:r>
              <w:rPr>
                <w:rFonts w:hint="eastAsia" w:ascii="宋体" w:hAnsi="宋体" w:cs="宋体"/>
                <w:color w:val="auto"/>
                <w:kern w:val="0"/>
                <w:sz w:val="22"/>
                <w:szCs w:val="22"/>
                <w:highlight w:val="none"/>
                <w:lang w:val="en-US" w:eastAsia="zh-CN" w:bidi="ar"/>
              </w:rPr>
              <w:t>②</w:t>
            </w:r>
            <w:r>
              <w:rPr>
                <w:rFonts w:hint="eastAsia" w:ascii="宋体" w:hAnsi="宋体" w:cs="宋体"/>
                <w:color w:val="auto"/>
                <w:kern w:val="0"/>
                <w:sz w:val="22"/>
                <w:szCs w:val="22"/>
                <w:highlight w:val="none"/>
                <w:lang w:bidi="ar"/>
              </w:rPr>
              <w:t>项目组成员中具有电子工程</w:t>
            </w:r>
            <w:r>
              <w:rPr>
                <w:rFonts w:hint="eastAsia" w:ascii="宋体" w:hAnsi="宋体" w:cs="宋体"/>
                <w:color w:val="auto"/>
                <w:kern w:val="0"/>
                <w:sz w:val="22"/>
                <w:szCs w:val="22"/>
                <w:highlight w:val="none"/>
                <w:lang w:val="en-US" w:eastAsia="zh-CN" w:bidi="ar"/>
              </w:rPr>
              <w:t>专业</w:t>
            </w:r>
            <w:r>
              <w:rPr>
                <w:rFonts w:hint="eastAsia" w:ascii="宋体" w:hAnsi="宋体" w:cs="宋体"/>
                <w:color w:val="auto"/>
                <w:kern w:val="0"/>
                <w:sz w:val="22"/>
                <w:szCs w:val="22"/>
                <w:highlight w:val="none"/>
                <w:lang w:bidi="ar"/>
              </w:rPr>
              <w:t>工程师</w:t>
            </w:r>
            <w:r>
              <w:rPr>
                <w:rFonts w:hint="eastAsia" w:ascii="宋体" w:hAnsi="宋体" w:cs="宋体"/>
                <w:color w:val="auto"/>
                <w:kern w:val="0"/>
                <w:sz w:val="22"/>
                <w:szCs w:val="22"/>
                <w:highlight w:val="none"/>
                <w:lang w:val="en-US" w:eastAsia="zh-CN" w:bidi="ar"/>
              </w:rPr>
              <w:t>职称的得0.5分，</w:t>
            </w:r>
            <w:r>
              <w:rPr>
                <w:rFonts w:hint="eastAsia" w:ascii="宋体" w:hAnsi="宋体" w:cs="宋体"/>
                <w:color w:val="auto"/>
                <w:kern w:val="0"/>
                <w:sz w:val="22"/>
                <w:szCs w:val="22"/>
                <w:highlight w:val="none"/>
                <w:lang w:bidi="ar"/>
              </w:rPr>
              <w:t>电子工程</w:t>
            </w:r>
            <w:r>
              <w:rPr>
                <w:rFonts w:hint="eastAsia" w:ascii="宋体" w:hAnsi="宋体" w:cs="宋体"/>
                <w:color w:val="auto"/>
                <w:kern w:val="0"/>
                <w:sz w:val="22"/>
                <w:szCs w:val="22"/>
                <w:highlight w:val="none"/>
                <w:lang w:val="en-US" w:eastAsia="zh-CN" w:bidi="ar"/>
              </w:rPr>
              <w:t>专业</w:t>
            </w:r>
            <w:r>
              <w:rPr>
                <w:rFonts w:hint="eastAsia" w:ascii="宋体" w:hAnsi="宋体" w:cs="宋体"/>
                <w:color w:val="auto"/>
                <w:kern w:val="0"/>
                <w:sz w:val="22"/>
                <w:szCs w:val="22"/>
                <w:highlight w:val="none"/>
                <w:lang w:bidi="ar"/>
              </w:rPr>
              <w:t>高级</w:t>
            </w:r>
            <w:r>
              <w:rPr>
                <w:rFonts w:hint="eastAsia" w:ascii="宋体" w:hAnsi="宋体" w:cs="宋体"/>
                <w:color w:val="auto"/>
                <w:kern w:val="0"/>
                <w:sz w:val="22"/>
                <w:szCs w:val="22"/>
                <w:highlight w:val="none"/>
                <w:lang w:val="en-US" w:eastAsia="zh-CN" w:bidi="ar"/>
              </w:rPr>
              <w:t>及以上职称的得1分。本项目最高得1分。</w:t>
            </w:r>
          </w:p>
          <w:p>
            <w:pPr>
              <w:widowControl/>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③</w:t>
            </w:r>
            <w:r>
              <w:rPr>
                <w:rFonts w:hint="eastAsia" w:ascii="宋体" w:hAnsi="宋体" w:cs="宋体"/>
                <w:color w:val="auto"/>
                <w:kern w:val="0"/>
                <w:sz w:val="22"/>
                <w:szCs w:val="22"/>
                <w:highlight w:val="none"/>
                <w:lang w:bidi="ar"/>
              </w:rPr>
              <w:t>项目组成员中具有计算机应用软件专业工程师、住房和城乡建设领域专业技术管理人员（施工员（电气））证书，每人得1分</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val="en-US" w:eastAsia="zh-CN" w:bidi="ar"/>
              </w:rPr>
              <w:t>本项目最高得2分。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注：1、提供以上人员由社保部门出具</w:t>
            </w:r>
            <w:r>
              <w:rPr>
                <w:rFonts w:hint="eastAsia" w:ascii="宋体" w:hAnsi="宋体" w:cs="宋体"/>
                <w:color w:val="auto"/>
                <w:kern w:val="0"/>
                <w:sz w:val="22"/>
                <w:szCs w:val="22"/>
                <w:highlight w:val="none"/>
                <w:lang w:val="en-US" w:eastAsia="zh-CN" w:bidi="ar"/>
              </w:rPr>
              <w:t>本单位</w:t>
            </w:r>
            <w:r>
              <w:rPr>
                <w:rFonts w:hint="eastAsia" w:ascii="宋体" w:hAnsi="宋体" w:cs="宋体"/>
                <w:color w:val="auto"/>
                <w:kern w:val="0"/>
                <w:sz w:val="22"/>
                <w:szCs w:val="22"/>
                <w:highlight w:val="none"/>
                <w:lang w:bidi="ar"/>
              </w:rPr>
              <w:t>的近三个月的社保证明并加盖公章，否则不得分。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2、项目负责人、技术负责人及项目组成员不能兼职。</w:t>
            </w:r>
          </w:p>
        </w:tc>
      </w:tr>
      <w:tr>
        <w:tblPrEx>
          <w:tblCellMar>
            <w:top w:w="0" w:type="dxa"/>
            <w:left w:w="108" w:type="dxa"/>
            <w:bottom w:w="0" w:type="dxa"/>
            <w:right w:w="108" w:type="dxa"/>
          </w:tblCellMar>
        </w:tblPrEx>
        <w:trPr>
          <w:trHeight w:val="455"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技术指标要求</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val="en-US" w:eastAsia="zh-CN" w:bidi="ar"/>
              </w:rPr>
              <w:t>8</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根据投标产品的技术参数和功能实现是否完全满足招标文件要求，技术指标偏离情况逐条进行评分：标注“★”的为重要技术参数，无法提供采购文件中要求的检测报告等证明材料视为负偏离，每项负偏离扣</w:t>
            </w:r>
            <w:r>
              <w:rPr>
                <w:rFonts w:hint="eastAsia" w:ascii="宋体" w:hAnsi="宋体" w:cs="宋体"/>
                <w:color w:val="auto"/>
                <w:kern w:val="0"/>
                <w:sz w:val="22"/>
                <w:szCs w:val="22"/>
                <w:highlight w:val="none"/>
                <w:lang w:val="en-US" w:eastAsia="zh-CN" w:bidi="ar"/>
              </w:rPr>
              <w:t>1</w:t>
            </w:r>
            <w:r>
              <w:rPr>
                <w:rFonts w:hint="eastAsia" w:ascii="宋体" w:hAnsi="宋体" w:cs="宋体"/>
                <w:color w:val="auto"/>
                <w:kern w:val="0"/>
                <w:sz w:val="22"/>
                <w:szCs w:val="22"/>
                <w:highlight w:val="none"/>
                <w:lang w:bidi="ar"/>
              </w:rPr>
              <w:t>分，其余项负偏离扣</w:t>
            </w:r>
            <w:r>
              <w:rPr>
                <w:rFonts w:hint="eastAsia" w:ascii="宋体" w:hAnsi="宋体" w:cs="宋体"/>
                <w:color w:val="auto"/>
                <w:kern w:val="0"/>
                <w:sz w:val="22"/>
                <w:szCs w:val="22"/>
                <w:highlight w:val="none"/>
                <w:lang w:val="en-US" w:eastAsia="zh-CN" w:bidi="ar"/>
              </w:rPr>
              <w:t>0.5</w:t>
            </w:r>
            <w:r>
              <w:rPr>
                <w:rFonts w:hint="eastAsia" w:ascii="宋体" w:hAnsi="宋体" w:cs="宋体"/>
                <w:color w:val="auto"/>
                <w:kern w:val="0"/>
                <w:sz w:val="22"/>
                <w:szCs w:val="22"/>
                <w:highlight w:val="none"/>
                <w:lang w:bidi="ar"/>
              </w:rPr>
              <w:t>分，扣完为止，本项满分得分为</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val="en-US" w:eastAsia="zh-CN" w:bidi="ar"/>
              </w:rPr>
              <w:t>8</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注：须提供相关产品检测报告等证明资料，无法提供采购文件中要求的检测报告等证明材料视为负偏离。</w:t>
            </w:r>
          </w:p>
        </w:tc>
      </w:tr>
      <w:tr>
        <w:tblPrEx>
          <w:tblCellMar>
            <w:top w:w="0" w:type="dxa"/>
            <w:left w:w="108" w:type="dxa"/>
            <w:bottom w:w="0" w:type="dxa"/>
            <w:right w:w="108" w:type="dxa"/>
          </w:tblCellMar>
        </w:tblPrEx>
        <w:trPr>
          <w:trHeight w:val="4590"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技术方案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ascii="宋体" w:hAnsi="宋体" w:cs="宋体"/>
                <w:color w:val="auto"/>
                <w:kern w:val="0"/>
                <w:sz w:val="22"/>
                <w:szCs w:val="22"/>
                <w:highlight w:val="none"/>
                <w:lang w:bidi="ar"/>
              </w:rPr>
              <w:t>10</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根据供应商方案整体设计思路和原则符合采购人需求，切实可行，详细阐述本项目背景、需求、总体架构、设计方案等内容。根据内容设计合理性、规范性进行评分，其中：</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1、项目背景及需求分析（0-2分）：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分析完整、合理得1.5-2分；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分析基本完整、相对合理得0.5-1.5分；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分析欠缺、具有一定合理性得0-0.5分；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未提供相应分析不得分。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2、总体架构及设计方案（0-2分）：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方案完整、合理可行得1.5-2分；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方案基本完整、相对合理可行得0.5-1.5分；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方案欠缺、具有一定可行性得0-0.5分；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3、应用系统建设方案（0-2分）：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方案完整、合理可行得1.5-2分；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方案基本完整、相对合理可行得0.5-1.5分；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方案欠缺、具有一定可行性得0-0.5分；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p>
          <w:p>
            <w:pPr>
              <w:widowControl/>
              <w:jc w:val="left"/>
              <w:textAlignment w:val="center"/>
              <w:rPr>
                <w:color w:val="auto"/>
                <w:highlight w:val="none"/>
              </w:rPr>
            </w:pPr>
            <w:r>
              <w:rPr>
                <w:rFonts w:hint="eastAsia" w:ascii="宋体" w:hAnsi="宋体" w:cs="宋体"/>
                <w:color w:val="auto"/>
                <w:kern w:val="0"/>
                <w:sz w:val="22"/>
                <w:szCs w:val="22"/>
                <w:highlight w:val="none"/>
                <w:lang w:bidi="ar"/>
              </w:rPr>
              <w:t>4.与已建的龙港智慧环卫管理平台对接方案</w:t>
            </w:r>
            <w:r>
              <w:rPr>
                <w:rFonts w:hint="eastAsia"/>
                <w:color w:val="auto"/>
                <w:highlight w:val="none"/>
              </w:rPr>
              <w:t>（0-</w:t>
            </w:r>
            <w:r>
              <w:rPr>
                <w:color w:val="auto"/>
                <w:highlight w:val="none"/>
              </w:rPr>
              <w:t>4</w:t>
            </w:r>
            <w:r>
              <w:rPr>
                <w:rFonts w:hint="eastAsia"/>
                <w:color w:val="auto"/>
                <w:highlight w:val="none"/>
              </w:rPr>
              <w:t>分）。</w:t>
            </w:r>
          </w:p>
          <w:p>
            <w:pPr>
              <w:pStyle w:val="2"/>
              <w:jc w:val="left"/>
              <w:rPr>
                <w:color w:val="auto"/>
                <w:highlight w:val="none"/>
              </w:rPr>
            </w:pPr>
            <w:r>
              <w:rPr>
                <w:rFonts w:hint="eastAsia" w:ascii="宋体" w:hAnsi="宋体" w:cs="宋体"/>
                <w:color w:val="auto"/>
                <w:kern w:val="0"/>
                <w:sz w:val="22"/>
                <w:szCs w:val="22"/>
                <w:highlight w:val="none"/>
                <w:lang w:bidi="ar"/>
              </w:rPr>
              <w:t>方案完整、合理可行得</w:t>
            </w:r>
            <w:r>
              <w:rPr>
                <w:rFonts w:ascii="宋体" w:hAnsi="宋体" w:cs="宋体"/>
                <w:color w:val="auto"/>
                <w:kern w:val="0"/>
                <w:sz w:val="22"/>
                <w:szCs w:val="22"/>
                <w:highlight w:val="none"/>
                <w:lang w:bidi="ar"/>
              </w:rPr>
              <w:t>3</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4</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3</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p>
        </w:tc>
      </w:tr>
      <w:tr>
        <w:tblPrEx>
          <w:tblCellMar>
            <w:top w:w="0" w:type="dxa"/>
            <w:left w:w="108" w:type="dxa"/>
            <w:bottom w:w="0" w:type="dxa"/>
            <w:right w:w="108" w:type="dxa"/>
          </w:tblCellMar>
        </w:tblPrEx>
        <w:trPr>
          <w:trHeight w:val="385"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实施组织方案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ascii="宋体" w:hAnsi="宋体" w:cs="宋体"/>
                <w:color w:val="auto"/>
                <w:kern w:val="0"/>
                <w:sz w:val="22"/>
                <w:szCs w:val="22"/>
                <w:highlight w:val="none"/>
                <w:lang w:bidi="ar"/>
              </w:rPr>
              <w:t>4</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根据供应商针对本项目提供的实施方案的科学性、合理性、规范性、可操作性等进行评分：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1、供货安装计划（0-</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计划完整、合理可行得</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计划基本完整、相对合理可行得0.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计划欠缺、具有一定可行性得0-0.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未提供计划不得分。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2、测试与验收计划（0-</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计划完整、合理可行得</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计划基本完整、相对合理可行得0.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计划欠缺、具有一定可行性得0-0.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未提供计划不得分。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3、质量保证计划和标准（0-</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4、进度计划和保证措施（0-</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w:t>
            </w:r>
            <w:r>
              <w:rPr>
                <w:rFonts w:ascii="宋体" w:hAnsi="宋体" w:cs="宋体"/>
                <w:color w:val="auto"/>
                <w:kern w:val="0"/>
                <w:sz w:val="22"/>
                <w:szCs w:val="22"/>
                <w:highlight w:val="none"/>
                <w:lang w:bidi="ar"/>
              </w:rPr>
              <w:t>0.8</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方案欠缺、具有一定可行性得0-0.</w:t>
            </w:r>
            <w:r>
              <w:rPr>
                <w:rFonts w:ascii="宋体" w:hAnsi="宋体" w:cs="宋体"/>
                <w:color w:val="auto"/>
                <w:kern w:val="0"/>
                <w:sz w:val="22"/>
                <w:szCs w:val="22"/>
                <w:highlight w:val="none"/>
                <w:lang w:bidi="ar"/>
              </w:rPr>
              <w:t>2</w:t>
            </w:r>
            <w:r>
              <w:rPr>
                <w:rFonts w:hint="eastAsia" w:ascii="宋体" w:hAnsi="宋体" w:cs="宋体"/>
                <w:color w:val="auto"/>
                <w:kern w:val="0"/>
                <w:sz w:val="22"/>
                <w:szCs w:val="22"/>
                <w:highlight w:val="none"/>
                <w:lang w:bidi="ar"/>
              </w:rPr>
              <w:t>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p>
        </w:tc>
      </w:tr>
      <w:tr>
        <w:tblPrEx>
          <w:tblCellMar>
            <w:top w:w="0" w:type="dxa"/>
            <w:left w:w="108" w:type="dxa"/>
            <w:bottom w:w="0" w:type="dxa"/>
            <w:right w:w="108" w:type="dxa"/>
          </w:tblCellMar>
        </w:tblPrEx>
        <w:trPr>
          <w:trHeight w:val="1890"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售后服务能力</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3分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根据供应商针对本项目提供的售后服务方案（至少包括售后服务网点情况、售后服务承诺、响应时间及响应程度、保障措施）的合理性、完整性、服务能力等情况进行打分（0-3分）：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方案完整、合理可行得2-3分；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方案基本完整、相对合理可行得1-2分；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方案欠缺、具有一定可行性得0-1分；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p>
        </w:tc>
      </w:tr>
      <w:tr>
        <w:tblPrEx>
          <w:tblCellMar>
            <w:top w:w="0" w:type="dxa"/>
            <w:left w:w="108" w:type="dxa"/>
            <w:bottom w:w="0" w:type="dxa"/>
            <w:right w:w="108" w:type="dxa"/>
          </w:tblCellMar>
        </w:tblPrEx>
        <w:trPr>
          <w:trHeight w:val="1620" w:hRule="atLeast"/>
        </w:trPr>
        <w:tc>
          <w:tcPr>
            <w:tcW w:w="44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培训方案</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2分</w:t>
            </w:r>
          </w:p>
        </w:tc>
        <w:tc>
          <w:tcPr>
            <w:tcW w:w="3656" w:type="pc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根据供应商针对本项目提供的培训计划以及培训方案等内容由专家进行打分（0-2分）：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方案完整、合理可行得1.5-2分；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方案基本完整、相对合理可行得0.5-1.5分；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方案欠缺、具有一定可行性得0-0.5分；</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未提供方案不得分。</w:t>
            </w:r>
          </w:p>
        </w:tc>
      </w:tr>
      <w:tr>
        <w:tblPrEx>
          <w:tblCellMar>
            <w:top w:w="0" w:type="dxa"/>
            <w:left w:w="108" w:type="dxa"/>
            <w:bottom w:w="0" w:type="dxa"/>
            <w:right w:w="108" w:type="dxa"/>
          </w:tblCellMar>
        </w:tblPrEx>
        <w:trPr>
          <w:trHeight w:val="5415" w:hRule="atLeast"/>
        </w:trPr>
        <w:tc>
          <w:tcPr>
            <w:tcW w:w="447" w:type="pct"/>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448"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系统演示</w:t>
            </w:r>
          </w:p>
        </w:tc>
        <w:tc>
          <w:tcPr>
            <w:tcW w:w="448" w:type="pct"/>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宋体" w:hAnsi="宋体" w:cs="宋体"/>
                <w:color w:val="auto"/>
                <w:sz w:val="22"/>
                <w:szCs w:val="22"/>
                <w:highlight w:val="none"/>
              </w:rPr>
            </w:pPr>
            <w:r>
              <w:rPr>
                <w:rFonts w:ascii="宋体" w:hAnsi="宋体" w:cs="宋体"/>
                <w:color w:val="auto"/>
                <w:kern w:val="0"/>
                <w:sz w:val="22"/>
                <w:szCs w:val="22"/>
                <w:highlight w:val="none"/>
                <w:lang w:bidi="ar"/>
              </w:rPr>
              <w:t>8</w:t>
            </w:r>
            <w:r>
              <w:rPr>
                <w:rFonts w:hint="eastAsia" w:ascii="宋体" w:hAnsi="宋体" w:cs="宋体"/>
                <w:color w:val="auto"/>
                <w:kern w:val="0"/>
                <w:sz w:val="22"/>
                <w:szCs w:val="22"/>
                <w:highlight w:val="none"/>
                <w:lang w:bidi="ar"/>
              </w:rPr>
              <w:t>分</w:t>
            </w:r>
          </w:p>
        </w:tc>
        <w:tc>
          <w:tcPr>
            <w:tcW w:w="3656" w:type="pct"/>
            <w:tcBorders>
              <w:top w:val="single" w:color="000000" w:sz="4" w:space="0"/>
              <w:left w:val="single" w:color="000000" w:sz="4" w:space="0"/>
              <w:bottom w:val="single" w:color="000000" w:sz="8" w:space="0"/>
              <w:right w:val="single" w:color="000000" w:sz="8" w:space="0"/>
            </w:tcBorders>
            <w:shd w:val="clear" w:color="auto" w:fill="auto"/>
            <w:vAlign w:val="center"/>
          </w:tcPr>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供应商通过录制视频的方式对系统进行演示，演示时间不超过10分钟，以证明供应商可满足采购人系统功能需求。演示包括以下内容：</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w:t>
            </w:r>
            <w:r>
              <w:rPr>
                <w:rFonts w:hint="eastAsia" w:ascii="宋体" w:hAnsi="宋体" w:cs="宋体"/>
                <w:color w:val="auto"/>
                <w:kern w:val="0"/>
                <w:sz w:val="22"/>
                <w:szCs w:val="22"/>
                <w:highlight w:val="none"/>
                <w:lang w:val="en-US" w:eastAsia="zh-CN" w:bidi="ar"/>
              </w:rPr>
              <w:t>根据采购人提供的已建成垃圾站的点位</w:t>
            </w:r>
            <w:r>
              <w:rPr>
                <w:rFonts w:hint="eastAsia" w:ascii="宋体" w:hAnsi="宋体" w:cs="宋体"/>
                <w:color w:val="auto"/>
                <w:kern w:val="0"/>
                <w:sz w:val="22"/>
                <w:szCs w:val="22"/>
                <w:highlight w:val="none"/>
                <w:lang w:bidi="ar"/>
              </w:rPr>
              <w:t>演示垃圾站在地图上展示和分布；演示模拟垃圾站的视频摄像头画面接入；点击对店垃圾站在gis地图上显示，同时可以在地图上点击具体垃圾站来展示视频数据画面，同时也可以实现在垃圾站列表调用摄像头画面（0-2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演示现场AI事件发现-流转-整改-审核-扣分全流程，并在一个页面展示整个过程的全进程；演示不同状态下事件颜色，实现对垃圾站事件触发扣分机制，以百分制为扣分模型，根据不同的告警级别显示不同告警颜色（0-2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3、演示配置不同类型的事件的提醒机制:短信提醒,短信内容里面必须包含事件名称、预警地点、预警级别、预警时间；语音电话提醒，可以根据不同预警内容进行不同语音电话提醒（0-2分）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4、演示整个垃圾站数据驾驶舱，设计驾驶舱上包含但不限于垃圾站数量、当日事件预警、事件数量及分布。（0-2分）</w:t>
            </w:r>
          </w:p>
          <w:p>
            <w:pPr>
              <w:widowControl/>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根据演示效果，功能齐全程度进行评分，每完整演示一个功能得2分，对应功能不完整得 0-1分，未提供演示不得分。</w:t>
            </w:r>
          </w:p>
          <w:p>
            <w:pPr>
              <w:widowControl/>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注：演示视频U盘应当密封包装，在投标截止时间前当面送达由代理单位签收或采用邮寄形式由代理单位签收（龙港市世纪大道华鸿中央公园2期12幢1601室），并在包装上标注投标项目名称、投标单位名称并加盖公章。没有密封包装或者逾期邮寄送达至投标地点的“演示视频U盘”将不予接收；未提交“演示视频U盘”的供应商在演示部分将不予计分。</w:t>
            </w:r>
          </w:p>
        </w:tc>
      </w:tr>
    </w:tbl>
    <w:p>
      <w:pPr>
        <w:spacing w:line="420" w:lineRule="exact"/>
        <w:ind w:right="-106" w:rightChars="-5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sz w:val="22"/>
          <w:szCs w:val="22"/>
        </w:rPr>
        <w:t>三．</w:t>
      </w:r>
      <w:r>
        <w:rPr>
          <w:rFonts w:hint="eastAsia" w:asciiTheme="minorEastAsia" w:hAnsiTheme="minorEastAsia" w:eastAsiaTheme="minorEastAsia" w:cstheme="minorEastAsia"/>
          <w:b/>
          <w:sz w:val="22"/>
          <w:szCs w:val="22"/>
        </w:rPr>
        <w:t>确定中标人</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 xml:space="preserve"> 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4、评标结束后，招标人将在浙江省政府采购网、龙港市公共资源交易中心网站及其他政府采购指定信息发布媒体上公示中标结果。公示期结束，且在规定期限内无异议则招标机构将向中标人发出中标通知书。</w:t>
      </w:r>
    </w:p>
    <w:p>
      <w:pPr>
        <w:spacing w:line="420" w:lineRule="exact"/>
        <w:ind w:left="-106" w:leftChars="-50" w:right="-106" w:rightChars="-50" w:firstLine="446" w:firstLineChars="200"/>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bCs/>
          <w:sz w:val="22"/>
          <w:szCs w:val="22"/>
        </w:rPr>
        <w:t>四．</w:t>
      </w:r>
      <w:r>
        <w:rPr>
          <w:rFonts w:hint="eastAsia" w:asciiTheme="minorEastAsia" w:hAnsiTheme="minorEastAsia" w:eastAsiaTheme="minorEastAsia" w:cstheme="minorEastAsia"/>
          <w:b/>
          <w:sz w:val="22"/>
          <w:szCs w:val="22"/>
        </w:rPr>
        <w:t>投标人义务</w:t>
      </w:r>
    </w:p>
    <w:p>
      <w:pPr>
        <w:spacing w:line="420" w:lineRule="exact"/>
        <w:ind w:left="-106" w:leftChars="-50" w:right="-106" w:rightChars="-50" w:firstLine="557" w:firstLineChars="250"/>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投标人应随时接受评标委员会的询标，解答包括有关的商务、技术问题等。评标结束，所有评标资料存招标人备查。</w:t>
      </w:r>
    </w:p>
    <w:p>
      <w:pPr>
        <w:spacing w:line="360" w:lineRule="auto"/>
        <w:rPr>
          <w:rFonts w:asciiTheme="minorEastAsia" w:hAnsiTheme="minorEastAsia" w:eastAsiaTheme="minorEastAsia" w:cstheme="minorEastAsia"/>
          <w:sz w:val="22"/>
          <w:szCs w:val="22"/>
        </w:rPr>
      </w:pPr>
    </w:p>
    <w:p>
      <w:pPr>
        <w:rPr>
          <w:rFonts w:asciiTheme="minorEastAsia" w:hAnsiTheme="minorEastAsia" w:eastAsiaTheme="minorEastAsia" w:cstheme="minorEastAsia"/>
        </w:rPr>
      </w:pPr>
    </w:p>
    <w:p>
      <w:pPr>
        <w:pStyle w:val="187"/>
        <w:widowControl w:val="0"/>
        <w:snapToGrid w:val="0"/>
        <w:spacing w:line="500" w:lineRule="exact"/>
        <w:jc w:val="center"/>
        <w:rPr>
          <w:rFonts w:hint="default" w:asciiTheme="minorEastAsia" w:hAnsiTheme="minorEastAsia" w:eastAsiaTheme="minorEastAsia" w:cstheme="minorEastAsia"/>
          <w:b/>
          <w:bCs/>
          <w:color w:val="000000"/>
          <w:sz w:val="24"/>
          <w:szCs w:val="24"/>
        </w:rPr>
      </w:pPr>
    </w:p>
    <w:p>
      <w:pPr>
        <w:widowControl/>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br w:type="page"/>
      </w:r>
    </w:p>
    <w:p>
      <w:pPr>
        <w:pStyle w:val="187"/>
        <w:widowControl w:val="0"/>
        <w:snapToGrid w:val="0"/>
        <w:spacing w:line="500" w:lineRule="exact"/>
        <w:jc w:val="center"/>
        <w:rPr>
          <w:rFonts w:hint="default" w:asciiTheme="minorEastAsia" w:hAnsiTheme="minorEastAsia" w:eastAsiaTheme="minorEastAsia" w:cstheme="minorEastAsia"/>
          <w:b/>
          <w:bCs/>
          <w:color w:val="000000"/>
          <w:sz w:val="24"/>
          <w:szCs w:val="24"/>
        </w:rPr>
      </w:pPr>
      <w:r>
        <w:rPr>
          <w:rFonts w:asciiTheme="minorEastAsia" w:hAnsiTheme="minorEastAsia" w:eastAsiaTheme="minorEastAsia" w:cstheme="minorEastAsia"/>
          <w:b/>
          <w:bCs/>
          <w:color w:val="000000"/>
          <w:sz w:val="24"/>
          <w:szCs w:val="24"/>
        </w:rPr>
        <w:t>政府采购活动现场确认声明书</w:t>
      </w:r>
    </w:p>
    <w:p>
      <w:pPr>
        <w:pStyle w:val="187"/>
        <w:widowControl w:val="0"/>
        <w:snapToGrid w:val="0"/>
        <w:spacing w:line="500" w:lineRule="exact"/>
        <w:jc w:val="both"/>
        <w:rPr>
          <w:rFonts w:hint="default" w:asciiTheme="minorEastAsia" w:hAnsiTheme="minorEastAsia" w:eastAsiaTheme="minorEastAsia" w:cstheme="minorEastAsia"/>
          <w:color w:val="000000"/>
          <w:kern w:val="0"/>
          <w:sz w:val="28"/>
        </w:rPr>
      </w:pPr>
    </w:p>
    <w:p>
      <w:pPr>
        <w:pStyle w:val="187"/>
        <w:widowControl w:val="0"/>
        <w:snapToGrid w:val="0"/>
        <w:spacing w:line="480" w:lineRule="auto"/>
        <w:jc w:val="both"/>
        <w:rPr>
          <w:rFonts w:hint="default" w:asciiTheme="minorEastAsia" w:hAnsiTheme="minorEastAsia" w:eastAsiaTheme="minorEastAsia" w:cstheme="minorEastAsia"/>
          <w:b/>
          <w:color w:val="000000"/>
          <w:szCs w:val="21"/>
        </w:rPr>
      </w:pPr>
      <w:r>
        <w:rPr>
          <w:rFonts w:asciiTheme="minorEastAsia" w:hAnsiTheme="minorEastAsia" w:eastAsiaTheme="minorEastAsia" w:cstheme="minorEastAsia"/>
          <w:color w:val="000000"/>
          <w:kern w:val="0"/>
          <w:sz w:val="28"/>
        </w:rPr>
        <w:t xml:space="preserve"> </w:t>
      </w:r>
      <w:r>
        <w:rPr>
          <w:rFonts w:asciiTheme="minorEastAsia" w:hAnsiTheme="minorEastAsia" w:eastAsiaTheme="minorEastAsia" w:cstheme="minorEastAsia"/>
          <w:color w:val="000000"/>
          <w:kern w:val="0"/>
          <w:szCs w:val="21"/>
          <w:u w:val="single"/>
        </w:rPr>
        <w:t xml:space="preserve"> 浙江天诚工程咨询有限公司</w:t>
      </w:r>
      <w:r>
        <w:rPr>
          <w:rFonts w:asciiTheme="minorEastAsia" w:hAnsiTheme="minorEastAsia" w:eastAsiaTheme="minorEastAsia" w:cstheme="minorEastAsia"/>
          <w:color w:val="000000"/>
          <w:kern w:val="0"/>
          <w:szCs w:val="21"/>
        </w:rPr>
        <w:t>：</w:t>
      </w:r>
    </w:p>
    <w:p>
      <w:pPr>
        <w:widowControl/>
        <w:spacing w:before="99" w:after="99"/>
        <w:ind w:left="100" w:leftChars="47" w:right="99"/>
        <w:jc w:val="left"/>
        <w:outlineLvl w:val="0"/>
        <w:rPr>
          <w:rFonts w:asciiTheme="minorEastAsia" w:hAnsiTheme="minorEastAsia" w:eastAsiaTheme="minorEastAsia" w:cstheme="minorEastAsia"/>
          <w:color w:val="000000"/>
          <w:spacing w:val="6"/>
          <w:sz w:val="20"/>
          <w:szCs w:val="20"/>
        </w:rPr>
      </w:pPr>
      <w:r>
        <w:rPr>
          <w:rFonts w:hint="eastAsia" w:asciiTheme="minorEastAsia" w:hAnsiTheme="minorEastAsia" w:eastAsiaTheme="minorEastAsia" w:cstheme="minorEastAsia"/>
          <w:color w:val="000000"/>
          <w:spacing w:val="6"/>
          <w:sz w:val="20"/>
          <w:szCs w:val="20"/>
        </w:rPr>
        <w:t xml:space="preserve">    </w:t>
      </w:r>
      <w:r>
        <w:rPr>
          <w:rFonts w:hint="eastAsia" w:asciiTheme="minorEastAsia" w:hAnsiTheme="minorEastAsia" w:eastAsiaTheme="minorEastAsia" w:cstheme="minorEastAsia"/>
          <w:b/>
          <w:bCs/>
          <w:color w:val="000000"/>
          <w:spacing w:val="6"/>
          <w:sz w:val="20"/>
          <w:szCs w:val="20"/>
        </w:rPr>
        <w:t>本人经由</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负责人</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合法授权参加</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u w:val="single"/>
          <w:lang w:eastAsia="zh-CN"/>
        </w:rPr>
        <w:t>龙港市垃圾房智能化监管设备采购项目</w:t>
      </w:r>
      <w:r>
        <w:rPr>
          <w:rFonts w:hint="eastAsia" w:asciiTheme="minorEastAsia" w:hAnsiTheme="minorEastAsia" w:eastAsiaTheme="minorEastAsia" w:cstheme="minorEastAsia"/>
          <w:b/>
          <w:bCs/>
          <w:color w:val="000000"/>
          <w:spacing w:val="6"/>
          <w:sz w:val="20"/>
          <w:szCs w:val="20"/>
        </w:rPr>
        <w:t>（编号：</w:t>
      </w:r>
      <w:r>
        <w:rPr>
          <w:rFonts w:hint="eastAsia" w:asciiTheme="minorEastAsia" w:hAnsiTheme="minorEastAsia" w:eastAsiaTheme="minorEastAsia" w:cstheme="minorEastAsia"/>
          <w:b/>
          <w:bCs/>
          <w:color w:val="000000"/>
          <w:spacing w:val="6"/>
          <w:sz w:val="20"/>
          <w:szCs w:val="20"/>
          <w:u w:val="single"/>
        </w:rPr>
        <w:t xml:space="preserve">               </w:t>
      </w:r>
      <w:r>
        <w:rPr>
          <w:rFonts w:hint="eastAsia" w:asciiTheme="minorEastAsia" w:hAnsiTheme="minorEastAsia" w:eastAsiaTheme="minorEastAsia" w:cstheme="minorEastAsia"/>
          <w:b/>
          <w:bCs/>
          <w:color w:val="000000"/>
          <w:spacing w:val="6"/>
          <w:sz w:val="20"/>
          <w:szCs w:val="20"/>
        </w:rPr>
        <w:t>）政府采购活动。经与本单位法人代表（负责人）联系确认，现就有关公平竞争事项郑重声明如下：</w:t>
      </w:r>
      <w:r>
        <w:rPr>
          <w:rFonts w:hint="eastAsia" w:asciiTheme="minorEastAsia" w:hAnsiTheme="minorEastAsia" w:eastAsiaTheme="minorEastAsia" w:cstheme="minorEastAsia"/>
          <w:color w:val="000000"/>
          <w:spacing w:val="6"/>
          <w:sz w:val="20"/>
          <w:szCs w:val="20"/>
        </w:rPr>
        <w:t xml:space="preserve"> </w:t>
      </w:r>
    </w:p>
    <w:p>
      <w:pPr>
        <w:pStyle w:val="186"/>
        <w:widowControl/>
        <w:numPr>
          <w:ilvl w:val="0"/>
          <w:numId w:val="8"/>
        </w:numPr>
        <w:snapToGrid w:val="0"/>
        <w:spacing w:line="456" w:lineRule="auto"/>
        <w:ind w:firstLine="383" w:firstLineChars="189"/>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本单位与采购人之间 □不存在利害关系 □存在下列利害关系</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A.投资关系    B.行政隶属关系    C.业务指导关系</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D.其他可能</w:t>
      </w:r>
      <w:r>
        <w:rPr>
          <w:rFonts w:asciiTheme="minorEastAsia" w:hAnsiTheme="minorEastAsia" w:eastAsiaTheme="minorEastAsia" w:cstheme="minorEastAsia"/>
          <w:color w:val="000000"/>
          <w:sz w:val="20"/>
          <w:szCs w:val="20"/>
        </w:rPr>
        <w:t>影响采购公正的</w:t>
      </w:r>
      <w:r>
        <w:rPr>
          <w:rFonts w:asciiTheme="minorEastAsia" w:hAnsiTheme="minorEastAsia" w:eastAsiaTheme="minorEastAsia" w:cstheme="minorEastAsia"/>
          <w:color w:val="000000"/>
          <w:kern w:val="0"/>
          <w:sz w:val="20"/>
          <w:szCs w:val="20"/>
        </w:rPr>
        <w:t>利害关系</w:t>
      </w:r>
      <w:r>
        <w:rPr>
          <w:rFonts w:asciiTheme="minorEastAsia" w:hAnsiTheme="minorEastAsia" w:eastAsiaTheme="minorEastAsia" w:cstheme="minorEastAsia"/>
          <w:color w:val="000000"/>
          <w:kern w:val="0"/>
          <w:sz w:val="20"/>
          <w:szCs w:val="20"/>
          <w:u w:val="single"/>
        </w:rPr>
        <w:t xml:space="preserve">（如有，请如实说明）                                   </w:t>
      </w:r>
      <w:r>
        <w:rPr>
          <w:rFonts w:asciiTheme="minorEastAsia" w:hAnsiTheme="minorEastAsia" w:eastAsiaTheme="minorEastAsia" w:cstheme="minorEastAsia"/>
          <w:color w:val="000000"/>
          <w:kern w:val="0"/>
          <w:sz w:val="20"/>
          <w:szCs w:val="20"/>
        </w:rPr>
        <w:t>。</w:t>
      </w:r>
    </w:p>
    <w:p>
      <w:pPr>
        <w:pStyle w:val="186"/>
        <w:widowControl/>
        <w:snapToGrid w:val="0"/>
        <w:spacing w:line="456" w:lineRule="auto"/>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spacing w:val="6"/>
          <w:sz w:val="20"/>
          <w:szCs w:val="20"/>
        </w:rPr>
        <w:t xml:space="preserve">  二、</w:t>
      </w:r>
      <w:r>
        <w:rPr>
          <w:rFonts w:asciiTheme="minorEastAsia" w:hAnsiTheme="minorEastAsia" w:eastAsiaTheme="minorEastAsia" w:cstheme="minorEastAsia"/>
          <w:color w:val="000000"/>
          <w:kern w:val="0"/>
          <w:sz w:val="20"/>
          <w:szCs w:val="20"/>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之间存在下列利害关系</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A.法定代表人或负责人或实际控制人是同一人</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B.法定代表人或负责人或实际控制人是夫妻关系</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C.法定代表人或负责人或实际控制人是直系血亲关系</w:t>
      </w:r>
    </w:p>
    <w:p>
      <w:pPr>
        <w:pStyle w:val="187"/>
        <w:widowControl w:val="0"/>
        <w:snapToGrid w:val="0"/>
        <w:spacing w:line="456" w:lineRule="auto"/>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kern w:val="0"/>
          <w:sz w:val="20"/>
          <w:szCs w:val="20"/>
        </w:rPr>
        <w:t xml:space="preserve">  D.法定代表人或负责人或实际控制人存在三代以内旁系血亲关系</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E.法定代表人或负责人或实际控制人存在近姻亲关系</w:t>
      </w:r>
    </w:p>
    <w:p>
      <w:pPr>
        <w:pStyle w:val="187"/>
        <w:widowControl w:val="0"/>
        <w:snapToGrid w:val="0"/>
        <w:spacing w:line="456" w:lineRule="auto"/>
        <w:jc w:val="both"/>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F.法定代表人或负责人或实际控制人存在股份控制或实际控制关系</w:t>
      </w:r>
    </w:p>
    <w:p>
      <w:pPr>
        <w:pStyle w:val="187"/>
        <w:widowControl w:val="0"/>
        <w:snapToGrid w:val="0"/>
        <w:spacing w:line="456" w:lineRule="auto"/>
        <w:jc w:val="both"/>
        <w:outlineLvl w:val="0"/>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kern w:val="0"/>
          <w:sz w:val="20"/>
          <w:szCs w:val="20"/>
        </w:rPr>
        <w:t xml:space="preserve">  G.存在共同直接或间接投资设立子公司、联营企业和合营企业情况</w:t>
      </w:r>
    </w:p>
    <w:p>
      <w:pPr>
        <w:pStyle w:val="187"/>
        <w:widowControl w:val="0"/>
        <w:snapToGrid w:val="0"/>
        <w:spacing w:line="456" w:lineRule="auto"/>
        <w:jc w:val="both"/>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kern w:val="0"/>
          <w:sz w:val="20"/>
          <w:szCs w:val="20"/>
        </w:rPr>
        <w:t xml:space="preserve">  H.存在分级代理或代销关系、同一生产制造商关系、</w:t>
      </w:r>
      <w:r>
        <w:rPr>
          <w:rFonts w:asciiTheme="minorEastAsia" w:hAnsiTheme="minorEastAsia" w:eastAsiaTheme="minorEastAsia" w:cstheme="minorEastAsia"/>
          <w:color w:val="000000"/>
          <w:sz w:val="20"/>
          <w:szCs w:val="20"/>
        </w:rPr>
        <w:t>管理关系、重要业务（占主营业务收入50%以上）或重要财务往来关系（如融资）等其他实质性控制关系</w:t>
      </w:r>
    </w:p>
    <w:p>
      <w:pPr>
        <w:pStyle w:val="187"/>
        <w:widowControl w:val="0"/>
        <w:snapToGrid w:val="0"/>
        <w:spacing w:line="456" w:lineRule="auto"/>
        <w:ind w:firstLine="406" w:firstLineChars="200"/>
        <w:jc w:val="both"/>
        <w:rPr>
          <w:rFonts w:hint="default" w:asciiTheme="minorEastAsia" w:hAnsiTheme="minorEastAsia" w:eastAsiaTheme="minorEastAsia" w:cstheme="minorEastAsia"/>
          <w:color w:val="000000"/>
          <w:spacing w:val="6"/>
          <w:sz w:val="20"/>
          <w:szCs w:val="20"/>
        </w:rPr>
      </w:pPr>
      <w:r>
        <w:rPr>
          <w:rFonts w:asciiTheme="minorEastAsia" w:hAnsiTheme="minorEastAsia" w:eastAsiaTheme="minorEastAsia" w:cstheme="minorEastAsia"/>
          <w:color w:val="000000"/>
          <w:sz w:val="20"/>
          <w:szCs w:val="20"/>
        </w:rPr>
        <w:t>I</w:t>
      </w:r>
      <w:r>
        <w:rPr>
          <w:rFonts w:asciiTheme="minorEastAsia" w:hAnsiTheme="minorEastAsia" w:eastAsiaTheme="minorEastAsia" w:cstheme="minorEastAsia"/>
          <w:color w:val="000000"/>
          <w:kern w:val="0"/>
          <w:sz w:val="20"/>
          <w:szCs w:val="20"/>
        </w:rPr>
        <w:t>.</w:t>
      </w:r>
      <w:r>
        <w:rPr>
          <w:rFonts w:asciiTheme="minorEastAsia" w:hAnsiTheme="minorEastAsia" w:eastAsiaTheme="minorEastAsia" w:cstheme="minorEastAsia"/>
          <w:color w:val="000000"/>
          <w:sz w:val="20"/>
          <w:szCs w:val="20"/>
        </w:rPr>
        <w:t>其他利害关系情况</w:t>
      </w:r>
      <w:r>
        <w:rPr>
          <w:rFonts w:asciiTheme="minorEastAsia" w:hAnsiTheme="minorEastAsia" w:eastAsiaTheme="minorEastAsia" w:cstheme="minorEastAsia"/>
          <w:color w:val="000000"/>
          <w:sz w:val="20"/>
          <w:szCs w:val="20"/>
          <w:u w:val="single"/>
        </w:rPr>
        <w:t xml:space="preserve">                                                      </w:t>
      </w:r>
      <w:r>
        <w:rPr>
          <w:rFonts w:asciiTheme="minorEastAsia" w:hAnsiTheme="minorEastAsia" w:eastAsiaTheme="minorEastAsia" w:cstheme="minorEastAsia"/>
          <w:color w:val="000000"/>
          <w:kern w:val="0"/>
          <w:sz w:val="20"/>
          <w:szCs w:val="20"/>
        </w:rPr>
        <w:t>。</w:t>
      </w:r>
    </w:p>
    <w:p>
      <w:pPr>
        <w:pStyle w:val="186"/>
        <w:widowControl/>
        <w:numPr>
          <w:ilvl w:val="0"/>
          <w:numId w:val="9"/>
        </w:numPr>
        <w:snapToGrid w:val="0"/>
        <w:spacing w:line="456" w:lineRule="auto"/>
        <w:ind w:firstLine="383" w:firstLineChars="189"/>
        <w:rPr>
          <w:rFonts w:hint="default" w:asciiTheme="minorEastAsia" w:hAnsiTheme="minorEastAsia" w:eastAsiaTheme="minorEastAsia" w:cstheme="minorEastAsia"/>
          <w:color w:val="000000"/>
          <w:kern w:val="0"/>
          <w:sz w:val="20"/>
          <w:szCs w:val="20"/>
        </w:rPr>
      </w:pPr>
      <w:r>
        <w:rPr>
          <w:rFonts w:asciiTheme="minorEastAsia" w:hAnsiTheme="minorEastAsia" w:eastAsiaTheme="minorEastAsia" w:cstheme="minorEastAsia"/>
          <w:color w:val="000000"/>
          <w:sz w:val="20"/>
          <w:szCs w:val="20"/>
        </w:rPr>
        <w:t>现已清楚知道并</w:t>
      </w:r>
      <w:r>
        <w:rPr>
          <w:rFonts w:asciiTheme="minorEastAsia" w:hAnsiTheme="minorEastAsia" w:eastAsiaTheme="minorEastAsia" w:cstheme="minorEastAsia"/>
          <w:color w:val="000000"/>
          <w:kern w:val="0"/>
          <w:sz w:val="20"/>
          <w:szCs w:val="20"/>
        </w:rPr>
        <w:t>严格遵守政府采购法律法规和现场纪律。</w:t>
      </w:r>
    </w:p>
    <w:p>
      <w:pPr>
        <w:pStyle w:val="186"/>
        <w:widowControl/>
        <w:numPr>
          <w:ilvl w:val="0"/>
          <w:numId w:val="9"/>
        </w:numPr>
        <w:snapToGrid w:val="0"/>
        <w:spacing w:line="456" w:lineRule="auto"/>
        <w:ind w:firstLine="383" w:firstLineChars="189"/>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kern w:val="0"/>
          <w:sz w:val="20"/>
          <w:szCs w:val="20"/>
        </w:rPr>
        <w:t>我发现</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供应商之间存在或可能存在上述第二条第</w:t>
      </w:r>
      <w:r>
        <w:rPr>
          <w:rFonts w:asciiTheme="minorEastAsia" w:hAnsiTheme="minorEastAsia" w:eastAsiaTheme="minorEastAsia" w:cstheme="minorEastAsia"/>
          <w:color w:val="000000"/>
          <w:kern w:val="0"/>
          <w:sz w:val="20"/>
          <w:szCs w:val="20"/>
          <w:u w:val="single"/>
        </w:rPr>
        <w:t xml:space="preserve">        </w:t>
      </w:r>
      <w:r>
        <w:rPr>
          <w:rFonts w:asciiTheme="minorEastAsia" w:hAnsiTheme="minorEastAsia" w:eastAsiaTheme="minorEastAsia" w:cstheme="minorEastAsia"/>
          <w:color w:val="000000"/>
          <w:kern w:val="0"/>
          <w:sz w:val="20"/>
          <w:szCs w:val="20"/>
        </w:rPr>
        <w:t>项利害关系。</w:t>
      </w:r>
    </w:p>
    <w:p>
      <w:pPr>
        <w:pStyle w:val="187"/>
        <w:widowControl w:val="0"/>
        <w:snapToGrid w:val="0"/>
        <w:spacing w:line="480" w:lineRule="auto"/>
        <w:ind w:firstLine="406" w:firstLineChars="200"/>
        <w:jc w:val="both"/>
        <w:rPr>
          <w:rFonts w:hint="default" w:asciiTheme="minorEastAsia" w:hAnsiTheme="minorEastAsia" w:eastAsiaTheme="minorEastAsia" w:cstheme="minorEastAsia"/>
          <w:color w:val="000000"/>
          <w:sz w:val="20"/>
          <w:szCs w:val="20"/>
        </w:rPr>
      </w:pPr>
      <w:r>
        <w:rPr>
          <w:rFonts w:asciiTheme="minorEastAsia" w:hAnsiTheme="minorEastAsia" w:eastAsiaTheme="minorEastAsia" w:cstheme="minorEastAsia"/>
          <w:color w:val="000000"/>
          <w:sz w:val="20"/>
          <w:szCs w:val="20"/>
        </w:rPr>
        <w:t xml:space="preserve">                                                     供应商代表（签名）：</w:t>
      </w:r>
    </w:p>
    <w:p>
      <w:pPr>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w:t>
      </w:r>
    </w:p>
    <w:p>
      <w:pPr>
        <w:widowControl/>
        <w:jc w:val="left"/>
        <w:rPr>
          <w:rFonts w:asciiTheme="minorEastAsia" w:hAnsiTheme="minorEastAsia" w:eastAsiaTheme="minorEastAsia" w:cstheme="minorEastAsia"/>
          <w:sz w:val="36"/>
          <w:szCs w:val="36"/>
        </w:rPr>
      </w:pPr>
      <w:r>
        <w:rPr>
          <w:rFonts w:hint="eastAsia" w:asciiTheme="minorEastAsia" w:hAnsiTheme="minorEastAsia" w:eastAsiaTheme="minorEastAsia" w:cstheme="minorEastAsia"/>
          <w:color w:val="000000"/>
          <w:sz w:val="20"/>
          <w:szCs w:val="20"/>
        </w:rPr>
        <w:t xml:space="preserve">                                        202</w:t>
      </w:r>
      <w:r>
        <w:rPr>
          <w:rFonts w:hint="eastAsia" w:asciiTheme="minorEastAsia" w:hAnsiTheme="minorEastAsia" w:eastAsiaTheme="minorEastAsia" w:cstheme="minorEastAsia"/>
          <w:color w:val="000000"/>
          <w:sz w:val="20"/>
          <w:szCs w:val="20"/>
          <w:lang w:val="en-US" w:eastAsia="zh-CN"/>
        </w:rPr>
        <w:t>4</w:t>
      </w:r>
      <w:r>
        <w:rPr>
          <w:rFonts w:hint="eastAsia" w:asciiTheme="minorEastAsia" w:hAnsiTheme="minorEastAsia" w:eastAsiaTheme="minorEastAsia" w:cstheme="minorEastAsia"/>
          <w:color w:val="000000"/>
          <w:sz w:val="20"/>
          <w:szCs w:val="20"/>
        </w:rPr>
        <w:t>年     月   日</w:t>
      </w:r>
    </w:p>
    <w:p>
      <w:pPr>
        <w:widowControl/>
        <w:jc w:val="left"/>
        <w:rPr>
          <w:rFonts w:asciiTheme="minorEastAsia" w:hAnsiTheme="minorEastAsia" w:eastAsiaTheme="minorEastAsia" w:cstheme="minorEastAsia"/>
          <w:b/>
          <w:color w:val="000000"/>
          <w:sz w:val="20"/>
          <w:szCs w:val="20"/>
        </w:rPr>
      </w:pPr>
      <w:r>
        <w:rPr>
          <w:rFonts w:hint="eastAsia" w:asciiTheme="minorEastAsia" w:hAnsiTheme="minorEastAsia" w:eastAsiaTheme="minorEastAsia" w:cstheme="minorEastAsia"/>
          <w:b/>
          <w:color w:val="000000"/>
          <w:sz w:val="20"/>
          <w:szCs w:val="20"/>
        </w:rPr>
        <w:t>注：投标文件解密结束后，各投标供应商签署《政府采购活动现场确认声明书》，并在30分钟内以扫描件方式发送至代理机构邮箱：</w:t>
      </w:r>
      <w:r>
        <w:fldChar w:fldCharType="begin"/>
      </w:r>
      <w:r>
        <w:instrText xml:space="preserve"> HYPERLINK "mailto:1102766042@qq.com" </w:instrText>
      </w:r>
      <w:r>
        <w:fldChar w:fldCharType="separate"/>
      </w:r>
      <w:r>
        <w:rPr>
          <w:rFonts w:hint="eastAsia" w:asciiTheme="minorEastAsia" w:hAnsiTheme="minorEastAsia" w:eastAsiaTheme="minorEastAsia" w:cstheme="minorEastAsia"/>
          <w:color w:val="000000"/>
        </w:rPr>
        <w:t>1102766042@qq.com</w:t>
      </w:r>
      <w:r>
        <w:rPr>
          <w:rFonts w:hint="eastAsia" w:asciiTheme="minorEastAsia" w:hAnsiTheme="minorEastAsia" w:eastAsiaTheme="minorEastAsia" w:cstheme="minorEastAsia"/>
          <w:color w:val="000000"/>
        </w:rPr>
        <w:fldChar w:fldCharType="end"/>
      </w:r>
      <w:r>
        <w:rPr>
          <w:rFonts w:hint="eastAsia" w:asciiTheme="minorEastAsia" w:hAnsiTheme="minorEastAsia" w:eastAsiaTheme="minorEastAsia" w:cstheme="minorEastAsia"/>
          <w:b/>
          <w:color w:val="000000"/>
          <w:sz w:val="20"/>
          <w:szCs w:val="20"/>
        </w:rPr>
        <w:t xml:space="preserve"> 。</w:t>
      </w:r>
    </w:p>
    <w:p>
      <w:pPr>
        <w:rPr>
          <w:rFonts w:asciiTheme="minorEastAsia" w:hAnsiTheme="minorEastAsia" w:eastAsiaTheme="minorEastAsia" w:cstheme="minorEastAsia"/>
        </w:rPr>
      </w:pPr>
    </w:p>
    <w:sectPr>
      <w:headerReference r:id="rId8" w:type="default"/>
      <w:footerReference r:id="rId9" w:type="default"/>
      <w:pgSz w:w="11906" w:h="16838"/>
      <w:pgMar w:top="1440" w:right="1247" w:bottom="1440" w:left="1247" w:header="851" w:footer="992" w:gutter="0"/>
      <w:pgBorders>
        <w:top w:val="none" w:sz="0" w:space="0"/>
        <w:left w:val="none" w:sz="0" w:space="0"/>
        <w:bottom w:val="none" w:sz="0" w:space="0"/>
        <w:right w:val="none" w:sz="0" w:space="0"/>
      </w:pgBorders>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rPr>
        <w:rFonts w:ascii="宋体"/>
      </w:rPr>
    </w:pPr>
    <w:r>
      <w:rPr>
        <w:rStyle w:val="40"/>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307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48</w:t>
                </w:r>
                <w:r>
                  <w:rPr>
                    <w:sz w:val="18"/>
                  </w:rPr>
                  <w:fldChar w:fldCharType="end"/>
                </w:r>
              </w:p>
            </w:txbxContent>
          </v:textbox>
        </v:shape>
      </w:pict>
    </w:r>
    <w:r>
      <w:rPr>
        <w:sz w:val="18"/>
      </w:rPr>
      <w:pict>
        <v:line id="直线 4" o:spid="_x0000_s3075" o:spt="20" style="position:absolute;left:0pt;flip:x;margin-left:5.25pt;margin-top:-2.8pt;height:0pt;width:467.25pt;z-index:251660288;mso-width-relative:margin;mso-height-relative:margin;" coordsize="21600,21600">
          <v:path arrowok="t"/>
          <v:fill focussize="0,0"/>
          <v:stroke/>
          <v:imagedata o:title=""/>
          <o:lock v:ext="edit"/>
        </v:line>
      </w:pic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30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仿宋" w:hAnsi="仿宋" w:eastAsia="仿宋" w:cs="仿宋"/>
        <w:b/>
      </w:rPr>
    </w:pPr>
    <w:r>
      <w:rPr>
        <w:rFonts w:hint="eastAsia" w:ascii="仿宋" w:hAnsi="仿宋" w:eastAsia="仿宋" w:cs="仿宋"/>
        <w:b/>
      </w:rPr>
      <w:t>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5DA3D"/>
    <w:multiLevelType w:val="singleLevel"/>
    <w:tmpl w:val="AB25DA3D"/>
    <w:lvl w:ilvl="0" w:tentative="0">
      <w:start w:val="1"/>
      <w:numFmt w:val="decimal"/>
      <w:lvlText w:val="%1."/>
      <w:lvlJc w:val="left"/>
      <w:pPr>
        <w:tabs>
          <w:tab w:val="left" w:pos="312"/>
        </w:tabs>
      </w:pPr>
    </w:lvl>
  </w:abstractNum>
  <w:abstractNum w:abstractNumId="1">
    <w:nsid w:val="B784F00D"/>
    <w:multiLevelType w:val="singleLevel"/>
    <w:tmpl w:val="B784F00D"/>
    <w:lvl w:ilvl="0" w:tentative="0">
      <w:start w:val="4"/>
      <w:numFmt w:val="decimal"/>
      <w:suff w:val="nothing"/>
      <w:lvlText w:val="%1、"/>
      <w:lvlJc w:val="left"/>
    </w:lvl>
  </w:abstractNum>
  <w:abstractNum w:abstractNumId="2">
    <w:nsid w:val="EFAC8F16"/>
    <w:multiLevelType w:val="singleLevel"/>
    <w:tmpl w:val="EFAC8F16"/>
    <w:lvl w:ilvl="0" w:tentative="0">
      <w:start w:val="2"/>
      <w:numFmt w:val="chineseCounting"/>
      <w:suff w:val="nothing"/>
      <w:lvlText w:val="%1、"/>
      <w:lvlJc w:val="left"/>
      <w:rPr>
        <w:rFonts w:hint="eastAsia"/>
      </w:rPr>
    </w:lvl>
  </w:abstractNum>
  <w:abstractNum w:abstractNumId="3">
    <w:nsid w:val="351A683F"/>
    <w:multiLevelType w:val="singleLevel"/>
    <w:tmpl w:val="351A683F"/>
    <w:lvl w:ilvl="0" w:tentative="0">
      <w:start w:val="2"/>
      <w:numFmt w:val="decimal"/>
      <w:suff w:val="nothing"/>
      <w:lvlText w:val="（%1）"/>
      <w:lvlJc w:val="left"/>
    </w:lvl>
  </w:abstractNum>
  <w:abstractNum w:abstractNumId="4">
    <w:nsid w:val="3EC28A8B"/>
    <w:multiLevelType w:val="singleLevel"/>
    <w:tmpl w:val="3EC28A8B"/>
    <w:lvl w:ilvl="0" w:tentative="0">
      <w:start w:val="2"/>
      <w:numFmt w:val="decimal"/>
      <w:suff w:val="nothing"/>
      <w:lvlText w:val="%1、"/>
      <w:lvlJc w:val="left"/>
    </w:lvl>
  </w:abstractNum>
  <w:abstractNum w:abstractNumId="5">
    <w:nsid w:val="47F18841"/>
    <w:multiLevelType w:val="singleLevel"/>
    <w:tmpl w:val="47F18841"/>
    <w:lvl w:ilvl="0" w:tentative="0">
      <w:start w:val="1"/>
      <w:numFmt w:val="decimal"/>
      <w:lvlText w:val="%1."/>
      <w:lvlJc w:val="left"/>
      <w:pPr>
        <w:ind w:left="425" w:hanging="425"/>
      </w:pPr>
      <w:rPr>
        <w:rFonts w:hint="default"/>
      </w:r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7"/>
      <w:lvlText w:val="%6."/>
      <w:lvlJc w:val="right"/>
      <w:pPr>
        <w:ind w:left="2950" w:hanging="420"/>
      </w:pPr>
    </w:lvl>
    <w:lvl w:ilvl="6" w:tentative="0">
      <w:start w:val="1"/>
      <w:numFmt w:val="decimal"/>
      <w:pStyle w:val="8"/>
      <w:lvlText w:val="%7."/>
      <w:lvlJc w:val="left"/>
      <w:pPr>
        <w:ind w:left="3370" w:hanging="420"/>
      </w:pPr>
    </w:lvl>
    <w:lvl w:ilvl="7" w:tentative="0">
      <w:start w:val="1"/>
      <w:numFmt w:val="lowerLetter"/>
      <w:pStyle w:val="9"/>
      <w:lvlText w:val="%8)"/>
      <w:lvlJc w:val="left"/>
      <w:pPr>
        <w:ind w:left="3790" w:hanging="420"/>
      </w:pPr>
    </w:lvl>
    <w:lvl w:ilvl="8" w:tentative="0">
      <w:start w:val="1"/>
      <w:numFmt w:val="lowerRoman"/>
      <w:pStyle w:val="10"/>
      <w:lvlText w:val="%9."/>
      <w:lvlJc w:val="right"/>
      <w:pPr>
        <w:ind w:left="4210" w:hanging="420"/>
      </w:pPr>
    </w:lvl>
  </w:abstractNum>
  <w:num w:numId="1">
    <w:abstractNumId w:val="8"/>
  </w:num>
  <w:num w:numId="2">
    <w:abstractNumId w:val="1"/>
  </w:num>
  <w:num w:numId="3">
    <w:abstractNumId w:val="2"/>
  </w:num>
  <w:num w:numId="4">
    <w:abstractNumId w:val="4"/>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YjNmYzMyZjVmOWIzOTNmMWI0MWNmZWNmMjhkMjcifQ=="/>
  </w:docVars>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35C"/>
    <w:rsid w:val="00017984"/>
    <w:rsid w:val="00021188"/>
    <w:rsid w:val="00021475"/>
    <w:rsid w:val="0002153A"/>
    <w:rsid w:val="000225A5"/>
    <w:rsid w:val="00022766"/>
    <w:rsid w:val="00022B07"/>
    <w:rsid w:val="00022D86"/>
    <w:rsid w:val="00022DBB"/>
    <w:rsid w:val="00023017"/>
    <w:rsid w:val="000231D4"/>
    <w:rsid w:val="00023BEF"/>
    <w:rsid w:val="00023DB2"/>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A18"/>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12AB"/>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E6E"/>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1FD"/>
    <w:rsid w:val="000829ED"/>
    <w:rsid w:val="00082B0E"/>
    <w:rsid w:val="00082C89"/>
    <w:rsid w:val="00082CAE"/>
    <w:rsid w:val="00082E32"/>
    <w:rsid w:val="00083B67"/>
    <w:rsid w:val="00083BE0"/>
    <w:rsid w:val="00083BE7"/>
    <w:rsid w:val="0008412C"/>
    <w:rsid w:val="00084314"/>
    <w:rsid w:val="00084AA5"/>
    <w:rsid w:val="000851C3"/>
    <w:rsid w:val="00085262"/>
    <w:rsid w:val="000854F6"/>
    <w:rsid w:val="00085813"/>
    <w:rsid w:val="000858C1"/>
    <w:rsid w:val="00085C15"/>
    <w:rsid w:val="00085C30"/>
    <w:rsid w:val="0008798C"/>
    <w:rsid w:val="00087FA9"/>
    <w:rsid w:val="000901AE"/>
    <w:rsid w:val="00090580"/>
    <w:rsid w:val="00090919"/>
    <w:rsid w:val="00090BC8"/>
    <w:rsid w:val="0009144B"/>
    <w:rsid w:val="00091805"/>
    <w:rsid w:val="0009180A"/>
    <w:rsid w:val="00091C6E"/>
    <w:rsid w:val="000928A4"/>
    <w:rsid w:val="00092DC8"/>
    <w:rsid w:val="00092E1D"/>
    <w:rsid w:val="00094355"/>
    <w:rsid w:val="000944A5"/>
    <w:rsid w:val="000944A9"/>
    <w:rsid w:val="000946A1"/>
    <w:rsid w:val="000952B8"/>
    <w:rsid w:val="00095C41"/>
    <w:rsid w:val="00095CAD"/>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33E"/>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4BCB"/>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20BF"/>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0F26"/>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3BE5"/>
    <w:rsid w:val="00134A02"/>
    <w:rsid w:val="00134D88"/>
    <w:rsid w:val="001352D7"/>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6EAC"/>
    <w:rsid w:val="00147170"/>
    <w:rsid w:val="001472AC"/>
    <w:rsid w:val="0014766D"/>
    <w:rsid w:val="00147A8F"/>
    <w:rsid w:val="00147C2E"/>
    <w:rsid w:val="00151303"/>
    <w:rsid w:val="00151E2A"/>
    <w:rsid w:val="00152397"/>
    <w:rsid w:val="001524B5"/>
    <w:rsid w:val="001527EB"/>
    <w:rsid w:val="00152E78"/>
    <w:rsid w:val="00153313"/>
    <w:rsid w:val="00153453"/>
    <w:rsid w:val="00153A97"/>
    <w:rsid w:val="00153C65"/>
    <w:rsid w:val="00153E3D"/>
    <w:rsid w:val="00154408"/>
    <w:rsid w:val="00154563"/>
    <w:rsid w:val="00154956"/>
    <w:rsid w:val="001550A2"/>
    <w:rsid w:val="0015513B"/>
    <w:rsid w:val="00155248"/>
    <w:rsid w:val="001561A0"/>
    <w:rsid w:val="001569EF"/>
    <w:rsid w:val="00156DE8"/>
    <w:rsid w:val="00157C65"/>
    <w:rsid w:val="00157E2B"/>
    <w:rsid w:val="001609BD"/>
    <w:rsid w:val="00161065"/>
    <w:rsid w:val="0016109D"/>
    <w:rsid w:val="001610A2"/>
    <w:rsid w:val="001612EA"/>
    <w:rsid w:val="00161359"/>
    <w:rsid w:val="00161780"/>
    <w:rsid w:val="00161DA9"/>
    <w:rsid w:val="00161FAD"/>
    <w:rsid w:val="001623FA"/>
    <w:rsid w:val="001636A6"/>
    <w:rsid w:val="00163B0C"/>
    <w:rsid w:val="00163BF5"/>
    <w:rsid w:val="00163CBD"/>
    <w:rsid w:val="00163F50"/>
    <w:rsid w:val="001648A9"/>
    <w:rsid w:val="00164994"/>
    <w:rsid w:val="00164DD0"/>
    <w:rsid w:val="001652A2"/>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524"/>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77EBF"/>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3F"/>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A2"/>
    <w:rsid w:val="001936FA"/>
    <w:rsid w:val="001937E4"/>
    <w:rsid w:val="00193824"/>
    <w:rsid w:val="00193EB8"/>
    <w:rsid w:val="001945B7"/>
    <w:rsid w:val="00194B12"/>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1E9E"/>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3C37"/>
    <w:rsid w:val="001D437E"/>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0D6C"/>
    <w:rsid w:val="0022113B"/>
    <w:rsid w:val="00221941"/>
    <w:rsid w:val="00221BE7"/>
    <w:rsid w:val="00221FAA"/>
    <w:rsid w:val="00222238"/>
    <w:rsid w:val="00222AEF"/>
    <w:rsid w:val="0022317E"/>
    <w:rsid w:val="0022337D"/>
    <w:rsid w:val="00223715"/>
    <w:rsid w:val="00223834"/>
    <w:rsid w:val="00223E10"/>
    <w:rsid w:val="002243C5"/>
    <w:rsid w:val="002244FE"/>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195"/>
    <w:rsid w:val="00231326"/>
    <w:rsid w:val="0023205E"/>
    <w:rsid w:val="002330E0"/>
    <w:rsid w:val="00233424"/>
    <w:rsid w:val="002339D6"/>
    <w:rsid w:val="00233A62"/>
    <w:rsid w:val="0023409C"/>
    <w:rsid w:val="00234F76"/>
    <w:rsid w:val="002353C9"/>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7C7"/>
    <w:rsid w:val="00243830"/>
    <w:rsid w:val="002439DE"/>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37"/>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1737"/>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38A"/>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9F2"/>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920"/>
    <w:rsid w:val="002D1E11"/>
    <w:rsid w:val="002D1F2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C4D"/>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B39"/>
    <w:rsid w:val="00354CE6"/>
    <w:rsid w:val="00354D6F"/>
    <w:rsid w:val="003556D6"/>
    <w:rsid w:val="003558A4"/>
    <w:rsid w:val="00355A42"/>
    <w:rsid w:val="00355B14"/>
    <w:rsid w:val="003578A4"/>
    <w:rsid w:val="00357E94"/>
    <w:rsid w:val="00360388"/>
    <w:rsid w:val="00360A0F"/>
    <w:rsid w:val="00360D01"/>
    <w:rsid w:val="00360D9D"/>
    <w:rsid w:val="00360DBB"/>
    <w:rsid w:val="00360E76"/>
    <w:rsid w:val="00361B97"/>
    <w:rsid w:val="00361C71"/>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5D7C"/>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903AE"/>
    <w:rsid w:val="00390875"/>
    <w:rsid w:val="00390FC8"/>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631"/>
    <w:rsid w:val="003B390E"/>
    <w:rsid w:val="003B3987"/>
    <w:rsid w:val="003B3A44"/>
    <w:rsid w:val="003B3C12"/>
    <w:rsid w:val="003B3C7F"/>
    <w:rsid w:val="003B42BE"/>
    <w:rsid w:val="003B443D"/>
    <w:rsid w:val="003B4485"/>
    <w:rsid w:val="003B4C3D"/>
    <w:rsid w:val="003B4EAE"/>
    <w:rsid w:val="003B557D"/>
    <w:rsid w:val="003B6149"/>
    <w:rsid w:val="003B62F0"/>
    <w:rsid w:val="003B6529"/>
    <w:rsid w:val="003B6EE2"/>
    <w:rsid w:val="003B708E"/>
    <w:rsid w:val="003B71FE"/>
    <w:rsid w:val="003B75C1"/>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22B"/>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53AE"/>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574"/>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BD8"/>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8C2"/>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6FB5"/>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461"/>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3B67"/>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2A39"/>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69D"/>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09E"/>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6E3"/>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37A"/>
    <w:rsid w:val="005435CC"/>
    <w:rsid w:val="00543602"/>
    <w:rsid w:val="00543EE7"/>
    <w:rsid w:val="00544292"/>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332"/>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7F4F"/>
    <w:rsid w:val="00590152"/>
    <w:rsid w:val="00590584"/>
    <w:rsid w:val="0059096C"/>
    <w:rsid w:val="00590A98"/>
    <w:rsid w:val="00590AD3"/>
    <w:rsid w:val="00590AD4"/>
    <w:rsid w:val="00590C07"/>
    <w:rsid w:val="00590EDC"/>
    <w:rsid w:val="00590FF8"/>
    <w:rsid w:val="00591419"/>
    <w:rsid w:val="00591565"/>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9FF"/>
    <w:rsid w:val="005C4A8F"/>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C7B37"/>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19D"/>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1756"/>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75"/>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96D"/>
    <w:rsid w:val="00645B37"/>
    <w:rsid w:val="006461AD"/>
    <w:rsid w:val="006461AF"/>
    <w:rsid w:val="0064688D"/>
    <w:rsid w:val="006469B0"/>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3CE5"/>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76FEB"/>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4763"/>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572"/>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80F"/>
    <w:rsid w:val="006D6973"/>
    <w:rsid w:val="006D7103"/>
    <w:rsid w:val="006D7ACF"/>
    <w:rsid w:val="006D7BA7"/>
    <w:rsid w:val="006D7C64"/>
    <w:rsid w:val="006D7F14"/>
    <w:rsid w:val="006D7F85"/>
    <w:rsid w:val="006E00C1"/>
    <w:rsid w:val="006E0151"/>
    <w:rsid w:val="006E0699"/>
    <w:rsid w:val="006E0C9D"/>
    <w:rsid w:val="006E1287"/>
    <w:rsid w:val="006E151E"/>
    <w:rsid w:val="006E1574"/>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0EB"/>
    <w:rsid w:val="006F5295"/>
    <w:rsid w:val="006F56EE"/>
    <w:rsid w:val="006F593A"/>
    <w:rsid w:val="006F5D29"/>
    <w:rsid w:val="006F5FC0"/>
    <w:rsid w:val="006F61E3"/>
    <w:rsid w:val="006F653A"/>
    <w:rsid w:val="006F6609"/>
    <w:rsid w:val="006F6A13"/>
    <w:rsid w:val="006F7100"/>
    <w:rsid w:val="006F7335"/>
    <w:rsid w:val="006F760B"/>
    <w:rsid w:val="006F7DBB"/>
    <w:rsid w:val="006F7E3F"/>
    <w:rsid w:val="006F7E52"/>
    <w:rsid w:val="007005B8"/>
    <w:rsid w:val="007005CE"/>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29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7765"/>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69"/>
    <w:rsid w:val="0072395C"/>
    <w:rsid w:val="00723A89"/>
    <w:rsid w:val="00724393"/>
    <w:rsid w:val="007243EF"/>
    <w:rsid w:val="00724523"/>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76A"/>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7AF"/>
    <w:rsid w:val="007429D6"/>
    <w:rsid w:val="00743149"/>
    <w:rsid w:val="00743274"/>
    <w:rsid w:val="00743E59"/>
    <w:rsid w:val="007440FC"/>
    <w:rsid w:val="007447CB"/>
    <w:rsid w:val="007456AC"/>
    <w:rsid w:val="00745AFF"/>
    <w:rsid w:val="007463D5"/>
    <w:rsid w:val="007466B6"/>
    <w:rsid w:val="0074692C"/>
    <w:rsid w:val="00746A49"/>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012"/>
    <w:rsid w:val="00790239"/>
    <w:rsid w:val="007902B0"/>
    <w:rsid w:val="0079100F"/>
    <w:rsid w:val="007918A0"/>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80"/>
    <w:rsid w:val="007A1EBA"/>
    <w:rsid w:val="007A1EFC"/>
    <w:rsid w:val="007A2061"/>
    <w:rsid w:val="007A3451"/>
    <w:rsid w:val="007A4712"/>
    <w:rsid w:val="007A566D"/>
    <w:rsid w:val="007A5743"/>
    <w:rsid w:val="007A6162"/>
    <w:rsid w:val="007A66E8"/>
    <w:rsid w:val="007A67F2"/>
    <w:rsid w:val="007A6BA2"/>
    <w:rsid w:val="007A758F"/>
    <w:rsid w:val="007A7A31"/>
    <w:rsid w:val="007A7D65"/>
    <w:rsid w:val="007A7E7D"/>
    <w:rsid w:val="007B0430"/>
    <w:rsid w:val="007B0524"/>
    <w:rsid w:val="007B0BF6"/>
    <w:rsid w:val="007B0DB2"/>
    <w:rsid w:val="007B116F"/>
    <w:rsid w:val="007B14C4"/>
    <w:rsid w:val="007B160F"/>
    <w:rsid w:val="007B18B4"/>
    <w:rsid w:val="007B1C56"/>
    <w:rsid w:val="007B1ED0"/>
    <w:rsid w:val="007B1F86"/>
    <w:rsid w:val="007B323C"/>
    <w:rsid w:val="007B32C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BC2"/>
    <w:rsid w:val="007C2F8F"/>
    <w:rsid w:val="007C306C"/>
    <w:rsid w:val="007C30A7"/>
    <w:rsid w:val="007C332B"/>
    <w:rsid w:val="007C3C95"/>
    <w:rsid w:val="007C40D7"/>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4E07"/>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2CC"/>
    <w:rsid w:val="007F4950"/>
    <w:rsid w:val="007F4FBF"/>
    <w:rsid w:val="007F517E"/>
    <w:rsid w:val="007F5304"/>
    <w:rsid w:val="007F5789"/>
    <w:rsid w:val="007F5C33"/>
    <w:rsid w:val="007F5CAC"/>
    <w:rsid w:val="007F644F"/>
    <w:rsid w:val="007F669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BF8"/>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2EB6"/>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6C26"/>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78E"/>
    <w:rsid w:val="00846F01"/>
    <w:rsid w:val="00847709"/>
    <w:rsid w:val="00847735"/>
    <w:rsid w:val="00847825"/>
    <w:rsid w:val="00850370"/>
    <w:rsid w:val="00850529"/>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050"/>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77FE2"/>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2F5"/>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24"/>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EB6"/>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770"/>
    <w:rsid w:val="008B4C0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8C4"/>
    <w:rsid w:val="008F3998"/>
    <w:rsid w:val="008F3C72"/>
    <w:rsid w:val="008F3EF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5E8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605E"/>
    <w:rsid w:val="00907546"/>
    <w:rsid w:val="00907AEB"/>
    <w:rsid w:val="009100B2"/>
    <w:rsid w:val="00910C7B"/>
    <w:rsid w:val="00910E69"/>
    <w:rsid w:val="009112F1"/>
    <w:rsid w:val="0091163B"/>
    <w:rsid w:val="009119A9"/>
    <w:rsid w:val="00911B80"/>
    <w:rsid w:val="00911F25"/>
    <w:rsid w:val="00911FBC"/>
    <w:rsid w:val="0091282D"/>
    <w:rsid w:val="009128F1"/>
    <w:rsid w:val="00912965"/>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6AA"/>
    <w:rsid w:val="00934A83"/>
    <w:rsid w:val="009352C6"/>
    <w:rsid w:val="0093548A"/>
    <w:rsid w:val="0093569C"/>
    <w:rsid w:val="0093590A"/>
    <w:rsid w:val="00935DD9"/>
    <w:rsid w:val="00935E3D"/>
    <w:rsid w:val="00935F62"/>
    <w:rsid w:val="00935FCC"/>
    <w:rsid w:val="00936113"/>
    <w:rsid w:val="009364AD"/>
    <w:rsid w:val="00936662"/>
    <w:rsid w:val="00936CE0"/>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47DA7"/>
    <w:rsid w:val="00950569"/>
    <w:rsid w:val="00950830"/>
    <w:rsid w:val="00950F82"/>
    <w:rsid w:val="00951089"/>
    <w:rsid w:val="0095115A"/>
    <w:rsid w:val="0095120F"/>
    <w:rsid w:val="00951F9E"/>
    <w:rsid w:val="009521F6"/>
    <w:rsid w:val="009524D9"/>
    <w:rsid w:val="009525C8"/>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0D5A"/>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7790C"/>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DD3"/>
    <w:rsid w:val="009A1F85"/>
    <w:rsid w:val="009A2B71"/>
    <w:rsid w:val="009A2F70"/>
    <w:rsid w:val="009A3F4B"/>
    <w:rsid w:val="009A47C6"/>
    <w:rsid w:val="009A4A84"/>
    <w:rsid w:val="009A4ECA"/>
    <w:rsid w:val="009A5B9E"/>
    <w:rsid w:val="009A5FC1"/>
    <w:rsid w:val="009A6248"/>
    <w:rsid w:val="009A6658"/>
    <w:rsid w:val="009A7252"/>
    <w:rsid w:val="009A7423"/>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525"/>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5C35"/>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6FE"/>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6AA"/>
    <w:rsid w:val="00A57E17"/>
    <w:rsid w:val="00A603C9"/>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63A"/>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3CC"/>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3E6"/>
    <w:rsid w:val="00AB4521"/>
    <w:rsid w:val="00AB52E2"/>
    <w:rsid w:val="00AB5A5D"/>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6"/>
    <w:rsid w:val="00AC4FC7"/>
    <w:rsid w:val="00AC5099"/>
    <w:rsid w:val="00AC5161"/>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58A"/>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5864"/>
    <w:rsid w:val="00B05BC8"/>
    <w:rsid w:val="00B05C45"/>
    <w:rsid w:val="00B06998"/>
    <w:rsid w:val="00B06CA7"/>
    <w:rsid w:val="00B07003"/>
    <w:rsid w:val="00B075FE"/>
    <w:rsid w:val="00B07751"/>
    <w:rsid w:val="00B07CFD"/>
    <w:rsid w:val="00B1043F"/>
    <w:rsid w:val="00B1058C"/>
    <w:rsid w:val="00B106A9"/>
    <w:rsid w:val="00B109F5"/>
    <w:rsid w:val="00B124C6"/>
    <w:rsid w:val="00B126E4"/>
    <w:rsid w:val="00B127A8"/>
    <w:rsid w:val="00B12B50"/>
    <w:rsid w:val="00B13325"/>
    <w:rsid w:val="00B1365A"/>
    <w:rsid w:val="00B1371D"/>
    <w:rsid w:val="00B13AE1"/>
    <w:rsid w:val="00B14D18"/>
    <w:rsid w:val="00B14E0D"/>
    <w:rsid w:val="00B1517E"/>
    <w:rsid w:val="00B1540E"/>
    <w:rsid w:val="00B1577F"/>
    <w:rsid w:val="00B1585A"/>
    <w:rsid w:val="00B15DD9"/>
    <w:rsid w:val="00B160D7"/>
    <w:rsid w:val="00B161A3"/>
    <w:rsid w:val="00B16A62"/>
    <w:rsid w:val="00B16F4B"/>
    <w:rsid w:val="00B1709D"/>
    <w:rsid w:val="00B175A7"/>
    <w:rsid w:val="00B17900"/>
    <w:rsid w:val="00B20007"/>
    <w:rsid w:val="00B20249"/>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6A8"/>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6E8D"/>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4EE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3BB"/>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A9B"/>
    <w:rsid w:val="00B94B6F"/>
    <w:rsid w:val="00B94B9D"/>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2B2"/>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64A0"/>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C75"/>
    <w:rsid w:val="00BB6E62"/>
    <w:rsid w:val="00BB75A3"/>
    <w:rsid w:val="00BB77DC"/>
    <w:rsid w:val="00BB7808"/>
    <w:rsid w:val="00BB7BCC"/>
    <w:rsid w:val="00BB7C9F"/>
    <w:rsid w:val="00BC046D"/>
    <w:rsid w:val="00BC0B80"/>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2E2"/>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6D85"/>
    <w:rsid w:val="00BF792E"/>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360"/>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38"/>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BB5"/>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292A"/>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4D4"/>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321"/>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196"/>
    <w:rsid w:val="00CC1392"/>
    <w:rsid w:val="00CC1BF8"/>
    <w:rsid w:val="00CC2014"/>
    <w:rsid w:val="00CC2BB5"/>
    <w:rsid w:val="00CC2C25"/>
    <w:rsid w:val="00CC2DB4"/>
    <w:rsid w:val="00CC2E2E"/>
    <w:rsid w:val="00CC3503"/>
    <w:rsid w:val="00CC36E6"/>
    <w:rsid w:val="00CC377A"/>
    <w:rsid w:val="00CC39E8"/>
    <w:rsid w:val="00CC3EC3"/>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5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17D5"/>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13B"/>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CD0"/>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7A9"/>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6DF"/>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4C"/>
    <w:rsid w:val="00D74697"/>
    <w:rsid w:val="00D7481E"/>
    <w:rsid w:val="00D74FB3"/>
    <w:rsid w:val="00D75041"/>
    <w:rsid w:val="00D7521C"/>
    <w:rsid w:val="00D758A2"/>
    <w:rsid w:val="00D75A1D"/>
    <w:rsid w:val="00D75BFD"/>
    <w:rsid w:val="00D7646B"/>
    <w:rsid w:val="00D76E22"/>
    <w:rsid w:val="00D76E61"/>
    <w:rsid w:val="00D77020"/>
    <w:rsid w:val="00D77495"/>
    <w:rsid w:val="00D77579"/>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86"/>
    <w:rsid w:val="00D85999"/>
    <w:rsid w:val="00D85A5B"/>
    <w:rsid w:val="00D85F59"/>
    <w:rsid w:val="00D86248"/>
    <w:rsid w:val="00D863E2"/>
    <w:rsid w:val="00D866D1"/>
    <w:rsid w:val="00D86AFB"/>
    <w:rsid w:val="00D86FB8"/>
    <w:rsid w:val="00D8746C"/>
    <w:rsid w:val="00D87AC3"/>
    <w:rsid w:val="00D87B58"/>
    <w:rsid w:val="00D9012D"/>
    <w:rsid w:val="00D902A9"/>
    <w:rsid w:val="00D90350"/>
    <w:rsid w:val="00D904C4"/>
    <w:rsid w:val="00D9086F"/>
    <w:rsid w:val="00D909B0"/>
    <w:rsid w:val="00D90C7B"/>
    <w:rsid w:val="00D912F2"/>
    <w:rsid w:val="00D91518"/>
    <w:rsid w:val="00D91A88"/>
    <w:rsid w:val="00D9217E"/>
    <w:rsid w:val="00D92E5A"/>
    <w:rsid w:val="00D932EB"/>
    <w:rsid w:val="00D9365B"/>
    <w:rsid w:val="00D938D7"/>
    <w:rsid w:val="00D93913"/>
    <w:rsid w:val="00D93BEE"/>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9DC"/>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848"/>
    <w:rsid w:val="00DF393D"/>
    <w:rsid w:val="00DF3A83"/>
    <w:rsid w:val="00DF3AC9"/>
    <w:rsid w:val="00DF3CDF"/>
    <w:rsid w:val="00DF3CF0"/>
    <w:rsid w:val="00DF4AA1"/>
    <w:rsid w:val="00DF4C6A"/>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CC6"/>
    <w:rsid w:val="00E07D91"/>
    <w:rsid w:val="00E10376"/>
    <w:rsid w:val="00E105A5"/>
    <w:rsid w:val="00E10799"/>
    <w:rsid w:val="00E10CE2"/>
    <w:rsid w:val="00E113B2"/>
    <w:rsid w:val="00E1152D"/>
    <w:rsid w:val="00E11F33"/>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315F5"/>
    <w:rsid w:val="00E31679"/>
    <w:rsid w:val="00E31C67"/>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572E3"/>
    <w:rsid w:val="00E60145"/>
    <w:rsid w:val="00E60ACE"/>
    <w:rsid w:val="00E60D31"/>
    <w:rsid w:val="00E60ED7"/>
    <w:rsid w:val="00E6133C"/>
    <w:rsid w:val="00E613F9"/>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6F1B"/>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3613"/>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6CD9"/>
    <w:rsid w:val="00EA7070"/>
    <w:rsid w:val="00EA7086"/>
    <w:rsid w:val="00EA738B"/>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1B8"/>
    <w:rsid w:val="00ED147B"/>
    <w:rsid w:val="00ED187E"/>
    <w:rsid w:val="00ED1A38"/>
    <w:rsid w:val="00ED1AEF"/>
    <w:rsid w:val="00ED213F"/>
    <w:rsid w:val="00ED2154"/>
    <w:rsid w:val="00ED26DB"/>
    <w:rsid w:val="00ED2DFE"/>
    <w:rsid w:val="00ED32BF"/>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586"/>
    <w:rsid w:val="00ED7E42"/>
    <w:rsid w:val="00ED7F6F"/>
    <w:rsid w:val="00ED7F8A"/>
    <w:rsid w:val="00ED7FFD"/>
    <w:rsid w:val="00EE0584"/>
    <w:rsid w:val="00EE0889"/>
    <w:rsid w:val="00EE0CBB"/>
    <w:rsid w:val="00EE14AD"/>
    <w:rsid w:val="00EE1626"/>
    <w:rsid w:val="00EE1913"/>
    <w:rsid w:val="00EE1959"/>
    <w:rsid w:val="00EE19A3"/>
    <w:rsid w:val="00EE19FE"/>
    <w:rsid w:val="00EE1FA8"/>
    <w:rsid w:val="00EE2084"/>
    <w:rsid w:val="00EE28C9"/>
    <w:rsid w:val="00EE2FCE"/>
    <w:rsid w:val="00EE42DF"/>
    <w:rsid w:val="00EE4732"/>
    <w:rsid w:val="00EE4899"/>
    <w:rsid w:val="00EE49A8"/>
    <w:rsid w:val="00EE5192"/>
    <w:rsid w:val="00EE59A9"/>
    <w:rsid w:val="00EE59DA"/>
    <w:rsid w:val="00EE61E1"/>
    <w:rsid w:val="00EE65DE"/>
    <w:rsid w:val="00EE6A93"/>
    <w:rsid w:val="00EE7A63"/>
    <w:rsid w:val="00EE7AFC"/>
    <w:rsid w:val="00EE7E39"/>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2C8"/>
    <w:rsid w:val="00F029BD"/>
    <w:rsid w:val="00F029CF"/>
    <w:rsid w:val="00F02B55"/>
    <w:rsid w:val="00F02BB4"/>
    <w:rsid w:val="00F03966"/>
    <w:rsid w:val="00F04183"/>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277"/>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BDD"/>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0FC8"/>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65E"/>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77A46"/>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CA4"/>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7D4"/>
    <w:rsid w:val="00F97AF3"/>
    <w:rsid w:val="00F97F19"/>
    <w:rsid w:val="00FA00A3"/>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4D4"/>
    <w:rsid w:val="00FA5EFF"/>
    <w:rsid w:val="00FA665F"/>
    <w:rsid w:val="00FA68B5"/>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1224FE"/>
    <w:rsid w:val="012E1152"/>
    <w:rsid w:val="013505A8"/>
    <w:rsid w:val="013771ED"/>
    <w:rsid w:val="01416F20"/>
    <w:rsid w:val="015B3BDE"/>
    <w:rsid w:val="01623198"/>
    <w:rsid w:val="017C202A"/>
    <w:rsid w:val="019C4925"/>
    <w:rsid w:val="01B75576"/>
    <w:rsid w:val="01CA6A06"/>
    <w:rsid w:val="01CF62C6"/>
    <w:rsid w:val="01D134FA"/>
    <w:rsid w:val="01D96C98"/>
    <w:rsid w:val="01EF2A58"/>
    <w:rsid w:val="01FA5E06"/>
    <w:rsid w:val="02035B8A"/>
    <w:rsid w:val="020923AA"/>
    <w:rsid w:val="020F5E8C"/>
    <w:rsid w:val="0218719C"/>
    <w:rsid w:val="021A36E8"/>
    <w:rsid w:val="02225F4C"/>
    <w:rsid w:val="02277892"/>
    <w:rsid w:val="025731DD"/>
    <w:rsid w:val="025D7143"/>
    <w:rsid w:val="026257D8"/>
    <w:rsid w:val="0264084B"/>
    <w:rsid w:val="026E4D70"/>
    <w:rsid w:val="027619AC"/>
    <w:rsid w:val="02BE57FF"/>
    <w:rsid w:val="02C31979"/>
    <w:rsid w:val="02CE2BC8"/>
    <w:rsid w:val="02E844F1"/>
    <w:rsid w:val="02F40884"/>
    <w:rsid w:val="03081C6E"/>
    <w:rsid w:val="03093620"/>
    <w:rsid w:val="030D4945"/>
    <w:rsid w:val="03110540"/>
    <w:rsid w:val="031B02C9"/>
    <w:rsid w:val="031B45F1"/>
    <w:rsid w:val="03214955"/>
    <w:rsid w:val="035C134B"/>
    <w:rsid w:val="03665C61"/>
    <w:rsid w:val="036B7222"/>
    <w:rsid w:val="037D11B5"/>
    <w:rsid w:val="03922815"/>
    <w:rsid w:val="03C33C28"/>
    <w:rsid w:val="03C86237"/>
    <w:rsid w:val="03CD69FC"/>
    <w:rsid w:val="03D220FD"/>
    <w:rsid w:val="03E56CF0"/>
    <w:rsid w:val="03E64632"/>
    <w:rsid w:val="0404728D"/>
    <w:rsid w:val="040524AF"/>
    <w:rsid w:val="042802D1"/>
    <w:rsid w:val="043025E0"/>
    <w:rsid w:val="04447FB3"/>
    <w:rsid w:val="0445110D"/>
    <w:rsid w:val="044B2967"/>
    <w:rsid w:val="04576AAB"/>
    <w:rsid w:val="045E0084"/>
    <w:rsid w:val="0462608B"/>
    <w:rsid w:val="04673CA2"/>
    <w:rsid w:val="04733276"/>
    <w:rsid w:val="047343F5"/>
    <w:rsid w:val="04816171"/>
    <w:rsid w:val="04995ABC"/>
    <w:rsid w:val="049F37E8"/>
    <w:rsid w:val="04A679E3"/>
    <w:rsid w:val="04AA3A81"/>
    <w:rsid w:val="04CE302F"/>
    <w:rsid w:val="04FB6932"/>
    <w:rsid w:val="04FC43EA"/>
    <w:rsid w:val="05041D5F"/>
    <w:rsid w:val="050E156F"/>
    <w:rsid w:val="051313FD"/>
    <w:rsid w:val="052D1EC0"/>
    <w:rsid w:val="052E656D"/>
    <w:rsid w:val="053C0C8A"/>
    <w:rsid w:val="053F19A0"/>
    <w:rsid w:val="054020B2"/>
    <w:rsid w:val="05465A6D"/>
    <w:rsid w:val="05524952"/>
    <w:rsid w:val="055451E4"/>
    <w:rsid w:val="055E4DE9"/>
    <w:rsid w:val="05603153"/>
    <w:rsid w:val="057657CC"/>
    <w:rsid w:val="05856AD5"/>
    <w:rsid w:val="0588045E"/>
    <w:rsid w:val="05975A9E"/>
    <w:rsid w:val="059B6B8F"/>
    <w:rsid w:val="05A01219"/>
    <w:rsid w:val="05A424AC"/>
    <w:rsid w:val="05A50F26"/>
    <w:rsid w:val="05A60B0C"/>
    <w:rsid w:val="05AF73DA"/>
    <w:rsid w:val="05C212B8"/>
    <w:rsid w:val="05CA3F78"/>
    <w:rsid w:val="05E732EC"/>
    <w:rsid w:val="05EC51A7"/>
    <w:rsid w:val="05F36311"/>
    <w:rsid w:val="05F6352F"/>
    <w:rsid w:val="05FE2F0B"/>
    <w:rsid w:val="060C4B01"/>
    <w:rsid w:val="06406E25"/>
    <w:rsid w:val="06475B39"/>
    <w:rsid w:val="06503885"/>
    <w:rsid w:val="0671705A"/>
    <w:rsid w:val="06751B58"/>
    <w:rsid w:val="067F4747"/>
    <w:rsid w:val="0683550F"/>
    <w:rsid w:val="068D509B"/>
    <w:rsid w:val="06AE11A3"/>
    <w:rsid w:val="06B043AE"/>
    <w:rsid w:val="06C34D78"/>
    <w:rsid w:val="06C752EA"/>
    <w:rsid w:val="06CB676A"/>
    <w:rsid w:val="06CD6304"/>
    <w:rsid w:val="06F105A8"/>
    <w:rsid w:val="07020E72"/>
    <w:rsid w:val="07244737"/>
    <w:rsid w:val="072C7FC3"/>
    <w:rsid w:val="073312BA"/>
    <w:rsid w:val="073C7668"/>
    <w:rsid w:val="074833CE"/>
    <w:rsid w:val="075C1A07"/>
    <w:rsid w:val="076C6B44"/>
    <w:rsid w:val="07897965"/>
    <w:rsid w:val="07AD186E"/>
    <w:rsid w:val="07B94EE1"/>
    <w:rsid w:val="07D116BE"/>
    <w:rsid w:val="07DD4EF1"/>
    <w:rsid w:val="07DE1E85"/>
    <w:rsid w:val="080649EC"/>
    <w:rsid w:val="0816615D"/>
    <w:rsid w:val="085B1D6F"/>
    <w:rsid w:val="085B58CB"/>
    <w:rsid w:val="086929F5"/>
    <w:rsid w:val="087F2EF1"/>
    <w:rsid w:val="08896BA5"/>
    <w:rsid w:val="08C75AEE"/>
    <w:rsid w:val="08D10FAF"/>
    <w:rsid w:val="08E315D1"/>
    <w:rsid w:val="08E36C2F"/>
    <w:rsid w:val="08E41D65"/>
    <w:rsid w:val="08FF7AA6"/>
    <w:rsid w:val="0901202B"/>
    <w:rsid w:val="09144762"/>
    <w:rsid w:val="092530BC"/>
    <w:rsid w:val="093D2D44"/>
    <w:rsid w:val="095742E5"/>
    <w:rsid w:val="09731054"/>
    <w:rsid w:val="09977B65"/>
    <w:rsid w:val="09A22AF7"/>
    <w:rsid w:val="09A6538D"/>
    <w:rsid w:val="09B61229"/>
    <w:rsid w:val="09B63701"/>
    <w:rsid w:val="09BC4063"/>
    <w:rsid w:val="09CC2792"/>
    <w:rsid w:val="09D92ABE"/>
    <w:rsid w:val="09E33DCA"/>
    <w:rsid w:val="09F8748A"/>
    <w:rsid w:val="0A334D52"/>
    <w:rsid w:val="0A377CAA"/>
    <w:rsid w:val="0A5E78F5"/>
    <w:rsid w:val="0A656ED5"/>
    <w:rsid w:val="0A7D7D7B"/>
    <w:rsid w:val="0A8C2DB6"/>
    <w:rsid w:val="0A914B76"/>
    <w:rsid w:val="0ABE0C39"/>
    <w:rsid w:val="0ACE44C1"/>
    <w:rsid w:val="0ACF0C60"/>
    <w:rsid w:val="0AD63EF1"/>
    <w:rsid w:val="0AE0030A"/>
    <w:rsid w:val="0AE24082"/>
    <w:rsid w:val="0AE651DB"/>
    <w:rsid w:val="0AF76101"/>
    <w:rsid w:val="0B00091B"/>
    <w:rsid w:val="0B0B35D9"/>
    <w:rsid w:val="0B1417DF"/>
    <w:rsid w:val="0B1F533A"/>
    <w:rsid w:val="0B290E31"/>
    <w:rsid w:val="0B304DED"/>
    <w:rsid w:val="0B5C2086"/>
    <w:rsid w:val="0B662015"/>
    <w:rsid w:val="0B7D7992"/>
    <w:rsid w:val="0BA92DF2"/>
    <w:rsid w:val="0BB2187A"/>
    <w:rsid w:val="0BBC0FB2"/>
    <w:rsid w:val="0BF00A21"/>
    <w:rsid w:val="0BF40AF0"/>
    <w:rsid w:val="0BF56AD4"/>
    <w:rsid w:val="0C01351C"/>
    <w:rsid w:val="0C0E155C"/>
    <w:rsid w:val="0C151149"/>
    <w:rsid w:val="0C1A5F83"/>
    <w:rsid w:val="0C2273EC"/>
    <w:rsid w:val="0C3721AC"/>
    <w:rsid w:val="0C580A85"/>
    <w:rsid w:val="0C637445"/>
    <w:rsid w:val="0C7B3555"/>
    <w:rsid w:val="0C831895"/>
    <w:rsid w:val="0C8D151F"/>
    <w:rsid w:val="0CA15170"/>
    <w:rsid w:val="0CC63D57"/>
    <w:rsid w:val="0CC75C1F"/>
    <w:rsid w:val="0CC94EBC"/>
    <w:rsid w:val="0CEE6BB5"/>
    <w:rsid w:val="0CFF29B0"/>
    <w:rsid w:val="0D004C93"/>
    <w:rsid w:val="0D1825D7"/>
    <w:rsid w:val="0D1B1ACD"/>
    <w:rsid w:val="0D22697A"/>
    <w:rsid w:val="0D3D7C96"/>
    <w:rsid w:val="0D502C24"/>
    <w:rsid w:val="0D633495"/>
    <w:rsid w:val="0D69705B"/>
    <w:rsid w:val="0D701E19"/>
    <w:rsid w:val="0D993EF8"/>
    <w:rsid w:val="0DC91A9B"/>
    <w:rsid w:val="0DEF3649"/>
    <w:rsid w:val="0DF67AA2"/>
    <w:rsid w:val="0E131B86"/>
    <w:rsid w:val="0E3A41D5"/>
    <w:rsid w:val="0E3D40ED"/>
    <w:rsid w:val="0E3F7667"/>
    <w:rsid w:val="0E411E17"/>
    <w:rsid w:val="0E527771"/>
    <w:rsid w:val="0E5B4641"/>
    <w:rsid w:val="0E6D26E7"/>
    <w:rsid w:val="0E750700"/>
    <w:rsid w:val="0EA238A8"/>
    <w:rsid w:val="0EB83A78"/>
    <w:rsid w:val="0EBB5316"/>
    <w:rsid w:val="0EC9231D"/>
    <w:rsid w:val="0ED279E6"/>
    <w:rsid w:val="0EE20797"/>
    <w:rsid w:val="0EE6508C"/>
    <w:rsid w:val="0EE77C21"/>
    <w:rsid w:val="0F00541F"/>
    <w:rsid w:val="0F0F6966"/>
    <w:rsid w:val="0F212269"/>
    <w:rsid w:val="0F317386"/>
    <w:rsid w:val="0F3D1472"/>
    <w:rsid w:val="0F602D33"/>
    <w:rsid w:val="0F7A71CC"/>
    <w:rsid w:val="0F8B19EF"/>
    <w:rsid w:val="0F9067A2"/>
    <w:rsid w:val="0F926D2E"/>
    <w:rsid w:val="0FAC2C53"/>
    <w:rsid w:val="0FB1460B"/>
    <w:rsid w:val="0FB762FF"/>
    <w:rsid w:val="0FDF6DE2"/>
    <w:rsid w:val="0FF31A70"/>
    <w:rsid w:val="0FF7412C"/>
    <w:rsid w:val="100B6D70"/>
    <w:rsid w:val="102338A2"/>
    <w:rsid w:val="10324097"/>
    <w:rsid w:val="103408AD"/>
    <w:rsid w:val="1045603A"/>
    <w:rsid w:val="10491CEA"/>
    <w:rsid w:val="104A4BA3"/>
    <w:rsid w:val="10802373"/>
    <w:rsid w:val="108D506C"/>
    <w:rsid w:val="10922F51"/>
    <w:rsid w:val="10B71042"/>
    <w:rsid w:val="10BD35C7"/>
    <w:rsid w:val="10EC306F"/>
    <w:rsid w:val="1106262D"/>
    <w:rsid w:val="110D797F"/>
    <w:rsid w:val="11101321"/>
    <w:rsid w:val="112E4CB0"/>
    <w:rsid w:val="11366EEC"/>
    <w:rsid w:val="11533A80"/>
    <w:rsid w:val="11610160"/>
    <w:rsid w:val="11671785"/>
    <w:rsid w:val="116972AB"/>
    <w:rsid w:val="116C28F7"/>
    <w:rsid w:val="116E041E"/>
    <w:rsid w:val="118D6095"/>
    <w:rsid w:val="11AB1672"/>
    <w:rsid w:val="11CF4709"/>
    <w:rsid w:val="11D34725"/>
    <w:rsid w:val="11E34ECA"/>
    <w:rsid w:val="11E93F48"/>
    <w:rsid w:val="11EB0E5B"/>
    <w:rsid w:val="12193EE4"/>
    <w:rsid w:val="121A1A92"/>
    <w:rsid w:val="12312A6C"/>
    <w:rsid w:val="123A58FD"/>
    <w:rsid w:val="12410EFF"/>
    <w:rsid w:val="12426441"/>
    <w:rsid w:val="124F64A1"/>
    <w:rsid w:val="12505D75"/>
    <w:rsid w:val="12683B20"/>
    <w:rsid w:val="126A1D21"/>
    <w:rsid w:val="126D1873"/>
    <w:rsid w:val="12705D44"/>
    <w:rsid w:val="12713638"/>
    <w:rsid w:val="127203E1"/>
    <w:rsid w:val="127423FC"/>
    <w:rsid w:val="12791770"/>
    <w:rsid w:val="128338AB"/>
    <w:rsid w:val="1299771C"/>
    <w:rsid w:val="12A10CC7"/>
    <w:rsid w:val="12B46152"/>
    <w:rsid w:val="12FB2185"/>
    <w:rsid w:val="13083AB8"/>
    <w:rsid w:val="130C6F7E"/>
    <w:rsid w:val="132F4655"/>
    <w:rsid w:val="1364255A"/>
    <w:rsid w:val="137E6A06"/>
    <w:rsid w:val="1396377B"/>
    <w:rsid w:val="13C51FDF"/>
    <w:rsid w:val="13D57DEB"/>
    <w:rsid w:val="14067033"/>
    <w:rsid w:val="14353475"/>
    <w:rsid w:val="146749BD"/>
    <w:rsid w:val="146F31AA"/>
    <w:rsid w:val="14714DD2"/>
    <w:rsid w:val="147F2243"/>
    <w:rsid w:val="14A96ADA"/>
    <w:rsid w:val="14B731F7"/>
    <w:rsid w:val="14B770F8"/>
    <w:rsid w:val="14BD21C5"/>
    <w:rsid w:val="14C039FC"/>
    <w:rsid w:val="14CD34B3"/>
    <w:rsid w:val="14E1402C"/>
    <w:rsid w:val="14FF263A"/>
    <w:rsid w:val="15307601"/>
    <w:rsid w:val="153672F4"/>
    <w:rsid w:val="15477903"/>
    <w:rsid w:val="15513A15"/>
    <w:rsid w:val="15554388"/>
    <w:rsid w:val="157516DB"/>
    <w:rsid w:val="15795993"/>
    <w:rsid w:val="15997097"/>
    <w:rsid w:val="15CE592F"/>
    <w:rsid w:val="15D11D39"/>
    <w:rsid w:val="15D14EA8"/>
    <w:rsid w:val="15FC33A8"/>
    <w:rsid w:val="160A4EC2"/>
    <w:rsid w:val="160D733D"/>
    <w:rsid w:val="161D6DBF"/>
    <w:rsid w:val="161D754B"/>
    <w:rsid w:val="16282DBB"/>
    <w:rsid w:val="163B0AEA"/>
    <w:rsid w:val="164D273A"/>
    <w:rsid w:val="16534086"/>
    <w:rsid w:val="16684C65"/>
    <w:rsid w:val="166B13D0"/>
    <w:rsid w:val="16A76673"/>
    <w:rsid w:val="16AC2190"/>
    <w:rsid w:val="16AF6556"/>
    <w:rsid w:val="16BC45BC"/>
    <w:rsid w:val="16C02B7B"/>
    <w:rsid w:val="1711267C"/>
    <w:rsid w:val="171F753A"/>
    <w:rsid w:val="172852B4"/>
    <w:rsid w:val="1740606D"/>
    <w:rsid w:val="175B20F3"/>
    <w:rsid w:val="176A51F7"/>
    <w:rsid w:val="178B03C2"/>
    <w:rsid w:val="17B52DB6"/>
    <w:rsid w:val="17C84600"/>
    <w:rsid w:val="17CB25F6"/>
    <w:rsid w:val="17D0311D"/>
    <w:rsid w:val="17D565E9"/>
    <w:rsid w:val="17DD4AF4"/>
    <w:rsid w:val="17E70759"/>
    <w:rsid w:val="18026FF7"/>
    <w:rsid w:val="180D6E49"/>
    <w:rsid w:val="181814E0"/>
    <w:rsid w:val="18243939"/>
    <w:rsid w:val="1834242E"/>
    <w:rsid w:val="183F12A7"/>
    <w:rsid w:val="184230CD"/>
    <w:rsid w:val="18620805"/>
    <w:rsid w:val="18674E76"/>
    <w:rsid w:val="187355C6"/>
    <w:rsid w:val="188260C7"/>
    <w:rsid w:val="188F6CA8"/>
    <w:rsid w:val="18945942"/>
    <w:rsid w:val="189D21D3"/>
    <w:rsid w:val="18CF6E4F"/>
    <w:rsid w:val="18D03DBD"/>
    <w:rsid w:val="18DC3BBC"/>
    <w:rsid w:val="18FE29CF"/>
    <w:rsid w:val="192835A8"/>
    <w:rsid w:val="193D3C98"/>
    <w:rsid w:val="19674A74"/>
    <w:rsid w:val="19757BC9"/>
    <w:rsid w:val="19781E82"/>
    <w:rsid w:val="197A71B3"/>
    <w:rsid w:val="19836A30"/>
    <w:rsid w:val="198D78AF"/>
    <w:rsid w:val="199649B5"/>
    <w:rsid w:val="199663FA"/>
    <w:rsid w:val="19AF3DBB"/>
    <w:rsid w:val="19B27315"/>
    <w:rsid w:val="19E37146"/>
    <w:rsid w:val="19EA6E9D"/>
    <w:rsid w:val="19FA25FA"/>
    <w:rsid w:val="1A157BCF"/>
    <w:rsid w:val="1A2A15A2"/>
    <w:rsid w:val="1A5B2F93"/>
    <w:rsid w:val="1A6A7BF0"/>
    <w:rsid w:val="1A74056A"/>
    <w:rsid w:val="1AAE3F81"/>
    <w:rsid w:val="1ABF5A8C"/>
    <w:rsid w:val="1AC14147"/>
    <w:rsid w:val="1AD43235"/>
    <w:rsid w:val="1AE41BEB"/>
    <w:rsid w:val="1AF54BF4"/>
    <w:rsid w:val="1B065382"/>
    <w:rsid w:val="1B065B6B"/>
    <w:rsid w:val="1B15245C"/>
    <w:rsid w:val="1B1C2942"/>
    <w:rsid w:val="1B1C713C"/>
    <w:rsid w:val="1B2B22B8"/>
    <w:rsid w:val="1B307AC9"/>
    <w:rsid w:val="1B421631"/>
    <w:rsid w:val="1B4A6BB9"/>
    <w:rsid w:val="1B554688"/>
    <w:rsid w:val="1B703CCB"/>
    <w:rsid w:val="1B721452"/>
    <w:rsid w:val="1B770323"/>
    <w:rsid w:val="1B8958CE"/>
    <w:rsid w:val="1B94585E"/>
    <w:rsid w:val="1B9F38C9"/>
    <w:rsid w:val="1BAF48EB"/>
    <w:rsid w:val="1BB67591"/>
    <w:rsid w:val="1BB678F1"/>
    <w:rsid w:val="1BC03F6C"/>
    <w:rsid w:val="1BC10FA9"/>
    <w:rsid w:val="1BF363BA"/>
    <w:rsid w:val="1BFB4FA4"/>
    <w:rsid w:val="1BFC2ACA"/>
    <w:rsid w:val="1C1C4183"/>
    <w:rsid w:val="1C2C1601"/>
    <w:rsid w:val="1C2D48DC"/>
    <w:rsid w:val="1C3653CF"/>
    <w:rsid w:val="1C3E6FE0"/>
    <w:rsid w:val="1C420D82"/>
    <w:rsid w:val="1C6D680C"/>
    <w:rsid w:val="1C780D06"/>
    <w:rsid w:val="1C7B2C32"/>
    <w:rsid w:val="1C7E0285"/>
    <w:rsid w:val="1C827473"/>
    <w:rsid w:val="1C9306A1"/>
    <w:rsid w:val="1C9A58F8"/>
    <w:rsid w:val="1C9B6DBA"/>
    <w:rsid w:val="1C9C747B"/>
    <w:rsid w:val="1C9D5A8D"/>
    <w:rsid w:val="1CB87339"/>
    <w:rsid w:val="1CE04199"/>
    <w:rsid w:val="1CE40726"/>
    <w:rsid w:val="1CEE3260"/>
    <w:rsid w:val="1CF006B5"/>
    <w:rsid w:val="1D0D77E6"/>
    <w:rsid w:val="1D1E6354"/>
    <w:rsid w:val="1D2212EB"/>
    <w:rsid w:val="1D4B5AB7"/>
    <w:rsid w:val="1D605C70"/>
    <w:rsid w:val="1D6B43AB"/>
    <w:rsid w:val="1D802C06"/>
    <w:rsid w:val="1DA36D78"/>
    <w:rsid w:val="1DAC6862"/>
    <w:rsid w:val="1DBD1612"/>
    <w:rsid w:val="1DC162AE"/>
    <w:rsid w:val="1DC64DB1"/>
    <w:rsid w:val="1DDC0E05"/>
    <w:rsid w:val="1DEC6059"/>
    <w:rsid w:val="1E0A5972"/>
    <w:rsid w:val="1E0D2131"/>
    <w:rsid w:val="1E116063"/>
    <w:rsid w:val="1E17240A"/>
    <w:rsid w:val="1E422315"/>
    <w:rsid w:val="1E5A7907"/>
    <w:rsid w:val="1E5C427D"/>
    <w:rsid w:val="1E6908EA"/>
    <w:rsid w:val="1E775441"/>
    <w:rsid w:val="1E851C27"/>
    <w:rsid w:val="1E853DD6"/>
    <w:rsid w:val="1E8979ED"/>
    <w:rsid w:val="1E8C45D9"/>
    <w:rsid w:val="1E8F1470"/>
    <w:rsid w:val="1E9120C3"/>
    <w:rsid w:val="1E9A4F48"/>
    <w:rsid w:val="1EB31B66"/>
    <w:rsid w:val="1ECD1D9F"/>
    <w:rsid w:val="1ED146E2"/>
    <w:rsid w:val="1EFE71D5"/>
    <w:rsid w:val="1F0F0F80"/>
    <w:rsid w:val="1F10243F"/>
    <w:rsid w:val="1F23393A"/>
    <w:rsid w:val="1F3B22B0"/>
    <w:rsid w:val="1F533349"/>
    <w:rsid w:val="1F6124BA"/>
    <w:rsid w:val="1F732D1C"/>
    <w:rsid w:val="1F88553E"/>
    <w:rsid w:val="1F901EA7"/>
    <w:rsid w:val="1FAB481B"/>
    <w:rsid w:val="1FC0303F"/>
    <w:rsid w:val="1FCA53B9"/>
    <w:rsid w:val="1FE12702"/>
    <w:rsid w:val="200F7274"/>
    <w:rsid w:val="20140D2A"/>
    <w:rsid w:val="20164BFD"/>
    <w:rsid w:val="201B4CE7"/>
    <w:rsid w:val="20233D54"/>
    <w:rsid w:val="203B697D"/>
    <w:rsid w:val="203E1903"/>
    <w:rsid w:val="20603997"/>
    <w:rsid w:val="20847C5E"/>
    <w:rsid w:val="20997FF6"/>
    <w:rsid w:val="209E2E47"/>
    <w:rsid w:val="20A404FD"/>
    <w:rsid w:val="20B61DE1"/>
    <w:rsid w:val="20E976FD"/>
    <w:rsid w:val="20ED750E"/>
    <w:rsid w:val="20F621DE"/>
    <w:rsid w:val="210221FB"/>
    <w:rsid w:val="210D530F"/>
    <w:rsid w:val="211663DC"/>
    <w:rsid w:val="211B39F2"/>
    <w:rsid w:val="213D3949"/>
    <w:rsid w:val="213D5744"/>
    <w:rsid w:val="216965EE"/>
    <w:rsid w:val="216C3868"/>
    <w:rsid w:val="217E4166"/>
    <w:rsid w:val="21986530"/>
    <w:rsid w:val="219E1B5F"/>
    <w:rsid w:val="219E4D4F"/>
    <w:rsid w:val="21A63C04"/>
    <w:rsid w:val="21A67760"/>
    <w:rsid w:val="21A954A2"/>
    <w:rsid w:val="21D96933"/>
    <w:rsid w:val="21E05413"/>
    <w:rsid w:val="22021729"/>
    <w:rsid w:val="22121299"/>
    <w:rsid w:val="22165AC2"/>
    <w:rsid w:val="221768AF"/>
    <w:rsid w:val="22192F72"/>
    <w:rsid w:val="223D48EB"/>
    <w:rsid w:val="2254552C"/>
    <w:rsid w:val="225704F2"/>
    <w:rsid w:val="226878B0"/>
    <w:rsid w:val="22696FF6"/>
    <w:rsid w:val="226A3676"/>
    <w:rsid w:val="22744381"/>
    <w:rsid w:val="227F44DD"/>
    <w:rsid w:val="228F5BBE"/>
    <w:rsid w:val="22974956"/>
    <w:rsid w:val="229D7584"/>
    <w:rsid w:val="229E70BB"/>
    <w:rsid w:val="22A02888"/>
    <w:rsid w:val="22A2737D"/>
    <w:rsid w:val="22A9727C"/>
    <w:rsid w:val="22B42350"/>
    <w:rsid w:val="22B57588"/>
    <w:rsid w:val="22D618ED"/>
    <w:rsid w:val="22DB78DD"/>
    <w:rsid w:val="231935E9"/>
    <w:rsid w:val="2319731A"/>
    <w:rsid w:val="233D7EA0"/>
    <w:rsid w:val="23452FA8"/>
    <w:rsid w:val="234E00AF"/>
    <w:rsid w:val="2351194D"/>
    <w:rsid w:val="23855D3E"/>
    <w:rsid w:val="239B39B1"/>
    <w:rsid w:val="239F6B5C"/>
    <w:rsid w:val="23B14E2C"/>
    <w:rsid w:val="23C2284B"/>
    <w:rsid w:val="23D01584"/>
    <w:rsid w:val="23DE2F8B"/>
    <w:rsid w:val="23DF33FD"/>
    <w:rsid w:val="241C67F5"/>
    <w:rsid w:val="24247CAE"/>
    <w:rsid w:val="24375A4C"/>
    <w:rsid w:val="24394CCA"/>
    <w:rsid w:val="24521E21"/>
    <w:rsid w:val="24547947"/>
    <w:rsid w:val="24594095"/>
    <w:rsid w:val="245C5FE8"/>
    <w:rsid w:val="2489323B"/>
    <w:rsid w:val="249F72EA"/>
    <w:rsid w:val="24A30154"/>
    <w:rsid w:val="24B05871"/>
    <w:rsid w:val="24B8590D"/>
    <w:rsid w:val="24CE6828"/>
    <w:rsid w:val="24D10633"/>
    <w:rsid w:val="24D80578"/>
    <w:rsid w:val="24E4490C"/>
    <w:rsid w:val="24FD0D5F"/>
    <w:rsid w:val="25025EE2"/>
    <w:rsid w:val="2508096D"/>
    <w:rsid w:val="25093C94"/>
    <w:rsid w:val="254569FC"/>
    <w:rsid w:val="25724139"/>
    <w:rsid w:val="25763E2F"/>
    <w:rsid w:val="257B08BB"/>
    <w:rsid w:val="257E2FA0"/>
    <w:rsid w:val="25882605"/>
    <w:rsid w:val="259279F3"/>
    <w:rsid w:val="25A35C20"/>
    <w:rsid w:val="25C45831"/>
    <w:rsid w:val="25DC5591"/>
    <w:rsid w:val="25E45320"/>
    <w:rsid w:val="25E62F48"/>
    <w:rsid w:val="25F52D43"/>
    <w:rsid w:val="25FC1F6A"/>
    <w:rsid w:val="25FD3B5F"/>
    <w:rsid w:val="26043568"/>
    <w:rsid w:val="260450DB"/>
    <w:rsid w:val="26054FA5"/>
    <w:rsid w:val="261504EA"/>
    <w:rsid w:val="262268B4"/>
    <w:rsid w:val="2624216D"/>
    <w:rsid w:val="26583CFB"/>
    <w:rsid w:val="266E37FC"/>
    <w:rsid w:val="26775B6F"/>
    <w:rsid w:val="26971D6D"/>
    <w:rsid w:val="269862CE"/>
    <w:rsid w:val="26A92908"/>
    <w:rsid w:val="26AD03F2"/>
    <w:rsid w:val="26C22E0F"/>
    <w:rsid w:val="26CC11F7"/>
    <w:rsid w:val="26E31F9A"/>
    <w:rsid w:val="26E52AD8"/>
    <w:rsid w:val="26E6096C"/>
    <w:rsid w:val="26E82B3C"/>
    <w:rsid w:val="26F3397B"/>
    <w:rsid w:val="26F709DC"/>
    <w:rsid w:val="270340B5"/>
    <w:rsid w:val="270F7B55"/>
    <w:rsid w:val="27134D2B"/>
    <w:rsid w:val="271B6EAF"/>
    <w:rsid w:val="271C34B6"/>
    <w:rsid w:val="272950BB"/>
    <w:rsid w:val="27462431"/>
    <w:rsid w:val="275B7CAD"/>
    <w:rsid w:val="277072C8"/>
    <w:rsid w:val="27862152"/>
    <w:rsid w:val="27CA298E"/>
    <w:rsid w:val="27D330A9"/>
    <w:rsid w:val="27E650F6"/>
    <w:rsid w:val="27F2701C"/>
    <w:rsid w:val="27FC632B"/>
    <w:rsid w:val="281F2789"/>
    <w:rsid w:val="28391A18"/>
    <w:rsid w:val="283A4A8E"/>
    <w:rsid w:val="28414686"/>
    <w:rsid w:val="284F644F"/>
    <w:rsid w:val="28643ED1"/>
    <w:rsid w:val="28697DF4"/>
    <w:rsid w:val="28853AA6"/>
    <w:rsid w:val="288C5CD6"/>
    <w:rsid w:val="28940C5A"/>
    <w:rsid w:val="28942A08"/>
    <w:rsid w:val="28B12E17"/>
    <w:rsid w:val="28B22E09"/>
    <w:rsid w:val="28B766F6"/>
    <w:rsid w:val="28BC5ABB"/>
    <w:rsid w:val="28D9666D"/>
    <w:rsid w:val="28DB0BF4"/>
    <w:rsid w:val="28DC615D"/>
    <w:rsid w:val="28FB0D59"/>
    <w:rsid w:val="291C66DF"/>
    <w:rsid w:val="292C07DC"/>
    <w:rsid w:val="29485314"/>
    <w:rsid w:val="294B459F"/>
    <w:rsid w:val="29542715"/>
    <w:rsid w:val="295E2BEF"/>
    <w:rsid w:val="29614F29"/>
    <w:rsid w:val="296F6FD1"/>
    <w:rsid w:val="296F7C11"/>
    <w:rsid w:val="297216A5"/>
    <w:rsid w:val="2972384F"/>
    <w:rsid w:val="29791CCE"/>
    <w:rsid w:val="29A872DC"/>
    <w:rsid w:val="29D84B76"/>
    <w:rsid w:val="29DC078A"/>
    <w:rsid w:val="29E60E97"/>
    <w:rsid w:val="29F517B4"/>
    <w:rsid w:val="29FA2D3E"/>
    <w:rsid w:val="2A07545B"/>
    <w:rsid w:val="2A0B2784"/>
    <w:rsid w:val="2A273408"/>
    <w:rsid w:val="2A303256"/>
    <w:rsid w:val="2A662182"/>
    <w:rsid w:val="2A75575B"/>
    <w:rsid w:val="2A79255B"/>
    <w:rsid w:val="2A865ADA"/>
    <w:rsid w:val="2A981D84"/>
    <w:rsid w:val="2A9E464B"/>
    <w:rsid w:val="2AA048F1"/>
    <w:rsid w:val="2AAB4039"/>
    <w:rsid w:val="2AAB515F"/>
    <w:rsid w:val="2AE450E9"/>
    <w:rsid w:val="2AEC1FCA"/>
    <w:rsid w:val="2AED01A6"/>
    <w:rsid w:val="2AF36A99"/>
    <w:rsid w:val="2AFC2AE6"/>
    <w:rsid w:val="2AFE20C6"/>
    <w:rsid w:val="2B0379D1"/>
    <w:rsid w:val="2B08552A"/>
    <w:rsid w:val="2B2D22CA"/>
    <w:rsid w:val="2B2E240D"/>
    <w:rsid w:val="2B316E5E"/>
    <w:rsid w:val="2B3272FF"/>
    <w:rsid w:val="2B3C521A"/>
    <w:rsid w:val="2B45031B"/>
    <w:rsid w:val="2B6C1A1A"/>
    <w:rsid w:val="2B9F2698"/>
    <w:rsid w:val="2BBA09D7"/>
    <w:rsid w:val="2BC73603"/>
    <w:rsid w:val="2BC74A1F"/>
    <w:rsid w:val="2BD549E1"/>
    <w:rsid w:val="2BDD2C3E"/>
    <w:rsid w:val="2BDD3977"/>
    <w:rsid w:val="2BE63FE5"/>
    <w:rsid w:val="2BFC4C73"/>
    <w:rsid w:val="2C00300F"/>
    <w:rsid w:val="2C035DD0"/>
    <w:rsid w:val="2C0376EF"/>
    <w:rsid w:val="2C0A478F"/>
    <w:rsid w:val="2C0E3E59"/>
    <w:rsid w:val="2C1874AC"/>
    <w:rsid w:val="2C1A1476"/>
    <w:rsid w:val="2C2D78F8"/>
    <w:rsid w:val="2C332538"/>
    <w:rsid w:val="2C363DD6"/>
    <w:rsid w:val="2C395116"/>
    <w:rsid w:val="2C471B82"/>
    <w:rsid w:val="2C6E3570"/>
    <w:rsid w:val="2C700924"/>
    <w:rsid w:val="2C763713"/>
    <w:rsid w:val="2C8108E2"/>
    <w:rsid w:val="2CC63168"/>
    <w:rsid w:val="2CE96D28"/>
    <w:rsid w:val="2CEB6B9B"/>
    <w:rsid w:val="2CF717B7"/>
    <w:rsid w:val="2D224A97"/>
    <w:rsid w:val="2D2634EA"/>
    <w:rsid w:val="2D366263"/>
    <w:rsid w:val="2D637836"/>
    <w:rsid w:val="2D8C6778"/>
    <w:rsid w:val="2D90164A"/>
    <w:rsid w:val="2D9203A7"/>
    <w:rsid w:val="2D930022"/>
    <w:rsid w:val="2DC02CEA"/>
    <w:rsid w:val="2DD1025A"/>
    <w:rsid w:val="2DE955A4"/>
    <w:rsid w:val="2E0B376C"/>
    <w:rsid w:val="2E250A7D"/>
    <w:rsid w:val="2E29271D"/>
    <w:rsid w:val="2E342143"/>
    <w:rsid w:val="2E342819"/>
    <w:rsid w:val="2E4E18AB"/>
    <w:rsid w:val="2E601583"/>
    <w:rsid w:val="2E637C29"/>
    <w:rsid w:val="2E693487"/>
    <w:rsid w:val="2E731311"/>
    <w:rsid w:val="2E876B6B"/>
    <w:rsid w:val="2E9203B8"/>
    <w:rsid w:val="2E9279E9"/>
    <w:rsid w:val="2EA66FF1"/>
    <w:rsid w:val="2EA72B68"/>
    <w:rsid w:val="2EC41B6D"/>
    <w:rsid w:val="2ED55B28"/>
    <w:rsid w:val="2EDD131D"/>
    <w:rsid w:val="2EE61AE3"/>
    <w:rsid w:val="2EE81411"/>
    <w:rsid w:val="2EF96879"/>
    <w:rsid w:val="2F0568D7"/>
    <w:rsid w:val="2F315CBA"/>
    <w:rsid w:val="2F31608E"/>
    <w:rsid w:val="2F4A3E20"/>
    <w:rsid w:val="2F5C7FF7"/>
    <w:rsid w:val="2F671B22"/>
    <w:rsid w:val="2FC53494"/>
    <w:rsid w:val="2FCA31B3"/>
    <w:rsid w:val="2FD07847"/>
    <w:rsid w:val="2FE74788"/>
    <w:rsid w:val="2FFC5D99"/>
    <w:rsid w:val="2FFE70AB"/>
    <w:rsid w:val="30032221"/>
    <w:rsid w:val="302208F9"/>
    <w:rsid w:val="302B0468"/>
    <w:rsid w:val="30310154"/>
    <w:rsid w:val="30373064"/>
    <w:rsid w:val="30395C43"/>
    <w:rsid w:val="303F090D"/>
    <w:rsid w:val="304059BC"/>
    <w:rsid w:val="30416F06"/>
    <w:rsid w:val="307042BC"/>
    <w:rsid w:val="30850E88"/>
    <w:rsid w:val="30881645"/>
    <w:rsid w:val="308B2942"/>
    <w:rsid w:val="30BA6D84"/>
    <w:rsid w:val="30CD1A42"/>
    <w:rsid w:val="30E3186A"/>
    <w:rsid w:val="30EF220B"/>
    <w:rsid w:val="310B2373"/>
    <w:rsid w:val="312840AA"/>
    <w:rsid w:val="312E4BF3"/>
    <w:rsid w:val="313C01F1"/>
    <w:rsid w:val="31442502"/>
    <w:rsid w:val="31480433"/>
    <w:rsid w:val="314C343E"/>
    <w:rsid w:val="31542650"/>
    <w:rsid w:val="315471D8"/>
    <w:rsid w:val="31574FC5"/>
    <w:rsid w:val="31675087"/>
    <w:rsid w:val="31864A53"/>
    <w:rsid w:val="31AC10BE"/>
    <w:rsid w:val="31BE50E7"/>
    <w:rsid w:val="31D65C22"/>
    <w:rsid w:val="31FB53A0"/>
    <w:rsid w:val="322E3D11"/>
    <w:rsid w:val="32466711"/>
    <w:rsid w:val="3253259F"/>
    <w:rsid w:val="32546D64"/>
    <w:rsid w:val="32591705"/>
    <w:rsid w:val="325A3E25"/>
    <w:rsid w:val="32784BB8"/>
    <w:rsid w:val="327B2543"/>
    <w:rsid w:val="328F5FEE"/>
    <w:rsid w:val="32933D30"/>
    <w:rsid w:val="32963820"/>
    <w:rsid w:val="32A72D83"/>
    <w:rsid w:val="32A81629"/>
    <w:rsid w:val="32CE2FBA"/>
    <w:rsid w:val="32D3237F"/>
    <w:rsid w:val="32DE2D20"/>
    <w:rsid w:val="32DF2AD1"/>
    <w:rsid w:val="32E270C0"/>
    <w:rsid w:val="32F33C1D"/>
    <w:rsid w:val="32F742BF"/>
    <w:rsid w:val="32FB3683"/>
    <w:rsid w:val="33217179"/>
    <w:rsid w:val="332912F6"/>
    <w:rsid w:val="334B4B3A"/>
    <w:rsid w:val="334E24EC"/>
    <w:rsid w:val="33A67A93"/>
    <w:rsid w:val="33AE446C"/>
    <w:rsid w:val="33BA21D0"/>
    <w:rsid w:val="33C20582"/>
    <w:rsid w:val="33C80FA0"/>
    <w:rsid w:val="33D15003"/>
    <w:rsid w:val="342005A6"/>
    <w:rsid w:val="342F1837"/>
    <w:rsid w:val="34605728"/>
    <w:rsid w:val="34675474"/>
    <w:rsid w:val="349E333C"/>
    <w:rsid w:val="34B91F8A"/>
    <w:rsid w:val="34BD4147"/>
    <w:rsid w:val="34C275CB"/>
    <w:rsid w:val="34C36FDA"/>
    <w:rsid w:val="34DE220C"/>
    <w:rsid w:val="34DE3C66"/>
    <w:rsid w:val="34E35536"/>
    <w:rsid w:val="34E940DB"/>
    <w:rsid w:val="34FD54BC"/>
    <w:rsid w:val="35004F81"/>
    <w:rsid w:val="35074C9E"/>
    <w:rsid w:val="35142D24"/>
    <w:rsid w:val="35156C7E"/>
    <w:rsid w:val="351A4F71"/>
    <w:rsid w:val="351F7AFD"/>
    <w:rsid w:val="359C0069"/>
    <w:rsid w:val="35A26038"/>
    <w:rsid w:val="35A3072E"/>
    <w:rsid w:val="35C404E5"/>
    <w:rsid w:val="36061552"/>
    <w:rsid w:val="360C16FF"/>
    <w:rsid w:val="362B6EC3"/>
    <w:rsid w:val="366107E3"/>
    <w:rsid w:val="36855AE6"/>
    <w:rsid w:val="36894FFB"/>
    <w:rsid w:val="3698148B"/>
    <w:rsid w:val="36B91186"/>
    <w:rsid w:val="36D421F0"/>
    <w:rsid w:val="36F06345"/>
    <w:rsid w:val="37053865"/>
    <w:rsid w:val="3762107E"/>
    <w:rsid w:val="37660CAD"/>
    <w:rsid w:val="3787198A"/>
    <w:rsid w:val="379755AB"/>
    <w:rsid w:val="379F6CD3"/>
    <w:rsid w:val="37A442EA"/>
    <w:rsid w:val="37B65258"/>
    <w:rsid w:val="37C14A80"/>
    <w:rsid w:val="37CE33BA"/>
    <w:rsid w:val="37D065F7"/>
    <w:rsid w:val="37E34E12"/>
    <w:rsid w:val="37FA104F"/>
    <w:rsid w:val="380354B4"/>
    <w:rsid w:val="38163439"/>
    <w:rsid w:val="382F1026"/>
    <w:rsid w:val="383969FE"/>
    <w:rsid w:val="38691F82"/>
    <w:rsid w:val="38710F3B"/>
    <w:rsid w:val="3882562A"/>
    <w:rsid w:val="38926838"/>
    <w:rsid w:val="389923B7"/>
    <w:rsid w:val="38AC5B4C"/>
    <w:rsid w:val="38AC697F"/>
    <w:rsid w:val="38CA6556"/>
    <w:rsid w:val="38CB0910"/>
    <w:rsid w:val="38E173A8"/>
    <w:rsid w:val="38E946AA"/>
    <w:rsid w:val="38F33EFB"/>
    <w:rsid w:val="39050AE6"/>
    <w:rsid w:val="39050DB8"/>
    <w:rsid w:val="391A0D07"/>
    <w:rsid w:val="393357C5"/>
    <w:rsid w:val="3944342C"/>
    <w:rsid w:val="39534219"/>
    <w:rsid w:val="39613732"/>
    <w:rsid w:val="396B7CC5"/>
    <w:rsid w:val="3980612A"/>
    <w:rsid w:val="39975554"/>
    <w:rsid w:val="39A268DD"/>
    <w:rsid w:val="39CD2122"/>
    <w:rsid w:val="39DD5648"/>
    <w:rsid w:val="39E5156F"/>
    <w:rsid w:val="39E9692C"/>
    <w:rsid w:val="39FF736A"/>
    <w:rsid w:val="3A097D6F"/>
    <w:rsid w:val="3A125E82"/>
    <w:rsid w:val="3A1A494F"/>
    <w:rsid w:val="3A1A50C6"/>
    <w:rsid w:val="3A266C45"/>
    <w:rsid w:val="3A35131C"/>
    <w:rsid w:val="3A3F654C"/>
    <w:rsid w:val="3A413396"/>
    <w:rsid w:val="3A445910"/>
    <w:rsid w:val="3A480176"/>
    <w:rsid w:val="3A505BEA"/>
    <w:rsid w:val="3A52627F"/>
    <w:rsid w:val="3A6C7826"/>
    <w:rsid w:val="3A777BB8"/>
    <w:rsid w:val="3A833277"/>
    <w:rsid w:val="3A95616C"/>
    <w:rsid w:val="3AA34D2C"/>
    <w:rsid w:val="3AB7794E"/>
    <w:rsid w:val="3ABB3E24"/>
    <w:rsid w:val="3AD15949"/>
    <w:rsid w:val="3AE0388B"/>
    <w:rsid w:val="3AEE029B"/>
    <w:rsid w:val="3AF275A9"/>
    <w:rsid w:val="3AF63CF2"/>
    <w:rsid w:val="3B0A1603"/>
    <w:rsid w:val="3B0B7552"/>
    <w:rsid w:val="3B0D7A1D"/>
    <w:rsid w:val="3B122685"/>
    <w:rsid w:val="3B29472C"/>
    <w:rsid w:val="3B436010"/>
    <w:rsid w:val="3B4C0F20"/>
    <w:rsid w:val="3B537704"/>
    <w:rsid w:val="3B5C239F"/>
    <w:rsid w:val="3BA0301A"/>
    <w:rsid w:val="3BCA2874"/>
    <w:rsid w:val="3BD11425"/>
    <w:rsid w:val="3BD53952"/>
    <w:rsid w:val="3C2D6106"/>
    <w:rsid w:val="3C37397E"/>
    <w:rsid w:val="3C395948"/>
    <w:rsid w:val="3C485B8B"/>
    <w:rsid w:val="3C602F4D"/>
    <w:rsid w:val="3C7F70D3"/>
    <w:rsid w:val="3C8804A6"/>
    <w:rsid w:val="3C8E2D74"/>
    <w:rsid w:val="3C9014B0"/>
    <w:rsid w:val="3CB54069"/>
    <w:rsid w:val="3CB91057"/>
    <w:rsid w:val="3CC7520F"/>
    <w:rsid w:val="3CC7638F"/>
    <w:rsid w:val="3CC968A2"/>
    <w:rsid w:val="3CDE03D0"/>
    <w:rsid w:val="3CFC1BFC"/>
    <w:rsid w:val="3D037D43"/>
    <w:rsid w:val="3D0C0967"/>
    <w:rsid w:val="3D0D2931"/>
    <w:rsid w:val="3D1D05D3"/>
    <w:rsid w:val="3D2E2245"/>
    <w:rsid w:val="3D3B56F0"/>
    <w:rsid w:val="3D42172F"/>
    <w:rsid w:val="3D5567B2"/>
    <w:rsid w:val="3D5C3370"/>
    <w:rsid w:val="3D681BCB"/>
    <w:rsid w:val="3D6A0A80"/>
    <w:rsid w:val="3D6E0A76"/>
    <w:rsid w:val="3D7006E2"/>
    <w:rsid w:val="3D734E6A"/>
    <w:rsid w:val="3D7F55DD"/>
    <w:rsid w:val="3D840E45"/>
    <w:rsid w:val="3D8C469F"/>
    <w:rsid w:val="3D9245B9"/>
    <w:rsid w:val="3DA52B6A"/>
    <w:rsid w:val="3DB84D61"/>
    <w:rsid w:val="3DBC685D"/>
    <w:rsid w:val="3DC65F30"/>
    <w:rsid w:val="3DCB67CB"/>
    <w:rsid w:val="3DDF4379"/>
    <w:rsid w:val="3DF338D5"/>
    <w:rsid w:val="3DF633C5"/>
    <w:rsid w:val="3DFC6F71"/>
    <w:rsid w:val="3DFD6502"/>
    <w:rsid w:val="3E091440"/>
    <w:rsid w:val="3E0E070F"/>
    <w:rsid w:val="3E26171C"/>
    <w:rsid w:val="3E2C4BE1"/>
    <w:rsid w:val="3E3A6F92"/>
    <w:rsid w:val="3E3B396C"/>
    <w:rsid w:val="3E3C527C"/>
    <w:rsid w:val="3E43485C"/>
    <w:rsid w:val="3E4B191C"/>
    <w:rsid w:val="3E567526"/>
    <w:rsid w:val="3E700EFF"/>
    <w:rsid w:val="3E8F4E69"/>
    <w:rsid w:val="3E9F547E"/>
    <w:rsid w:val="3EA05C91"/>
    <w:rsid w:val="3EA72351"/>
    <w:rsid w:val="3EAF2A88"/>
    <w:rsid w:val="3EF64F20"/>
    <w:rsid w:val="3EF97579"/>
    <w:rsid w:val="3EFD6405"/>
    <w:rsid w:val="3F035D9A"/>
    <w:rsid w:val="3F087854"/>
    <w:rsid w:val="3F19380F"/>
    <w:rsid w:val="3F260E7D"/>
    <w:rsid w:val="3F30132F"/>
    <w:rsid w:val="3F593C0C"/>
    <w:rsid w:val="3F5D5AEE"/>
    <w:rsid w:val="3F6211A5"/>
    <w:rsid w:val="3F622A13"/>
    <w:rsid w:val="3F696545"/>
    <w:rsid w:val="3F707EA6"/>
    <w:rsid w:val="3F7171A7"/>
    <w:rsid w:val="3F79605C"/>
    <w:rsid w:val="3F84512C"/>
    <w:rsid w:val="3F852C53"/>
    <w:rsid w:val="3FB715FA"/>
    <w:rsid w:val="3FBB7099"/>
    <w:rsid w:val="3FC217B1"/>
    <w:rsid w:val="3FDD61E6"/>
    <w:rsid w:val="3FF952D9"/>
    <w:rsid w:val="40010B25"/>
    <w:rsid w:val="400618A3"/>
    <w:rsid w:val="401D2E8B"/>
    <w:rsid w:val="402032F1"/>
    <w:rsid w:val="40210BCD"/>
    <w:rsid w:val="402C1320"/>
    <w:rsid w:val="402D3D8D"/>
    <w:rsid w:val="40305792"/>
    <w:rsid w:val="40552625"/>
    <w:rsid w:val="40686A1A"/>
    <w:rsid w:val="406B015D"/>
    <w:rsid w:val="40713896"/>
    <w:rsid w:val="407557F0"/>
    <w:rsid w:val="40842F0A"/>
    <w:rsid w:val="40887B0E"/>
    <w:rsid w:val="408C18CA"/>
    <w:rsid w:val="40972E6D"/>
    <w:rsid w:val="40B96989"/>
    <w:rsid w:val="40C37309"/>
    <w:rsid w:val="40CF1FD0"/>
    <w:rsid w:val="40CF487A"/>
    <w:rsid w:val="40DD79B5"/>
    <w:rsid w:val="40E12095"/>
    <w:rsid w:val="40E340D5"/>
    <w:rsid w:val="4104162F"/>
    <w:rsid w:val="410A78B3"/>
    <w:rsid w:val="410B27D1"/>
    <w:rsid w:val="412360AB"/>
    <w:rsid w:val="412E3412"/>
    <w:rsid w:val="41306BEE"/>
    <w:rsid w:val="41490D9B"/>
    <w:rsid w:val="417C359B"/>
    <w:rsid w:val="41917295"/>
    <w:rsid w:val="419B6A5B"/>
    <w:rsid w:val="41AC1751"/>
    <w:rsid w:val="41BA7B21"/>
    <w:rsid w:val="41E81277"/>
    <w:rsid w:val="41FB5E95"/>
    <w:rsid w:val="42036360"/>
    <w:rsid w:val="421333C8"/>
    <w:rsid w:val="42133F79"/>
    <w:rsid w:val="422B2C05"/>
    <w:rsid w:val="42594B93"/>
    <w:rsid w:val="425C623D"/>
    <w:rsid w:val="42682B01"/>
    <w:rsid w:val="429939A3"/>
    <w:rsid w:val="42C9785F"/>
    <w:rsid w:val="42D9578F"/>
    <w:rsid w:val="42E71EA3"/>
    <w:rsid w:val="42EB3F6B"/>
    <w:rsid w:val="42F8066D"/>
    <w:rsid w:val="42F93762"/>
    <w:rsid w:val="43160C7C"/>
    <w:rsid w:val="432F1B9E"/>
    <w:rsid w:val="433707BE"/>
    <w:rsid w:val="434626F9"/>
    <w:rsid w:val="434A042D"/>
    <w:rsid w:val="435968D0"/>
    <w:rsid w:val="438A52F3"/>
    <w:rsid w:val="43B66EEE"/>
    <w:rsid w:val="43C05449"/>
    <w:rsid w:val="43D25175"/>
    <w:rsid w:val="43E268C5"/>
    <w:rsid w:val="43E7452D"/>
    <w:rsid w:val="43EF4B3E"/>
    <w:rsid w:val="43F95922"/>
    <w:rsid w:val="44064FEB"/>
    <w:rsid w:val="440B7BBC"/>
    <w:rsid w:val="440E23CF"/>
    <w:rsid w:val="443F77EC"/>
    <w:rsid w:val="44A36F5A"/>
    <w:rsid w:val="44B651DE"/>
    <w:rsid w:val="44C63AF1"/>
    <w:rsid w:val="44C925A2"/>
    <w:rsid w:val="44DC3315"/>
    <w:rsid w:val="44DC7798"/>
    <w:rsid w:val="45113544"/>
    <w:rsid w:val="45192426"/>
    <w:rsid w:val="451C00AC"/>
    <w:rsid w:val="452A22D2"/>
    <w:rsid w:val="456926CF"/>
    <w:rsid w:val="45984AE5"/>
    <w:rsid w:val="45D1274E"/>
    <w:rsid w:val="45D85509"/>
    <w:rsid w:val="46072188"/>
    <w:rsid w:val="461821E6"/>
    <w:rsid w:val="46280371"/>
    <w:rsid w:val="462D7C08"/>
    <w:rsid w:val="46323D07"/>
    <w:rsid w:val="464D38DE"/>
    <w:rsid w:val="468772B0"/>
    <w:rsid w:val="46A55352"/>
    <w:rsid w:val="46AE0CE1"/>
    <w:rsid w:val="46AF5982"/>
    <w:rsid w:val="46BC6B44"/>
    <w:rsid w:val="46BF7389"/>
    <w:rsid w:val="46C01CEF"/>
    <w:rsid w:val="470D3D32"/>
    <w:rsid w:val="47121270"/>
    <w:rsid w:val="47153338"/>
    <w:rsid w:val="47213261"/>
    <w:rsid w:val="472B17CC"/>
    <w:rsid w:val="4735776D"/>
    <w:rsid w:val="474C2104"/>
    <w:rsid w:val="47516664"/>
    <w:rsid w:val="475278BE"/>
    <w:rsid w:val="475F66FF"/>
    <w:rsid w:val="47625049"/>
    <w:rsid w:val="476A10AC"/>
    <w:rsid w:val="476D311F"/>
    <w:rsid w:val="477477E7"/>
    <w:rsid w:val="477B2FAE"/>
    <w:rsid w:val="478654C0"/>
    <w:rsid w:val="4799373F"/>
    <w:rsid w:val="47C53793"/>
    <w:rsid w:val="47D25BD3"/>
    <w:rsid w:val="47E84B74"/>
    <w:rsid w:val="48227A0E"/>
    <w:rsid w:val="48284AC3"/>
    <w:rsid w:val="48747F04"/>
    <w:rsid w:val="48954352"/>
    <w:rsid w:val="48A252DF"/>
    <w:rsid w:val="48A44149"/>
    <w:rsid w:val="48AA5170"/>
    <w:rsid w:val="48B872A7"/>
    <w:rsid w:val="48CE7418"/>
    <w:rsid w:val="48DD4A9D"/>
    <w:rsid w:val="48FD385A"/>
    <w:rsid w:val="49180694"/>
    <w:rsid w:val="492A5F67"/>
    <w:rsid w:val="494F22BE"/>
    <w:rsid w:val="49543DC1"/>
    <w:rsid w:val="49B72B37"/>
    <w:rsid w:val="49BA174B"/>
    <w:rsid w:val="49BF6085"/>
    <w:rsid w:val="49E211AF"/>
    <w:rsid w:val="49F2547A"/>
    <w:rsid w:val="49FA5FEB"/>
    <w:rsid w:val="4A03740A"/>
    <w:rsid w:val="4A096C80"/>
    <w:rsid w:val="4A1946C3"/>
    <w:rsid w:val="4A5B4CDC"/>
    <w:rsid w:val="4A662729"/>
    <w:rsid w:val="4A6679B0"/>
    <w:rsid w:val="4A673681"/>
    <w:rsid w:val="4A6A3171"/>
    <w:rsid w:val="4A767D68"/>
    <w:rsid w:val="4A83134F"/>
    <w:rsid w:val="4A8C2E61"/>
    <w:rsid w:val="4AAC4A05"/>
    <w:rsid w:val="4AC51E5D"/>
    <w:rsid w:val="4AC97E97"/>
    <w:rsid w:val="4ACA61F8"/>
    <w:rsid w:val="4ACC6C2B"/>
    <w:rsid w:val="4AD8457E"/>
    <w:rsid w:val="4ADE7E52"/>
    <w:rsid w:val="4B045373"/>
    <w:rsid w:val="4B0C247A"/>
    <w:rsid w:val="4B1A06F3"/>
    <w:rsid w:val="4B1C6BBA"/>
    <w:rsid w:val="4B2A13CB"/>
    <w:rsid w:val="4B307F16"/>
    <w:rsid w:val="4B3D4425"/>
    <w:rsid w:val="4B60105E"/>
    <w:rsid w:val="4B6202EC"/>
    <w:rsid w:val="4B7127E4"/>
    <w:rsid w:val="4B7D6F18"/>
    <w:rsid w:val="4B88607C"/>
    <w:rsid w:val="4BAB5EBE"/>
    <w:rsid w:val="4BC00C26"/>
    <w:rsid w:val="4BC16A36"/>
    <w:rsid w:val="4BD6649B"/>
    <w:rsid w:val="4BE518A8"/>
    <w:rsid w:val="4C0321F0"/>
    <w:rsid w:val="4C122217"/>
    <w:rsid w:val="4C1D7907"/>
    <w:rsid w:val="4C3C7FD1"/>
    <w:rsid w:val="4C410EA5"/>
    <w:rsid w:val="4C4B35F9"/>
    <w:rsid w:val="4C505F95"/>
    <w:rsid w:val="4C6776C8"/>
    <w:rsid w:val="4C746529"/>
    <w:rsid w:val="4C883D82"/>
    <w:rsid w:val="4CC562F8"/>
    <w:rsid w:val="4CCA5EB6"/>
    <w:rsid w:val="4CEE1E37"/>
    <w:rsid w:val="4D493218"/>
    <w:rsid w:val="4D5D0D6B"/>
    <w:rsid w:val="4D9C0FDC"/>
    <w:rsid w:val="4D9E7AF5"/>
    <w:rsid w:val="4DA5791D"/>
    <w:rsid w:val="4DA910A0"/>
    <w:rsid w:val="4DB0533F"/>
    <w:rsid w:val="4DB41F58"/>
    <w:rsid w:val="4DBC3CE3"/>
    <w:rsid w:val="4DDE1EAC"/>
    <w:rsid w:val="4E05655C"/>
    <w:rsid w:val="4E071F88"/>
    <w:rsid w:val="4E0D19E8"/>
    <w:rsid w:val="4E281379"/>
    <w:rsid w:val="4E3E083A"/>
    <w:rsid w:val="4E3E4DD0"/>
    <w:rsid w:val="4E502E97"/>
    <w:rsid w:val="4E597784"/>
    <w:rsid w:val="4E5E0F95"/>
    <w:rsid w:val="4E7152A7"/>
    <w:rsid w:val="4EA824BA"/>
    <w:rsid w:val="4EC10AA6"/>
    <w:rsid w:val="4EDD6B06"/>
    <w:rsid w:val="4EF92D15"/>
    <w:rsid w:val="4F083BE4"/>
    <w:rsid w:val="4F1B75E7"/>
    <w:rsid w:val="4F227887"/>
    <w:rsid w:val="4F2844FE"/>
    <w:rsid w:val="4F335EAD"/>
    <w:rsid w:val="4F64409C"/>
    <w:rsid w:val="4F656132"/>
    <w:rsid w:val="4F7F146C"/>
    <w:rsid w:val="4F8C5D21"/>
    <w:rsid w:val="4F8E7901"/>
    <w:rsid w:val="4F9464D9"/>
    <w:rsid w:val="4FB95668"/>
    <w:rsid w:val="4FBA24A4"/>
    <w:rsid w:val="4FBB6024"/>
    <w:rsid w:val="4FC357FD"/>
    <w:rsid w:val="4FCE5F50"/>
    <w:rsid w:val="500D7D74"/>
    <w:rsid w:val="501A1195"/>
    <w:rsid w:val="504F1E9B"/>
    <w:rsid w:val="507E34D2"/>
    <w:rsid w:val="50893377"/>
    <w:rsid w:val="508C51D8"/>
    <w:rsid w:val="50B36711"/>
    <w:rsid w:val="50C85B0B"/>
    <w:rsid w:val="50D06A8C"/>
    <w:rsid w:val="50D43FF8"/>
    <w:rsid w:val="50E57E8F"/>
    <w:rsid w:val="51247153"/>
    <w:rsid w:val="51271DBC"/>
    <w:rsid w:val="51326C27"/>
    <w:rsid w:val="51493AE0"/>
    <w:rsid w:val="514B2317"/>
    <w:rsid w:val="514C66AE"/>
    <w:rsid w:val="5150683C"/>
    <w:rsid w:val="51694182"/>
    <w:rsid w:val="516A7EFA"/>
    <w:rsid w:val="516E79EA"/>
    <w:rsid w:val="51703893"/>
    <w:rsid w:val="51857A9E"/>
    <w:rsid w:val="51885F2B"/>
    <w:rsid w:val="518A4CFF"/>
    <w:rsid w:val="518C16AD"/>
    <w:rsid w:val="51C82CF3"/>
    <w:rsid w:val="51CB4844"/>
    <w:rsid w:val="51E43ECB"/>
    <w:rsid w:val="51F256B9"/>
    <w:rsid w:val="51FF0643"/>
    <w:rsid w:val="52163F05"/>
    <w:rsid w:val="521D477A"/>
    <w:rsid w:val="52336C93"/>
    <w:rsid w:val="52374F2B"/>
    <w:rsid w:val="523F1387"/>
    <w:rsid w:val="52546BE0"/>
    <w:rsid w:val="526543F3"/>
    <w:rsid w:val="5292555D"/>
    <w:rsid w:val="5294315D"/>
    <w:rsid w:val="529E7462"/>
    <w:rsid w:val="529F1132"/>
    <w:rsid w:val="52AB7559"/>
    <w:rsid w:val="52AC10AB"/>
    <w:rsid w:val="52B518B6"/>
    <w:rsid w:val="52C451E0"/>
    <w:rsid w:val="52C83663"/>
    <w:rsid w:val="52F5648D"/>
    <w:rsid w:val="530617CB"/>
    <w:rsid w:val="53075102"/>
    <w:rsid w:val="532E5683"/>
    <w:rsid w:val="53540736"/>
    <w:rsid w:val="53574A41"/>
    <w:rsid w:val="53620441"/>
    <w:rsid w:val="5362294D"/>
    <w:rsid w:val="53660D9B"/>
    <w:rsid w:val="53715D18"/>
    <w:rsid w:val="537F0208"/>
    <w:rsid w:val="53811823"/>
    <w:rsid w:val="539320DA"/>
    <w:rsid w:val="540B32CF"/>
    <w:rsid w:val="544564BE"/>
    <w:rsid w:val="544C1A1C"/>
    <w:rsid w:val="5458487B"/>
    <w:rsid w:val="54A454D1"/>
    <w:rsid w:val="54A6041E"/>
    <w:rsid w:val="54B24092"/>
    <w:rsid w:val="54B716A8"/>
    <w:rsid w:val="54C00DE0"/>
    <w:rsid w:val="54E01871"/>
    <w:rsid w:val="54E11F0E"/>
    <w:rsid w:val="54E37C08"/>
    <w:rsid w:val="54EC13E3"/>
    <w:rsid w:val="54F72B08"/>
    <w:rsid w:val="54FB4092"/>
    <w:rsid w:val="551E176E"/>
    <w:rsid w:val="552317B6"/>
    <w:rsid w:val="55354F42"/>
    <w:rsid w:val="55677968"/>
    <w:rsid w:val="55733821"/>
    <w:rsid w:val="55823A64"/>
    <w:rsid w:val="558821CD"/>
    <w:rsid w:val="558F6181"/>
    <w:rsid w:val="55990A9F"/>
    <w:rsid w:val="55992B5C"/>
    <w:rsid w:val="55A21B63"/>
    <w:rsid w:val="55BF34D2"/>
    <w:rsid w:val="55CB49AD"/>
    <w:rsid w:val="55E2291E"/>
    <w:rsid w:val="56262107"/>
    <w:rsid w:val="56503B63"/>
    <w:rsid w:val="56666EE2"/>
    <w:rsid w:val="567F3C59"/>
    <w:rsid w:val="567F77D7"/>
    <w:rsid w:val="56B82EA4"/>
    <w:rsid w:val="56B9699E"/>
    <w:rsid w:val="56DB61B8"/>
    <w:rsid w:val="56E85B49"/>
    <w:rsid w:val="56EA380F"/>
    <w:rsid w:val="56EF3D5E"/>
    <w:rsid w:val="5704797F"/>
    <w:rsid w:val="57154464"/>
    <w:rsid w:val="5721105B"/>
    <w:rsid w:val="57212E09"/>
    <w:rsid w:val="57506B78"/>
    <w:rsid w:val="575C6166"/>
    <w:rsid w:val="5768498C"/>
    <w:rsid w:val="57833AC4"/>
    <w:rsid w:val="57905C6F"/>
    <w:rsid w:val="57A30832"/>
    <w:rsid w:val="57B245FD"/>
    <w:rsid w:val="57D21E28"/>
    <w:rsid w:val="57D32355"/>
    <w:rsid w:val="580A55FA"/>
    <w:rsid w:val="581110D0"/>
    <w:rsid w:val="5819155B"/>
    <w:rsid w:val="581B3CFC"/>
    <w:rsid w:val="581B5AAA"/>
    <w:rsid w:val="581D0181"/>
    <w:rsid w:val="584C69E6"/>
    <w:rsid w:val="58561E1E"/>
    <w:rsid w:val="585F62DF"/>
    <w:rsid w:val="586B5009"/>
    <w:rsid w:val="588F0029"/>
    <w:rsid w:val="5891051A"/>
    <w:rsid w:val="58990C3A"/>
    <w:rsid w:val="58A03F40"/>
    <w:rsid w:val="58DC16DE"/>
    <w:rsid w:val="58E14F46"/>
    <w:rsid w:val="58EB1921"/>
    <w:rsid w:val="5900038F"/>
    <w:rsid w:val="590A4BE6"/>
    <w:rsid w:val="592B561E"/>
    <w:rsid w:val="594612D3"/>
    <w:rsid w:val="59492C15"/>
    <w:rsid w:val="59A96C7F"/>
    <w:rsid w:val="59C26B25"/>
    <w:rsid w:val="59D95C1D"/>
    <w:rsid w:val="5A0128F9"/>
    <w:rsid w:val="5A104EED"/>
    <w:rsid w:val="5A1A5AD8"/>
    <w:rsid w:val="5A276F81"/>
    <w:rsid w:val="5A3F68FC"/>
    <w:rsid w:val="5A42157E"/>
    <w:rsid w:val="5A7A5D25"/>
    <w:rsid w:val="5A9947FB"/>
    <w:rsid w:val="5AA125D5"/>
    <w:rsid w:val="5AB93F51"/>
    <w:rsid w:val="5AC42F60"/>
    <w:rsid w:val="5ACC5A43"/>
    <w:rsid w:val="5AD27608"/>
    <w:rsid w:val="5AD54F88"/>
    <w:rsid w:val="5AF70A51"/>
    <w:rsid w:val="5B114CBF"/>
    <w:rsid w:val="5B195A0A"/>
    <w:rsid w:val="5B1D5E09"/>
    <w:rsid w:val="5B1F04F4"/>
    <w:rsid w:val="5B273A92"/>
    <w:rsid w:val="5B540BDF"/>
    <w:rsid w:val="5B5648CD"/>
    <w:rsid w:val="5B573778"/>
    <w:rsid w:val="5B583A26"/>
    <w:rsid w:val="5B767BE6"/>
    <w:rsid w:val="5BA93F5D"/>
    <w:rsid w:val="5BB701E0"/>
    <w:rsid w:val="5BC44781"/>
    <w:rsid w:val="5BF60D08"/>
    <w:rsid w:val="5BF71706"/>
    <w:rsid w:val="5C1C041F"/>
    <w:rsid w:val="5C357C0E"/>
    <w:rsid w:val="5C366DE5"/>
    <w:rsid w:val="5C447CC6"/>
    <w:rsid w:val="5C595084"/>
    <w:rsid w:val="5C8835A6"/>
    <w:rsid w:val="5CB916D8"/>
    <w:rsid w:val="5CBF778A"/>
    <w:rsid w:val="5CDA3F26"/>
    <w:rsid w:val="5CE93289"/>
    <w:rsid w:val="5CF54B1C"/>
    <w:rsid w:val="5D1C479E"/>
    <w:rsid w:val="5D384E12"/>
    <w:rsid w:val="5D3B758B"/>
    <w:rsid w:val="5D3D6D9F"/>
    <w:rsid w:val="5D413549"/>
    <w:rsid w:val="5D4D0804"/>
    <w:rsid w:val="5D4D1256"/>
    <w:rsid w:val="5D8438EF"/>
    <w:rsid w:val="5D85483D"/>
    <w:rsid w:val="5D8B36D2"/>
    <w:rsid w:val="5DA64136"/>
    <w:rsid w:val="5DA90068"/>
    <w:rsid w:val="5DC5158A"/>
    <w:rsid w:val="5DD017B6"/>
    <w:rsid w:val="5DD03E68"/>
    <w:rsid w:val="5DDB2B96"/>
    <w:rsid w:val="5DFE20F6"/>
    <w:rsid w:val="5E0064CD"/>
    <w:rsid w:val="5E041912"/>
    <w:rsid w:val="5E19753E"/>
    <w:rsid w:val="5E453881"/>
    <w:rsid w:val="5E596964"/>
    <w:rsid w:val="5E9345EC"/>
    <w:rsid w:val="5EC0115A"/>
    <w:rsid w:val="5ECC770D"/>
    <w:rsid w:val="5ED2625E"/>
    <w:rsid w:val="5EE16246"/>
    <w:rsid w:val="5F041103"/>
    <w:rsid w:val="5F0820A0"/>
    <w:rsid w:val="5F25140D"/>
    <w:rsid w:val="5F265461"/>
    <w:rsid w:val="5F30162D"/>
    <w:rsid w:val="5F391555"/>
    <w:rsid w:val="5F3C6491"/>
    <w:rsid w:val="5F481FA0"/>
    <w:rsid w:val="5F4B25C2"/>
    <w:rsid w:val="5F540D28"/>
    <w:rsid w:val="5F6B30AD"/>
    <w:rsid w:val="5F6B5B1E"/>
    <w:rsid w:val="5F6E2CEC"/>
    <w:rsid w:val="5F91513B"/>
    <w:rsid w:val="5F9A2B28"/>
    <w:rsid w:val="5FA20DE6"/>
    <w:rsid w:val="5FC47B52"/>
    <w:rsid w:val="5FE1582B"/>
    <w:rsid w:val="5FE43136"/>
    <w:rsid w:val="5FFE7BFD"/>
    <w:rsid w:val="600751AC"/>
    <w:rsid w:val="60122D24"/>
    <w:rsid w:val="6025359D"/>
    <w:rsid w:val="602F356E"/>
    <w:rsid w:val="603246B6"/>
    <w:rsid w:val="60394619"/>
    <w:rsid w:val="604D64B1"/>
    <w:rsid w:val="606322BF"/>
    <w:rsid w:val="606E57EA"/>
    <w:rsid w:val="60724A56"/>
    <w:rsid w:val="60793CB6"/>
    <w:rsid w:val="607A5ED5"/>
    <w:rsid w:val="60883EF9"/>
    <w:rsid w:val="608C5797"/>
    <w:rsid w:val="608F34D9"/>
    <w:rsid w:val="608F6462"/>
    <w:rsid w:val="60A434D5"/>
    <w:rsid w:val="60AC7F80"/>
    <w:rsid w:val="60BA0987"/>
    <w:rsid w:val="60F05609"/>
    <w:rsid w:val="610B228D"/>
    <w:rsid w:val="61122B5C"/>
    <w:rsid w:val="611F436F"/>
    <w:rsid w:val="611F6F3D"/>
    <w:rsid w:val="61283090"/>
    <w:rsid w:val="614B11AE"/>
    <w:rsid w:val="614C3178"/>
    <w:rsid w:val="615A7899"/>
    <w:rsid w:val="615F4C5A"/>
    <w:rsid w:val="61631C7B"/>
    <w:rsid w:val="61682DA6"/>
    <w:rsid w:val="619568CD"/>
    <w:rsid w:val="619D0D81"/>
    <w:rsid w:val="61A30FEA"/>
    <w:rsid w:val="61A86601"/>
    <w:rsid w:val="61CE3B8D"/>
    <w:rsid w:val="61D94C85"/>
    <w:rsid w:val="61EA1B28"/>
    <w:rsid w:val="61F92CAE"/>
    <w:rsid w:val="62076DD7"/>
    <w:rsid w:val="620957E4"/>
    <w:rsid w:val="62234F7B"/>
    <w:rsid w:val="62326812"/>
    <w:rsid w:val="624A4446"/>
    <w:rsid w:val="62525B29"/>
    <w:rsid w:val="627960CE"/>
    <w:rsid w:val="627B1F67"/>
    <w:rsid w:val="627B5AC3"/>
    <w:rsid w:val="629043AA"/>
    <w:rsid w:val="62F477B5"/>
    <w:rsid w:val="63027F93"/>
    <w:rsid w:val="631D6B7A"/>
    <w:rsid w:val="63287260"/>
    <w:rsid w:val="632B168F"/>
    <w:rsid w:val="634265E1"/>
    <w:rsid w:val="63624ED5"/>
    <w:rsid w:val="63640C4D"/>
    <w:rsid w:val="636C4FAE"/>
    <w:rsid w:val="6378713A"/>
    <w:rsid w:val="63A17EDE"/>
    <w:rsid w:val="63BD210C"/>
    <w:rsid w:val="63C24D92"/>
    <w:rsid w:val="63C56EA9"/>
    <w:rsid w:val="63DD5450"/>
    <w:rsid w:val="63E21BB4"/>
    <w:rsid w:val="63E654C5"/>
    <w:rsid w:val="63EB0B4C"/>
    <w:rsid w:val="640F43FF"/>
    <w:rsid w:val="64206A22"/>
    <w:rsid w:val="6423509B"/>
    <w:rsid w:val="64747D3B"/>
    <w:rsid w:val="64771F77"/>
    <w:rsid w:val="64833355"/>
    <w:rsid w:val="64AF414A"/>
    <w:rsid w:val="64BB183B"/>
    <w:rsid w:val="64C85E46"/>
    <w:rsid w:val="64DB4361"/>
    <w:rsid w:val="64DE67DD"/>
    <w:rsid w:val="651D292C"/>
    <w:rsid w:val="655067F7"/>
    <w:rsid w:val="65544F71"/>
    <w:rsid w:val="65667FCD"/>
    <w:rsid w:val="65723276"/>
    <w:rsid w:val="659155FE"/>
    <w:rsid w:val="659930A3"/>
    <w:rsid w:val="65AB66C0"/>
    <w:rsid w:val="65CC6636"/>
    <w:rsid w:val="65D5728D"/>
    <w:rsid w:val="65ED5A6E"/>
    <w:rsid w:val="660E71D5"/>
    <w:rsid w:val="663012BB"/>
    <w:rsid w:val="66524D8D"/>
    <w:rsid w:val="6657146D"/>
    <w:rsid w:val="665A1299"/>
    <w:rsid w:val="666E6872"/>
    <w:rsid w:val="66725C36"/>
    <w:rsid w:val="669D7C03"/>
    <w:rsid w:val="669E7FD2"/>
    <w:rsid w:val="66A71441"/>
    <w:rsid w:val="66AA2E1B"/>
    <w:rsid w:val="66AC26D6"/>
    <w:rsid w:val="66AD7A35"/>
    <w:rsid w:val="66AF26B9"/>
    <w:rsid w:val="66BA6C3E"/>
    <w:rsid w:val="66C15EB8"/>
    <w:rsid w:val="66CA139F"/>
    <w:rsid w:val="66D333E8"/>
    <w:rsid w:val="66E366FD"/>
    <w:rsid w:val="66F95AFD"/>
    <w:rsid w:val="67095D94"/>
    <w:rsid w:val="6732696D"/>
    <w:rsid w:val="67391443"/>
    <w:rsid w:val="673F17B5"/>
    <w:rsid w:val="67403BE7"/>
    <w:rsid w:val="67450B39"/>
    <w:rsid w:val="67673482"/>
    <w:rsid w:val="676D4DB3"/>
    <w:rsid w:val="6772366B"/>
    <w:rsid w:val="6791093C"/>
    <w:rsid w:val="67B51A77"/>
    <w:rsid w:val="67BD26DA"/>
    <w:rsid w:val="67C16089"/>
    <w:rsid w:val="67CB3049"/>
    <w:rsid w:val="67F07B5B"/>
    <w:rsid w:val="67F81964"/>
    <w:rsid w:val="68014909"/>
    <w:rsid w:val="6814507E"/>
    <w:rsid w:val="681744E0"/>
    <w:rsid w:val="684C450D"/>
    <w:rsid w:val="68517D5C"/>
    <w:rsid w:val="68545135"/>
    <w:rsid w:val="6869180E"/>
    <w:rsid w:val="6897786E"/>
    <w:rsid w:val="68985918"/>
    <w:rsid w:val="689E0FAB"/>
    <w:rsid w:val="68BE7511"/>
    <w:rsid w:val="68BE7F21"/>
    <w:rsid w:val="68D73C6F"/>
    <w:rsid w:val="68EF7BE3"/>
    <w:rsid w:val="69040007"/>
    <w:rsid w:val="6910007F"/>
    <w:rsid w:val="69286279"/>
    <w:rsid w:val="69422CD6"/>
    <w:rsid w:val="69434555"/>
    <w:rsid w:val="69630CB5"/>
    <w:rsid w:val="6964553A"/>
    <w:rsid w:val="6965454E"/>
    <w:rsid w:val="696A6892"/>
    <w:rsid w:val="697B3EF8"/>
    <w:rsid w:val="69823BDB"/>
    <w:rsid w:val="698B1F50"/>
    <w:rsid w:val="698B7AAE"/>
    <w:rsid w:val="69916897"/>
    <w:rsid w:val="699D0A15"/>
    <w:rsid w:val="69FF3DA6"/>
    <w:rsid w:val="6A1D171C"/>
    <w:rsid w:val="6A2230DF"/>
    <w:rsid w:val="6A2473CA"/>
    <w:rsid w:val="6A352F84"/>
    <w:rsid w:val="6A366774"/>
    <w:rsid w:val="6A4D208A"/>
    <w:rsid w:val="6A5A6906"/>
    <w:rsid w:val="6A630BF0"/>
    <w:rsid w:val="6A6600BF"/>
    <w:rsid w:val="6A667059"/>
    <w:rsid w:val="6A6A3CD3"/>
    <w:rsid w:val="6A707ED8"/>
    <w:rsid w:val="6A75729C"/>
    <w:rsid w:val="6A7774B8"/>
    <w:rsid w:val="6A836410"/>
    <w:rsid w:val="6A8D3722"/>
    <w:rsid w:val="6A9040D6"/>
    <w:rsid w:val="6A941E18"/>
    <w:rsid w:val="6AA12A60"/>
    <w:rsid w:val="6AB227DC"/>
    <w:rsid w:val="6ABF6F65"/>
    <w:rsid w:val="6AC5705C"/>
    <w:rsid w:val="6AE76A24"/>
    <w:rsid w:val="6B2E02FC"/>
    <w:rsid w:val="6B2E09FC"/>
    <w:rsid w:val="6B411343"/>
    <w:rsid w:val="6B4A697B"/>
    <w:rsid w:val="6B4C44A1"/>
    <w:rsid w:val="6B832A59"/>
    <w:rsid w:val="6B8A630E"/>
    <w:rsid w:val="6B9D3766"/>
    <w:rsid w:val="6BA70CD2"/>
    <w:rsid w:val="6BA73DCD"/>
    <w:rsid w:val="6BA954BC"/>
    <w:rsid w:val="6BC1121E"/>
    <w:rsid w:val="6BCF16A3"/>
    <w:rsid w:val="6BD069E3"/>
    <w:rsid w:val="6BD760FB"/>
    <w:rsid w:val="6BE66169"/>
    <w:rsid w:val="6BF837EF"/>
    <w:rsid w:val="6BF85210"/>
    <w:rsid w:val="6C0A7E10"/>
    <w:rsid w:val="6C1A00FB"/>
    <w:rsid w:val="6C215487"/>
    <w:rsid w:val="6C3C0170"/>
    <w:rsid w:val="6C3F7AB1"/>
    <w:rsid w:val="6C3F7B62"/>
    <w:rsid w:val="6C427041"/>
    <w:rsid w:val="6C445033"/>
    <w:rsid w:val="6C5B73FB"/>
    <w:rsid w:val="6C5F402C"/>
    <w:rsid w:val="6C730708"/>
    <w:rsid w:val="6C7F50F6"/>
    <w:rsid w:val="6C97569E"/>
    <w:rsid w:val="6CA359FC"/>
    <w:rsid w:val="6CD0555F"/>
    <w:rsid w:val="6CE04246"/>
    <w:rsid w:val="6D626655"/>
    <w:rsid w:val="6D65184A"/>
    <w:rsid w:val="6D667370"/>
    <w:rsid w:val="6D716441"/>
    <w:rsid w:val="6D84435E"/>
    <w:rsid w:val="6D8B0005"/>
    <w:rsid w:val="6D9739CD"/>
    <w:rsid w:val="6DB13A3A"/>
    <w:rsid w:val="6DC04CD2"/>
    <w:rsid w:val="6DDB258C"/>
    <w:rsid w:val="6DE2733E"/>
    <w:rsid w:val="6DFC2573"/>
    <w:rsid w:val="6E0077C5"/>
    <w:rsid w:val="6E260E89"/>
    <w:rsid w:val="6E2F5FB6"/>
    <w:rsid w:val="6E3A0174"/>
    <w:rsid w:val="6E453429"/>
    <w:rsid w:val="6E5637F7"/>
    <w:rsid w:val="6E992732"/>
    <w:rsid w:val="6EA939B8"/>
    <w:rsid w:val="6EC922AC"/>
    <w:rsid w:val="6EE82732"/>
    <w:rsid w:val="6EEE41EC"/>
    <w:rsid w:val="6EF31A6C"/>
    <w:rsid w:val="6EF74724"/>
    <w:rsid w:val="6F107F60"/>
    <w:rsid w:val="6F1C418A"/>
    <w:rsid w:val="6F405E7F"/>
    <w:rsid w:val="6F6740C9"/>
    <w:rsid w:val="6F783FEA"/>
    <w:rsid w:val="6F8B0CB3"/>
    <w:rsid w:val="6F9D0409"/>
    <w:rsid w:val="6FA523D2"/>
    <w:rsid w:val="6FAC7C04"/>
    <w:rsid w:val="6FBB1BF5"/>
    <w:rsid w:val="6FBC2D74"/>
    <w:rsid w:val="6FBC4F8B"/>
    <w:rsid w:val="6FCB1CE5"/>
    <w:rsid w:val="6FD43509"/>
    <w:rsid w:val="6FD62069"/>
    <w:rsid w:val="6FE96BF9"/>
    <w:rsid w:val="6FEC31DF"/>
    <w:rsid w:val="6FF62C2D"/>
    <w:rsid w:val="7006014C"/>
    <w:rsid w:val="70102B68"/>
    <w:rsid w:val="701073F2"/>
    <w:rsid w:val="70174388"/>
    <w:rsid w:val="70182BA3"/>
    <w:rsid w:val="701E451B"/>
    <w:rsid w:val="702774F6"/>
    <w:rsid w:val="702B15B8"/>
    <w:rsid w:val="70512559"/>
    <w:rsid w:val="705C33D8"/>
    <w:rsid w:val="70634B65"/>
    <w:rsid w:val="70673123"/>
    <w:rsid w:val="70685D9B"/>
    <w:rsid w:val="707A385E"/>
    <w:rsid w:val="70A332E7"/>
    <w:rsid w:val="70A971E8"/>
    <w:rsid w:val="70B14239"/>
    <w:rsid w:val="70DC0935"/>
    <w:rsid w:val="70F21D21"/>
    <w:rsid w:val="70F52E1D"/>
    <w:rsid w:val="70FA4EA5"/>
    <w:rsid w:val="71181F66"/>
    <w:rsid w:val="712534EB"/>
    <w:rsid w:val="712B6906"/>
    <w:rsid w:val="7132290A"/>
    <w:rsid w:val="71357785"/>
    <w:rsid w:val="713F0531"/>
    <w:rsid w:val="714E69CF"/>
    <w:rsid w:val="71687ABE"/>
    <w:rsid w:val="7180295A"/>
    <w:rsid w:val="718A11B3"/>
    <w:rsid w:val="71AF5789"/>
    <w:rsid w:val="71B455DC"/>
    <w:rsid w:val="71B90B83"/>
    <w:rsid w:val="71C03E33"/>
    <w:rsid w:val="71C31F92"/>
    <w:rsid w:val="71DA3917"/>
    <w:rsid w:val="71E810FC"/>
    <w:rsid w:val="71ED1E0E"/>
    <w:rsid w:val="71F24BC0"/>
    <w:rsid w:val="720E1DF4"/>
    <w:rsid w:val="72320DEB"/>
    <w:rsid w:val="72356D4C"/>
    <w:rsid w:val="723C15B6"/>
    <w:rsid w:val="72411C71"/>
    <w:rsid w:val="72547631"/>
    <w:rsid w:val="725651A5"/>
    <w:rsid w:val="72594D36"/>
    <w:rsid w:val="725E7CF0"/>
    <w:rsid w:val="72605B7B"/>
    <w:rsid w:val="72747ED9"/>
    <w:rsid w:val="727A08EF"/>
    <w:rsid w:val="728615D4"/>
    <w:rsid w:val="72872262"/>
    <w:rsid w:val="728C5ACB"/>
    <w:rsid w:val="729F16E9"/>
    <w:rsid w:val="72A238AA"/>
    <w:rsid w:val="72A5692D"/>
    <w:rsid w:val="72C602BA"/>
    <w:rsid w:val="72DF6432"/>
    <w:rsid w:val="72E74AAF"/>
    <w:rsid w:val="72ED51EC"/>
    <w:rsid w:val="72F125F8"/>
    <w:rsid w:val="72F13B80"/>
    <w:rsid w:val="73080488"/>
    <w:rsid w:val="732019DE"/>
    <w:rsid w:val="73221F8B"/>
    <w:rsid w:val="73233E20"/>
    <w:rsid w:val="734D529E"/>
    <w:rsid w:val="73593CC9"/>
    <w:rsid w:val="735A34D3"/>
    <w:rsid w:val="736E4E0C"/>
    <w:rsid w:val="73751E99"/>
    <w:rsid w:val="737C7D41"/>
    <w:rsid w:val="73A679AA"/>
    <w:rsid w:val="73BC5AD8"/>
    <w:rsid w:val="73BF14B6"/>
    <w:rsid w:val="73C60A8E"/>
    <w:rsid w:val="73D2750D"/>
    <w:rsid w:val="73D414D7"/>
    <w:rsid w:val="73D65F7E"/>
    <w:rsid w:val="73D7567E"/>
    <w:rsid w:val="73EB33AB"/>
    <w:rsid w:val="740F06CD"/>
    <w:rsid w:val="741B3FD0"/>
    <w:rsid w:val="74312486"/>
    <w:rsid w:val="7432716E"/>
    <w:rsid w:val="745B25CA"/>
    <w:rsid w:val="747031BB"/>
    <w:rsid w:val="74750F31"/>
    <w:rsid w:val="747516B3"/>
    <w:rsid w:val="74B9247B"/>
    <w:rsid w:val="74BA6E0E"/>
    <w:rsid w:val="74C3041D"/>
    <w:rsid w:val="74DD0860"/>
    <w:rsid w:val="74DF6403"/>
    <w:rsid w:val="74F353B3"/>
    <w:rsid w:val="750C6A4F"/>
    <w:rsid w:val="75190BE2"/>
    <w:rsid w:val="75416EBB"/>
    <w:rsid w:val="7544268D"/>
    <w:rsid w:val="75551D67"/>
    <w:rsid w:val="75675DB8"/>
    <w:rsid w:val="759336B3"/>
    <w:rsid w:val="759929D8"/>
    <w:rsid w:val="75A3417F"/>
    <w:rsid w:val="75CA1E10"/>
    <w:rsid w:val="75EC455F"/>
    <w:rsid w:val="760065B4"/>
    <w:rsid w:val="76095B69"/>
    <w:rsid w:val="760F51BE"/>
    <w:rsid w:val="7615375C"/>
    <w:rsid w:val="76255B97"/>
    <w:rsid w:val="766318AD"/>
    <w:rsid w:val="766D0E65"/>
    <w:rsid w:val="767C5359"/>
    <w:rsid w:val="76946CFC"/>
    <w:rsid w:val="769B452E"/>
    <w:rsid w:val="769E3E7E"/>
    <w:rsid w:val="76B52680"/>
    <w:rsid w:val="76C80318"/>
    <w:rsid w:val="76C92E49"/>
    <w:rsid w:val="76D23B71"/>
    <w:rsid w:val="76D534E5"/>
    <w:rsid w:val="76D57A6B"/>
    <w:rsid w:val="76DE0F9C"/>
    <w:rsid w:val="76E75929"/>
    <w:rsid w:val="7706091E"/>
    <w:rsid w:val="770C768A"/>
    <w:rsid w:val="771331EC"/>
    <w:rsid w:val="771520C9"/>
    <w:rsid w:val="771D0778"/>
    <w:rsid w:val="77496AFA"/>
    <w:rsid w:val="777156BC"/>
    <w:rsid w:val="777F1AF1"/>
    <w:rsid w:val="779045C7"/>
    <w:rsid w:val="77B9649D"/>
    <w:rsid w:val="77DA442C"/>
    <w:rsid w:val="77E22C61"/>
    <w:rsid w:val="77FA7033"/>
    <w:rsid w:val="78031D5B"/>
    <w:rsid w:val="781F1403"/>
    <w:rsid w:val="783D16A1"/>
    <w:rsid w:val="78452407"/>
    <w:rsid w:val="7849515C"/>
    <w:rsid w:val="784A1D68"/>
    <w:rsid w:val="786443A8"/>
    <w:rsid w:val="78BB4A14"/>
    <w:rsid w:val="78C11590"/>
    <w:rsid w:val="78D55EF3"/>
    <w:rsid w:val="78D930EC"/>
    <w:rsid w:val="78E0235F"/>
    <w:rsid w:val="79013E72"/>
    <w:rsid w:val="79065229"/>
    <w:rsid w:val="791F0EA3"/>
    <w:rsid w:val="793F3897"/>
    <w:rsid w:val="79541EBA"/>
    <w:rsid w:val="79607586"/>
    <w:rsid w:val="796230E1"/>
    <w:rsid w:val="79647F07"/>
    <w:rsid w:val="7967694A"/>
    <w:rsid w:val="79706465"/>
    <w:rsid w:val="79791F2A"/>
    <w:rsid w:val="79892D64"/>
    <w:rsid w:val="798A71AE"/>
    <w:rsid w:val="798D65EB"/>
    <w:rsid w:val="79984D5D"/>
    <w:rsid w:val="799C15C8"/>
    <w:rsid w:val="79AD76D8"/>
    <w:rsid w:val="79B606B0"/>
    <w:rsid w:val="79C659F5"/>
    <w:rsid w:val="79C97604"/>
    <w:rsid w:val="79D0078B"/>
    <w:rsid w:val="7A014471"/>
    <w:rsid w:val="7A0A4820"/>
    <w:rsid w:val="7A1B425B"/>
    <w:rsid w:val="7A2D203D"/>
    <w:rsid w:val="7A515E1A"/>
    <w:rsid w:val="7A5C2227"/>
    <w:rsid w:val="7A774A88"/>
    <w:rsid w:val="7A777060"/>
    <w:rsid w:val="7A7E1855"/>
    <w:rsid w:val="7AA5597C"/>
    <w:rsid w:val="7AA933D2"/>
    <w:rsid w:val="7AAB5F67"/>
    <w:rsid w:val="7AC73B44"/>
    <w:rsid w:val="7ADA324A"/>
    <w:rsid w:val="7B0C28AB"/>
    <w:rsid w:val="7B4C5DF7"/>
    <w:rsid w:val="7B4F6582"/>
    <w:rsid w:val="7B5353D8"/>
    <w:rsid w:val="7B605063"/>
    <w:rsid w:val="7B6475E5"/>
    <w:rsid w:val="7B98490E"/>
    <w:rsid w:val="7BAF7C26"/>
    <w:rsid w:val="7BB85FBA"/>
    <w:rsid w:val="7BDA49D0"/>
    <w:rsid w:val="7BDD6CA1"/>
    <w:rsid w:val="7BE40725"/>
    <w:rsid w:val="7BE40F12"/>
    <w:rsid w:val="7BEE62DE"/>
    <w:rsid w:val="7C1C46E3"/>
    <w:rsid w:val="7C254E76"/>
    <w:rsid w:val="7C7E1A3F"/>
    <w:rsid w:val="7C9077AB"/>
    <w:rsid w:val="7CA51C63"/>
    <w:rsid w:val="7CCF4F32"/>
    <w:rsid w:val="7D02665D"/>
    <w:rsid w:val="7D0836B3"/>
    <w:rsid w:val="7D230DDA"/>
    <w:rsid w:val="7D2F6AD3"/>
    <w:rsid w:val="7D3D00ED"/>
    <w:rsid w:val="7D792980"/>
    <w:rsid w:val="7D7F24B4"/>
    <w:rsid w:val="7D807FDA"/>
    <w:rsid w:val="7D850DD9"/>
    <w:rsid w:val="7D93218B"/>
    <w:rsid w:val="7DA10BFA"/>
    <w:rsid w:val="7DA34981"/>
    <w:rsid w:val="7DAC525E"/>
    <w:rsid w:val="7DAF4956"/>
    <w:rsid w:val="7DB0769A"/>
    <w:rsid w:val="7DB11A90"/>
    <w:rsid w:val="7DBA1D35"/>
    <w:rsid w:val="7DBC0DA1"/>
    <w:rsid w:val="7DCE343B"/>
    <w:rsid w:val="7DD50326"/>
    <w:rsid w:val="7DE75FE2"/>
    <w:rsid w:val="7DE81CDA"/>
    <w:rsid w:val="7DEB49CB"/>
    <w:rsid w:val="7E0429B9"/>
    <w:rsid w:val="7E0658CC"/>
    <w:rsid w:val="7E0721C6"/>
    <w:rsid w:val="7E161957"/>
    <w:rsid w:val="7E1F0DC1"/>
    <w:rsid w:val="7E582D05"/>
    <w:rsid w:val="7E622347"/>
    <w:rsid w:val="7E97382D"/>
    <w:rsid w:val="7E9E58E2"/>
    <w:rsid w:val="7EAD27E3"/>
    <w:rsid w:val="7EB21605"/>
    <w:rsid w:val="7EBA34E2"/>
    <w:rsid w:val="7EF02F3D"/>
    <w:rsid w:val="7F166E48"/>
    <w:rsid w:val="7F3E1EFB"/>
    <w:rsid w:val="7F3E6456"/>
    <w:rsid w:val="7F453DC2"/>
    <w:rsid w:val="7F4734A5"/>
    <w:rsid w:val="7F474042"/>
    <w:rsid w:val="7F686F78"/>
    <w:rsid w:val="7F73558C"/>
    <w:rsid w:val="7F8525F4"/>
    <w:rsid w:val="7F8908F3"/>
    <w:rsid w:val="7F9D431D"/>
    <w:rsid w:val="7FB4328F"/>
    <w:rsid w:val="7FC0384B"/>
    <w:rsid w:val="7FCE7723"/>
    <w:rsid w:val="7FD21A0D"/>
    <w:rsid w:val="7FEB494A"/>
    <w:rsid w:val="7FEC762E"/>
    <w:rsid w:val="7FFE08C6"/>
    <w:rsid w:val="7FFE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0"/>
    <w:autoRedefine/>
    <w:qFormat/>
    <w:uiPriority w:val="0"/>
    <w:pPr>
      <w:keepNext/>
      <w:jc w:val="center"/>
      <w:outlineLvl w:val="0"/>
    </w:pPr>
    <w:rPr>
      <w:sz w:val="28"/>
    </w:rPr>
  </w:style>
  <w:style w:type="paragraph" w:styleId="3">
    <w:name w:val="heading 2"/>
    <w:basedOn w:val="1"/>
    <w:next w:val="1"/>
    <w:link w:val="134"/>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142"/>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17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5"/>
    <w:link w:val="124"/>
    <w:autoRedefine/>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8">
    <w:name w:val="heading 7"/>
    <w:basedOn w:val="1"/>
    <w:next w:val="5"/>
    <w:link w:val="130"/>
    <w:autoRedefine/>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9">
    <w:name w:val="heading 8"/>
    <w:basedOn w:val="1"/>
    <w:next w:val="5"/>
    <w:link w:val="148"/>
    <w:autoRedefine/>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0">
    <w:name w:val="heading 9"/>
    <w:basedOn w:val="1"/>
    <w:next w:val="5"/>
    <w:link w:val="127"/>
    <w:autoRedefine/>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66"/>
    <w:autoRedefine/>
    <w:qFormat/>
    <w:uiPriority w:val="0"/>
    <w:pPr>
      <w:ind w:firstLine="420" w:firstLineChars="200"/>
    </w:pPr>
  </w:style>
  <w:style w:type="paragraph" w:styleId="11">
    <w:name w:val="Document Map"/>
    <w:basedOn w:val="1"/>
    <w:link w:val="143"/>
    <w:autoRedefine/>
    <w:qFormat/>
    <w:uiPriority w:val="0"/>
    <w:pPr>
      <w:shd w:val="clear" w:color="auto" w:fill="000080"/>
    </w:pPr>
  </w:style>
  <w:style w:type="paragraph" w:styleId="12">
    <w:name w:val="toa heading"/>
    <w:basedOn w:val="1"/>
    <w:next w:val="1"/>
    <w:autoRedefine/>
    <w:qFormat/>
    <w:uiPriority w:val="0"/>
    <w:pPr>
      <w:spacing w:before="120"/>
    </w:pPr>
    <w:rPr>
      <w:rFonts w:ascii="Arial" w:hAnsi="Arial" w:cs="Arial"/>
      <w:sz w:val="24"/>
    </w:rPr>
  </w:style>
  <w:style w:type="paragraph" w:styleId="13">
    <w:name w:val="annotation text"/>
    <w:basedOn w:val="1"/>
    <w:link w:val="147"/>
    <w:autoRedefine/>
    <w:qFormat/>
    <w:uiPriority w:val="0"/>
    <w:pPr>
      <w:jc w:val="left"/>
    </w:pPr>
  </w:style>
  <w:style w:type="paragraph" w:styleId="14">
    <w:name w:val="Body Text"/>
    <w:basedOn w:val="1"/>
    <w:next w:val="15"/>
    <w:link w:val="173"/>
    <w:autoRedefine/>
    <w:qFormat/>
    <w:uiPriority w:val="99"/>
  </w:style>
  <w:style w:type="paragraph" w:styleId="15">
    <w:name w:val="Body Text First Indent"/>
    <w:basedOn w:val="14"/>
    <w:next w:val="16"/>
    <w:autoRedefine/>
    <w:qFormat/>
    <w:uiPriority w:val="99"/>
    <w:pPr>
      <w:autoSpaceDE w:val="0"/>
      <w:autoSpaceDN w:val="0"/>
      <w:adjustRightInd w:val="0"/>
      <w:ind w:firstLine="420" w:firstLineChars="100"/>
      <w:jc w:val="left"/>
    </w:pPr>
    <w:rPr>
      <w:kern w:val="0"/>
      <w:sz w:val="20"/>
      <w:szCs w:val="20"/>
    </w:rPr>
  </w:style>
  <w:style w:type="paragraph" w:styleId="16">
    <w:name w:val="toc 6"/>
    <w:basedOn w:val="1"/>
    <w:next w:val="1"/>
    <w:autoRedefine/>
    <w:qFormat/>
    <w:uiPriority w:val="0"/>
    <w:pPr>
      <w:ind w:left="2100"/>
    </w:pPr>
    <w:rPr>
      <w:szCs w:val="20"/>
    </w:rPr>
  </w:style>
  <w:style w:type="paragraph" w:styleId="17">
    <w:name w:val="Body Text Indent"/>
    <w:basedOn w:val="1"/>
    <w:next w:val="1"/>
    <w:link w:val="153"/>
    <w:autoRedefine/>
    <w:qFormat/>
    <w:uiPriority w:val="0"/>
    <w:pPr>
      <w:spacing w:after="120"/>
      <w:ind w:left="420" w:leftChars="200"/>
    </w:pPr>
  </w:style>
  <w:style w:type="paragraph" w:styleId="18">
    <w:name w:val="Block Text"/>
    <w:basedOn w:val="1"/>
    <w:autoRedefine/>
    <w:unhideWhenUsed/>
    <w:qFormat/>
    <w:uiPriority w:val="99"/>
    <w:pPr>
      <w:spacing w:beforeLines="50" w:afterLines="50"/>
      <w:ind w:left="426" w:right="-11" w:hanging="426" w:hangingChars="203"/>
    </w:pPr>
    <w:rPr>
      <w:rFonts w:eastAsia="楷体_GB2312"/>
    </w:rPr>
  </w:style>
  <w:style w:type="paragraph" w:styleId="19">
    <w:name w:val="toc 5"/>
    <w:basedOn w:val="1"/>
    <w:next w:val="1"/>
    <w:autoRedefine/>
    <w:semiHidden/>
    <w:qFormat/>
    <w:uiPriority w:val="0"/>
    <w:pPr>
      <w:spacing w:line="280" w:lineRule="exact"/>
      <w:jc w:val="right"/>
    </w:pPr>
  </w:style>
  <w:style w:type="paragraph" w:styleId="20">
    <w:name w:val="Plain Text"/>
    <w:basedOn w:val="1"/>
    <w:next w:val="21"/>
    <w:link w:val="144"/>
    <w:autoRedefine/>
    <w:qFormat/>
    <w:uiPriority w:val="0"/>
    <w:rPr>
      <w:rFonts w:ascii="宋体" w:hAnsi="Courier New"/>
      <w:szCs w:val="21"/>
    </w:rPr>
  </w:style>
  <w:style w:type="paragraph" w:styleId="21">
    <w:name w:val="toc 2"/>
    <w:basedOn w:val="1"/>
    <w:next w:val="1"/>
    <w:autoRedefine/>
    <w:qFormat/>
    <w:uiPriority w:val="0"/>
    <w:pPr>
      <w:ind w:left="210"/>
      <w:jc w:val="left"/>
    </w:pPr>
    <w:rPr>
      <w:rFonts w:ascii="Calibri" w:hAnsi="Calibri" w:cs="Calibri"/>
      <w:smallCaps/>
      <w:sz w:val="20"/>
    </w:rPr>
  </w:style>
  <w:style w:type="paragraph" w:styleId="22">
    <w:name w:val="Date"/>
    <w:basedOn w:val="1"/>
    <w:next w:val="1"/>
    <w:link w:val="121"/>
    <w:autoRedefine/>
    <w:qFormat/>
    <w:uiPriority w:val="0"/>
    <w:pPr>
      <w:ind w:left="100" w:leftChars="2500"/>
    </w:pPr>
    <w:rPr>
      <w:color w:val="000000"/>
      <w:sz w:val="24"/>
    </w:rPr>
  </w:style>
  <w:style w:type="paragraph" w:styleId="23">
    <w:name w:val="Body Text Indent 2"/>
    <w:basedOn w:val="1"/>
    <w:next w:val="24"/>
    <w:link w:val="140"/>
    <w:autoRedefine/>
    <w:qFormat/>
    <w:uiPriority w:val="99"/>
    <w:pPr>
      <w:widowControl/>
      <w:spacing w:line="480" w:lineRule="atLeast"/>
      <w:ind w:firstLine="480"/>
    </w:pPr>
  </w:style>
  <w:style w:type="paragraph" w:styleId="24">
    <w:name w:val="index 9"/>
    <w:basedOn w:val="1"/>
    <w:next w:val="1"/>
    <w:autoRedefine/>
    <w:qFormat/>
    <w:uiPriority w:val="0"/>
    <w:pPr>
      <w:ind w:left="1600" w:firstLine="3584"/>
    </w:pPr>
  </w:style>
  <w:style w:type="paragraph" w:styleId="25">
    <w:name w:val="Balloon Text"/>
    <w:basedOn w:val="1"/>
    <w:link w:val="122"/>
    <w:autoRedefine/>
    <w:qFormat/>
    <w:uiPriority w:val="0"/>
    <w:rPr>
      <w:sz w:val="18"/>
      <w:szCs w:val="18"/>
    </w:rPr>
  </w:style>
  <w:style w:type="paragraph" w:styleId="26">
    <w:name w:val="footer"/>
    <w:basedOn w:val="1"/>
    <w:link w:val="146"/>
    <w:autoRedefine/>
    <w:unhideWhenUsed/>
    <w:qFormat/>
    <w:uiPriority w:val="99"/>
    <w:pPr>
      <w:tabs>
        <w:tab w:val="center" w:pos="4153"/>
        <w:tab w:val="right" w:pos="8306"/>
      </w:tabs>
      <w:snapToGrid w:val="0"/>
      <w:jc w:val="left"/>
    </w:pPr>
    <w:rPr>
      <w:sz w:val="18"/>
      <w:szCs w:val="18"/>
    </w:rPr>
  </w:style>
  <w:style w:type="paragraph" w:styleId="27">
    <w:name w:val="header"/>
    <w:basedOn w:val="1"/>
    <w:link w:val="1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List"/>
    <w:basedOn w:val="1"/>
    <w:autoRedefine/>
    <w:qFormat/>
    <w:uiPriority w:val="0"/>
    <w:pPr>
      <w:ind w:left="200" w:hanging="200" w:hangingChars="200"/>
    </w:pPr>
    <w:rPr>
      <w:sz w:val="28"/>
    </w:rPr>
  </w:style>
  <w:style w:type="paragraph" w:styleId="29">
    <w:name w:val="Body Text Indent 3"/>
    <w:basedOn w:val="1"/>
    <w:link w:val="155"/>
    <w:autoRedefine/>
    <w:qFormat/>
    <w:uiPriority w:val="99"/>
    <w:pPr>
      <w:autoSpaceDE w:val="0"/>
      <w:autoSpaceDN w:val="0"/>
      <w:spacing w:line="400" w:lineRule="atLeast"/>
      <w:ind w:firstLine="443" w:firstLineChars="200"/>
      <w:textAlignment w:val="bottom"/>
    </w:pPr>
    <w:rPr>
      <w:sz w:val="16"/>
      <w:szCs w:val="16"/>
    </w:rPr>
  </w:style>
  <w:style w:type="paragraph" w:styleId="30">
    <w:name w:val="Body Text 2"/>
    <w:basedOn w:val="1"/>
    <w:link w:val="159"/>
    <w:autoRedefine/>
    <w:qFormat/>
    <w:uiPriority w:val="0"/>
    <w:pPr>
      <w:spacing w:after="120" w:line="480" w:lineRule="auto"/>
    </w:pPr>
  </w:style>
  <w:style w:type="paragraph" w:styleId="31">
    <w:name w:val="HTML Preformatted"/>
    <w:basedOn w:val="1"/>
    <w:link w:val="12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styleId="33">
    <w:name w:val="Title"/>
    <w:basedOn w:val="1"/>
    <w:next w:val="1"/>
    <w:link w:val="138"/>
    <w:autoRedefine/>
    <w:qFormat/>
    <w:uiPriority w:val="0"/>
    <w:pPr>
      <w:spacing w:before="240" w:after="60"/>
      <w:jc w:val="center"/>
      <w:outlineLvl w:val="0"/>
    </w:pPr>
    <w:rPr>
      <w:rFonts w:ascii="Arial" w:hAnsi="Arial"/>
      <w:sz w:val="32"/>
      <w:szCs w:val="32"/>
    </w:rPr>
  </w:style>
  <w:style w:type="paragraph" w:styleId="34">
    <w:name w:val="annotation subject"/>
    <w:basedOn w:val="13"/>
    <w:next w:val="13"/>
    <w:link w:val="160"/>
    <w:autoRedefine/>
    <w:qFormat/>
    <w:uiPriority w:val="0"/>
    <w:rPr>
      <w:b/>
      <w:bCs/>
    </w:rPr>
  </w:style>
  <w:style w:type="paragraph" w:styleId="35">
    <w:name w:val="Body Text First Indent 2"/>
    <w:basedOn w:val="17"/>
    <w:next w:val="23"/>
    <w:autoRedefine/>
    <w:qFormat/>
    <w:uiPriority w:val="0"/>
    <w:pPr>
      <w:ind w:firstLine="420" w:firstLineChars="200"/>
    </w:pPr>
  </w:style>
  <w:style w:type="table" w:styleId="37">
    <w:name w:val="Table Grid"/>
    <w:basedOn w:val="3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autoRedefine/>
    <w:qFormat/>
    <w:uiPriority w:val="22"/>
    <w:rPr>
      <w:b/>
      <w:bCs/>
    </w:rPr>
  </w:style>
  <w:style w:type="character" w:styleId="40">
    <w:name w:val="page number"/>
    <w:basedOn w:val="38"/>
    <w:autoRedefine/>
    <w:qFormat/>
    <w:uiPriority w:val="0"/>
  </w:style>
  <w:style w:type="character" w:styleId="41">
    <w:name w:val="FollowedHyperlink"/>
    <w:basedOn w:val="38"/>
    <w:autoRedefine/>
    <w:qFormat/>
    <w:uiPriority w:val="0"/>
    <w:rPr>
      <w:color w:val="333333"/>
      <w:u w:val="none"/>
    </w:rPr>
  </w:style>
  <w:style w:type="character" w:styleId="42">
    <w:name w:val="Emphasis"/>
    <w:autoRedefine/>
    <w:qFormat/>
    <w:uiPriority w:val="0"/>
    <w:rPr>
      <w:i/>
      <w:iCs/>
    </w:rPr>
  </w:style>
  <w:style w:type="character" w:styleId="43">
    <w:name w:val="Hyperlink"/>
    <w:basedOn w:val="38"/>
    <w:autoRedefine/>
    <w:qFormat/>
    <w:uiPriority w:val="0"/>
    <w:rPr>
      <w:color w:val="333333"/>
      <w:u w:val="none"/>
    </w:rPr>
  </w:style>
  <w:style w:type="character" w:styleId="44">
    <w:name w:val="annotation reference"/>
    <w:autoRedefine/>
    <w:qFormat/>
    <w:uiPriority w:val="0"/>
    <w:rPr>
      <w:sz w:val="21"/>
      <w:szCs w:val="21"/>
    </w:rPr>
  </w:style>
  <w:style w:type="paragraph" w:customStyle="1" w:styleId="45">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lang w:val="en-US" w:eastAsia="zh-CN" w:bidi="ar-SA"/>
    </w:rPr>
  </w:style>
  <w:style w:type="paragraph" w:customStyle="1" w:styleId="46">
    <w:name w:val="正文首行缩进 21"/>
    <w:basedOn w:val="47"/>
    <w:autoRedefine/>
    <w:qFormat/>
    <w:uiPriority w:val="0"/>
    <w:pPr>
      <w:ind w:firstLine="420"/>
    </w:pPr>
  </w:style>
  <w:style w:type="paragraph" w:customStyle="1" w:styleId="47">
    <w:name w:val="Body Text Indent1"/>
    <w:basedOn w:val="1"/>
    <w:next w:val="1"/>
    <w:autoRedefine/>
    <w:qFormat/>
    <w:uiPriority w:val="0"/>
    <w:pPr>
      <w:spacing w:after="120"/>
      <w:ind w:left="420" w:leftChars="200"/>
    </w:pPr>
    <w:rPr>
      <w:color w:val="000000"/>
      <w:szCs w:val="21"/>
    </w:rPr>
  </w:style>
  <w:style w:type="paragraph" w:customStyle="1" w:styleId="48">
    <w:name w:val="章正文"/>
    <w:basedOn w:val="1"/>
    <w:autoRedefine/>
    <w:qFormat/>
    <w:uiPriority w:val="0"/>
    <w:pPr>
      <w:spacing w:before="156" w:beforeLines="50" w:after="120" w:line="300" w:lineRule="auto"/>
      <w:ind w:firstLine="480"/>
    </w:pPr>
    <w:rPr>
      <w:rFonts w:ascii="Helvetica" w:hAnsi="Helvetica"/>
      <w:kern w:val="0"/>
      <w:sz w:val="24"/>
    </w:rPr>
  </w:style>
  <w:style w:type="paragraph" w:customStyle="1" w:styleId="49">
    <w:name w:val="表格文字"/>
    <w:basedOn w:val="50"/>
    <w:next w:val="14"/>
    <w:autoRedefine/>
    <w:qFormat/>
    <w:uiPriority w:val="0"/>
    <w:pPr>
      <w:jc w:val="left"/>
      <w:textAlignment w:val="top"/>
    </w:pPr>
    <w:rPr>
      <w:sz w:val="18"/>
    </w:rPr>
  </w:style>
  <w:style w:type="paragraph" w:customStyle="1" w:styleId="50">
    <w:name w:val="表格文字（两侧对齐）"/>
    <w:basedOn w:val="1"/>
    <w:autoRedefine/>
    <w:qFormat/>
    <w:uiPriority w:val="0"/>
    <w:pPr>
      <w:snapToGrid w:val="0"/>
    </w:pPr>
    <w:rPr>
      <w:sz w:val="20"/>
      <w:szCs w:val="20"/>
    </w:rPr>
  </w:style>
  <w:style w:type="paragraph" w:customStyle="1" w:styleId="51">
    <w:name w:val="Char Char1"/>
    <w:basedOn w:val="1"/>
    <w:autoRedefine/>
    <w:qFormat/>
    <w:uiPriority w:val="0"/>
  </w:style>
  <w:style w:type="paragraph" w:customStyle="1" w:styleId="52">
    <w:name w:val="Char Char Char Char Char Char Char Char Char Char Char Char Char"/>
    <w:basedOn w:val="1"/>
    <w:autoRedefine/>
    <w:qFormat/>
    <w:uiPriority w:val="0"/>
    <w:rPr>
      <w:rFonts w:ascii="Tahoma" w:hAnsi="Tahoma"/>
      <w:sz w:val="24"/>
      <w:szCs w:val="20"/>
    </w:rPr>
  </w:style>
  <w:style w:type="paragraph" w:customStyle="1" w:styleId="53">
    <w:name w:val="xl141"/>
    <w:basedOn w:val="1"/>
    <w:autoRedefine/>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6">
    <w:name w:val="_Style 9"/>
    <w:basedOn w:val="1"/>
    <w:autoRedefine/>
    <w:qFormat/>
    <w:uiPriority w:val="0"/>
  </w:style>
  <w:style w:type="paragraph" w:customStyle="1" w:styleId="57">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8">
    <w:name w:val="正文－恩普"/>
    <w:basedOn w:val="5"/>
    <w:autoRedefine/>
    <w:qFormat/>
    <w:uiPriority w:val="0"/>
    <w:pPr>
      <w:spacing w:line="360" w:lineRule="auto"/>
      <w:ind w:firstLine="200"/>
    </w:pPr>
  </w:style>
  <w:style w:type="paragraph" w:customStyle="1" w:styleId="59">
    <w:name w:val="xl12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0">
    <w:name w:val="样式 正文首行缩进 + 首行缩进:  1 字符"/>
    <w:basedOn w:val="1"/>
    <w:next w:val="61"/>
    <w:autoRedefine/>
    <w:qFormat/>
    <w:uiPriority w:val="0"/>
    <w:pPr>
      <w:spacing w:line="360" w:lineRule="auto"/>
      <w:ind w:firstLine="200" w:firstLineChars="200"/>
    </w:pPr>
    <w:rPr>
      <w:rFonts w:cs="宋体"/>
      <w:sz w:val="24"/>
      <w:szCs w:val="20"/>
    </w:rPr>
  </w:style>
  <w:style w:type="paragraph" w:customStyle="1" w:styleId="61">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2">
    <w:name w:val="金保首页2"/>
    <w:basedOn w:val="1"/>
    <w:next w:val="1"/>
    <w:autoRedefine/>
    <w:qFormat/>
    <w:uiPriority w:val="0"/>
    <w:pPr>
      <w:jc w:val="center"/>
    </w:pPr>
    <w:rPr>
      <w:rFonts w:ascii="Tahoma" w:hAnsi="Tahoma" w:eastAsia="黑体"/>
      <w:b/>
      <w:bCs/>
      <w:sz w:val="72"/>
      <w:szCs w:val="72"/>
    </w:rPr>
  </w:style>
  <w:style w:type="paragraph" w:customStyle="1" w:styleId="63">
    <w:name w:val="Body Text(ch)"/>
    <w:basedOn w:val="1"/>
    <w:next w:val="14"/>
    <w:autoRedefine/>
    <w:qFormat/>
    <w:uiPriority w:val="0"/>
    <w:pPr>
      <w:spacing w:line="500" w:lineRule="exact"/>
      <w:jc w:val="center"/>
    </w:pPr>
  </w:style>
  <w:style w:type="paragraph" w:customStyle="1" w:styleId="64">
    <w:name w:val="Char1 Char Char Char"/>
    <w:basedOn w:val="1"/>
    <w:autoRedefine/>
    <w:qFormat/>
    <w:uiPriority w:val="0"/>
    <w:rPr>
      <w:rFonts w:ascii="Tahoma" w:hAnsi="Tahoma"/>
      <w:sz w:val="24"/>
      <w:szCs w:val="20"/>
    </w:rPr>
  </w:style>
  <w:style w:type="paragraph" w:customStyle="1" w:styleId="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Char Char Char Char Char Char Char Char Char1 Char"/>
    <w:basedOn w:val="1"/>
    <w:autoRedefine/>
    <w:qFormat/>
    <w:uiPriority w:val="0"/>
    <w:rPr>
      <w:rFonts w:ascii="仿宋_GB2312" w:eastAsia="仿宋_GB2312"/>
      <w:b/>
      <w:sz w:val="32"/>
      <w:szCs w:val="32"/>
    </w:rPr>
  </w:style>
  <w:style w:type="paragraph" w:customStyle="1" w:styleId="67">
    <w:name w:val="表格标题"/>
    <w:basedOn w:val="1"/>
    <w:autoRedefine/>
    <w:qFormat/>
    <w:uiPriority w:val="0"/>
    <w:pPr>
      <w:jc w:val="center"/>
    </w:pPr>
    <w:rPr>
      <w:b/>
    </w:rPr>
  </w:style>
  <w:style w:type="paragraph" w:customStyle="1" w:styleId="6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p0"/>
    <w:basedOn w:val="1"/>
    <w:autoRedefine/>
    <w:qFormat/>
    <w:uiPriority w:val="0"/>
    <w:pPr>
      <w:widowControl/>
    </w:pPr>
    <w:rPr>
      <w:kern w:val="0"/>
      <w:szCs w:val="21"/>
    </w:rPr>
  </w:style>
  <w:style w:type="paragraph" w:customStyle="1" w:styleId="70">
    <w:name w:val="金保标题1"/>
    <w:basedOn w:val="2"/>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4">
    <w:name w:val="Char1 Char Char Char1"/>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5">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
    <w:name w:val="xl143"/>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78">
    <w:name w:val="列表段落1"/>
    <w:basedOn w:val="1"/>
    <w:link w:val="181"/>
    <w:autoRedefine/>
    <w:qFormat/>
    <w:uiPriority w:val="34"/>
    <w:pPr>
      <w:ind w:firstLine="420" w:firstLineChars="200"/>
    </w:pPr>
    <w:rPr>
      <w:rFonts w:ascii="Calibri" w:hAnsi="Calibri"/>
      <w:szCs w:val="22"/>
    </w:rPr>
  </w:style>
  <w:style w:type="paragraph" w:customStyle="1" w:styleId="79">
    <w:name w:val="xl124"/>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80">
    <w:name w:val="xl123"/>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1">
    <w:name w:val="Char1 Char Char Char Char Char Char"/>
    <w:basedOn w:val="1"/>
    <w:autoRedefine/>
    <w:qFormat/>
    <w:uiPriority w:val="0"/>
    <w:rPr>
      <w:rFonts w:ascii="Tahoma" w:hAnsi="Tahoma"/>
      <w:sz w:val="24"/>
      <w:szCs w:val="20"/>
    </w:rPr>
  </w:style>
  <w:style w:type="paragraph" w:customStyle="1" w:styleId="82">
    <w:name w:val="Char Char Char"/>
    <w:basedOn w:val="1"/>
    <w:autoRedefine/>
    <w:qFormat/>
    <w:uiPriority w:val="0"/>
  </w:style>
  <w:style w:type="paragraph" w:customStyle="1" w:styleId="8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
    <w:name w:val="小点说明"/>
    <w:basedOn w:val="1"/>
    <w:autoRedefine/>
    <w:qFormat/>
    <w:uiPriority w:val="0"/>
    <w:pPr>
      <w:adjustRightInd w:val="0"/>
      <w:snapToGrid w:val="0"/>
    </w:pPr>
    <w:rPr>
      <w:rFonts w:ascii="仿宋_GB2312" w:eastAsia="仿宋_GB2312"/>
      <w:color w:val="000000"/>
      <w:szCs w:val="18"/>
    </w:rPr>
  </w:style>
  <w:style w:type="paragraph" w:customStyle="1" w:styleId="85">
    <w:name w:val="xl13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
    <w:name w:val="说正文文字"/>
    <w:basedOn w:val="14"/>
    <w:autoRedefine/>
    <w:qFormat/>
    <w:uiPriority w:val="0"/>
    <w:pPr>
      <w:widowControl/>
      <w:spacing w:line="360" w:lineRule="auto"/>
      <w:ind w:left="320" w:leftChars="200" w:firstLine="460" w:firstLineChars="200"/>
    </w:pPr>
    <w:rPr>
      <w:rFonts w:ascii="宋体" w:hAnsi="宋体"/>
      <w:bCs/>
      <w:spacing w:val="-5"/>
      <w:kern w:val="0"/>
    </w:rPr>
  </w:style>
  <w:style w:type="paragraph" w:customStyle="1" w:styleId="87">
    <w:name w:val="金保标题2"/>
    <w:basedOn w:val="3"/>
    <w:next w:val="1"/>
    <w:link w:val="156"/>
    <w:autoRedefine/>
    <w:qFormat/>
    <w:uiPriority w:val="0"/>
    <w:pPr>
      <w:tabs>
        <w:tab w:val="left" w:pos="576"/>
      </w:tabs>
      <w:spacing w:line="360" w:lineRule="auto"/>
      <w:ind w:left="576" w:hanging="576"/>
    </w:pPr>
    <w:rPr>
      <w:rFonts w:ascii="Times New Roman" w:hAnsi="Times New Roman"/>
      <w:sz w:val="28"/>
      <w:szCs w:val="28"/>
    </w:rPr>
  </w:style>
  <w:style w:type="paragraph" w:customStyle="1" w:styleId="88">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89">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1">
    <w:name w:val="SANGFOR_6_正文"/>
    <w:basedOn w:val="1"/>
    <w:autoRedefine/>
    <w:qFormat/>
    <w:uiPriority w:val="0"/>
    <w:pPr>
      <w:spacing w:line="360" w:lineRule="auto"/>
      <w:ind w:firstLine="200" w:firstLineChars="200"/>
    </w:pPr>
  </w:style>
  <w:style w:type="paragraph" w:customStyle="1" w:styleId="92">
    <w:name w:val="Char Char Char Char1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xl137"/>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4">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5">
    <w:name w:val="Char Char1 Char Char Char Char Char Char"/>
    <w:basedOn w:val="1"/>
    <w:autoRedefine/>
    <w:qFormat/>
    <w:uiPriority w:val="0"/>
    <w:pPr>
      <w:widowControl/>
      <w:jc w:val="left"/>
    </w:pPr>
    <w:rPr>
      <w:rFonts w:ascii="Verdana" w:hAnsi="Verdana" w:eastAsia="仿宋_GB2312"/>
      <w:kern w:val="0"/>
      <w:sz w:val="28"/>
      <w:szCs w:val="20"/>
      <w:lang w:eastAsia="en-US"/>
    </w:rPr>
  </w:style>
  <w:style w:type="paragraph" w:customStyle="1" w:styleId="9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7">
    <w:name w:val="Char Char5 Char"/>
    <w:basedOn w:val="11"/>
    <w:autoRedefine/>
    <w:qFormat/>
    <w:uiPriority w:val="0"/>
    <w:rPr>
      <w:rFonts w:ascii="Tahoma" w:hAnsi="Tahoma"/>
      <w:sz w:val="24"/>
    </w:rPr>
  </w:style>
  <w:style w:type="paragraph" w:customStyle="1" w:styleId="98">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00">
    <w:name w:val="_Style 23"/>
    <w:basedOn w:val="1"/>
    <w:autoRedefine/>
    <w:qFormat/>
    <w:uiPriority w:val="0"/>
  </w:style>
  <w:style w:type="paragraph" w:customStyle="1" w:styleId="101">
    <w:name w:val="xl142"/>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102">
    <w:name w:val="Char Char Char Char Char Char Char"/>
    <w:basedOn w:val="1"/>
    <w:autoRedefine/>
    <w:qFormat/>
    <w:uiPriority w:val="0"/>
    <w:rPr>
      <w:rFonts w:ascii="仿宋_GB2312" w:eastAsia="仿宋_GB2312"/>
      <w:b/>
      <w:sz w:val="32"/>
      <w:szCs w:val="32"/>
    </w:rPr>
  </w:style>
  <w:style w:type="paragraph" w:customStyle="1" w:styleId="103">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4">
    <w:name w:val="Char Char"/>
    <w:basedOn w:val="1"/>
    <w:autoRedefine/>
    <w:qFormat/>
    <w:uiPriority w:val="0"/>
    <w:rPr>
      <w:rFonts w:ascii="仿宋_GB2312" w:eastAsia="仿宋_GB2312"/>
      <w:b/>
      <w:sz w:val="32"/>
      <w:szCs w:val="32"/>
    </w:rPr>
  </w:style>
  <w:style w:type="paragraph" w:customStyle="1" w:styleId="10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mod_selection1"/>
    <w:basedOn w:val="1"/>
    <w:autoRedefine/>
    <w:qFormat/>
    <w:uiPriority w:val="0"/>
    <w:pPr>
      <w:widowControl/>
      <w:ind w:left="75"/>
      <w:jc w:val="left"/>
    </w:pPr>
    <w:rPr>
      <w:rFonts w:ascii="Arial" w:hAnsi="Arial" w:cs="Arial"/>
      <w:b/>
      <w:bCs/>
      <w:kern w:val="0"/>
      <w:sz w:val="20"/>
      <w:szCs w:val="20"/>
    </w:rPr>
  </w:style>
  <w:style w:type="paragraph" w:customStyle="1" w:styleId="107">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8">
    <w:name w:val="Table Text"/>
    <w:basedOn w:val="1"/>
    <w:autoRedefine/>
    <w:qFormat/>
    <w:uiPriority w:val="0"/>
    <w:rPr>
      <w:sz w:val="18"/>
    </w:rPr>
  </w:style>
  <w:style w:type="paragraph" w:customStyle="1" w:styleId="109">
    <w:name w:val="Char11"/>
    <w:basedOn w:val="1"/>
    <w:autoRedefine/>
    <w:qFormat/>
    <w:uiPriority w:val="0"/>
    <w:rPr>
      <w:rFonts w:ascii="仿宋_GB2312" w:eastAsia="仿宋_GB2312"/>
      <w:b/>
      <w:sz w:val="32"/>
      <w:szCs w:val="32"/>
    </w:rPr>
  </w:style>
  <w:style w:type="paragraph" w:customStyle="1" w:styleId="110">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
    <w:name w:val="Table Text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112">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3">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4">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
    <w:name w:val="Char Char9"/>
    <w:basedOn w:val="1"/>
    <w:autoRedefine/>
    <w:qFormat/>
    <w:uiPriority w:val="0"/>
    <w:rPr>
      <w:rFonts w:ascii="宋体" w:hAnsi="宋体" w:cs="宋体"/>
      <w:b/>
      <w:bCs/>
      <w:color w:val="000000"/>
      <w:sz w:val="22"/>
      <w:szCs w:val="22"/>
    </w:rPr>
  </w:style>
  <w:style w:type="paragraph" w:customStyle="1" w:styleId="116">
    <w:name w:val="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17">
    <w:name w:val="表内文字"/>
    <w:basedOn w:val="1"/>
    <w:autoRedefine/>
    <w:qFormat/>
    <w:uiPriority w:val="0"/>
    <w:pPr>
      <w:spacing w:line="500" w:lineRule="atLeast"/>
      <w:jc w:val="center"/>
    </w:pPr>
    <w:rPr>
      <w:rFonts w:ascii="Arial" w:hAnsi="Arial" w:eastAsia="楷体_GB2312" w:cs="Arial"/>
      <w:sz w:val="28"/>
    </w:rPr>
  </w:style>
  <w:style w:type="paragraph" w:customStyle="1" w:styleId="118">
    <w:name w:val="Char2"/>
    <w:basedOn w:val="1"/>
    <w:autoRedefine/>
    <w:qFormat/>
    <w:uiPriority w:val="0"/>
    <w:rPr>
      <w:rFonts w:ascii="仿宋_GB2312" w:eastAsia="仿宋_GB2312"/>
      <w:b/>
      <w:sz w:val="32"/>
      <w:szCs w:val="32"/>
    </w:rPr>
  </w:style>
  <w:style w:type="paragraph" w:customStyle="1" w:styleId="11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20">
    <w:name w:val="mark11"/>
    <w:basedOn w:val="38"/>
    <w:autoRedefine/>
    <w:qFormat/>
    <w:uiPriority w:val="0"/>
  </w:style>
  <w:style w:type="character" w:customStyle="1" w:styleId="121">
    <w:name w:val="日期 字符"/>
    <w:link w:val="22"/>
    <w:autoRedefine/>
    <w:qFormat/>
    <w:uiPriority w:val="0"/>
    <w:rPr>
      <w:rFonts w:ascii="Times New Roman" w:hAnsi="Times New Roman"/>
      <w:color w:val="000000"/>
      <w:kern w:val="2"/>
      <w:sz w:val="24"/>
      <w:szCs w:val="24"/>
    </w:rPr>
  </w:style>
  <w:style w:type="character" w:customStyle="1" w:styleId="122">
    <w:name w:val="批注框文本 字符"/>
    <w:link w:val="25"/>
    <w:autoRedefine/>
    <w:qFormat/>
    <w:uiPriority w:val="0"/>
    <w:rPr>
      <w:rFonts w:ascii="Times New Roman" w:hAnsi="Times New Roman"/>
      <w:kern w:val="2"/>
      <w:sz w:val="18"/>
      <w:szCs w:val="18"/>
    </w:rPr>
  </w:style>
  <w:style w:type="character" w:customStyle="1" w:styleId="123">
    <w:name w:val="正文文本缩进 2 Char1"/>
    <w:autoRedefine/>
    <w:semiHidden/>
    <w:qFormat/>
    <w:uiPriority w:val="99"/>
    <w:rPr>
      <w:rFonts w:ascii="Times New Roman" w:hAnsi="Times New Roman"/>
      <w:kern w:val="2"/>
      <w:sz w:val="21"/>
      <w:szCs w:val="24"/>
    </w:rPr>
  </w:style>
  <w:style w:type="character" w:customStyle="1" w:styleId="124">
    <w:name w:val="标题 6 字符"/>
    <w:link w:val="7"/>
    <w:autoRedefine/>
    <w:qFormat/>
    <w:uiPriority w:val="0"/>
    <w:rPr>
      <w:rFonts w:ascii="Arial" w:hAnsi="Arial" w:eastAsia="黑体"/>
      <w:b/>
      <w:bCs/>
      <w:spacing w:val="6"/>
      <w:kern w:val="2"/>
      <w:sz w:val="24"/>
      <w:szCs w:val="24"/>
    </w:rPr>
  </w:style>
  <w:style w:type="character" w:customStyle="1" w:styleId="125">
    <w:name w:val="Footer1 Char"/>
    <w:autoRedefine/>
    <w:qFormat/>
    <w:uiPriority w:val="0"/>
    <w:rPr>
      <w:rFonts w:eastAsia="宋体"/>
      <w:kern w:val="2"/>
      <w:sz w:val="18"/>
      <w:szCs w:val="18"/>
      <w:lang w:val="en-US" w:eastAsia="zh-CN" w:bidi="ar-SA"/>
    </w:rPr>
  </w:style>
  <w:style w:type="character" w:customStyle="1" w:styleId="126">
    <w:name w:val="b titlename wangputoptitle"/>
    <w:basedOn w:val="38"/>
    <w:autoRedefine/>
    <w:qFormat/>
    <w:uiPriority w:val="0"/>
  </w:style>
  <w:style w:type="character" w:customStyle="1" w:styleId="127">
    <w:name w:val="标题 9 字符"/>
    <w:link w:val="10"/>
    <w:autoRedefine/>
    <w:qFormat/>
    <w:uiPriority w:val="0"/>
    <w:rPr>
      <w:rFonts w:ascii="Arial" w:hAnsi="Arial" w:eastAsia="黑体"/>
      <w:spacing w:val="6"/>
      <w:kern w:val="2"/>
      <w:sz w:val="24"/>
      <w:szCs w:val="24"/>
    </w:rPr>
  </w:style>
  <w:style w:type="character" w:customStyle="1" w:styleId="128">
    <w:name w:val="font21"/>
    <w:autoRedefine/>
    <w:qFormat/>
    <w:uiPriority w:val="0"/>
    <w:rPr>
      <w:rFonts w:hint="eastAsia" w:ascii="宋体" w:hAnsi="宋体" w:eastAsia="宋体" w:cs="宋体"/>
      <w:color w:val="000000"/>
      <w:sz w:val="24"/>
      <w:szCs w:val="24"/>
      <w:u w:val="none"/>
    </w:rPr>
  </w:style>
  <w:style w:type="character" w:customStyle="1" w:styleId="129">
    <w:name w:val="HTML 预设格式 字符"/>
    <w:link w:val="31"/>
    <w:autoRedefine/>
    <w:qFormat/>
    <w:uiPriority w:val="0"/>
    <w:rPr>
      <w:rFonts w:ascii="宋体" w:hAnsi="宋体" w:cs="宋体"/>
      <w:sz w:val="24"/>
      <w:szCs w:val="24"/>
    </w:rPr>
  </w:style>
  <w:style w:type="character" w:customStyle="1" w:styleId="130">
    <w:name w:val="标题 7 字符"/>
    <w:link w:val="8"/>
    <w:autoRedefine/>
    <w:qFormat/>
    <w:uiPriority w:val="0"/>
    <w:rPr>
      <w:rFonts w:ascii="Times New Roman" w:hAnsi="Times New Roman"/>
      <w:b/>
      <w:bCs/>
      <w:spacing w:val="6"/>
      <w:kern w:val="2"/>
      <w:sz w:val="24"/>
      <w:szCs w:val="24"/>
    </w:rPr>
  </w:style>
  <w:style w:type="character" w:customStyle="1" w:styleId="131">
    <w:name w:val="第一层条 Char Char"/>
    <w:autoRedefine/>
    <w:qFormat/>
    <w:uiPriority w:val="0"/>
    <w:rPr>
      <w:rFonts w:ascii="Arial" w:hAnsi="Arial" w:eastAsia="黑体"/>
      <w:b/>
      <w:bCs/>
      <w:kern w:val="2"/>
      <w:sz w:val="32"/>
      <w:szCs w:val="32"/>
    </w:rPr>
  </w:style>
  <w:style w:type="character" w:customStyle="1" w:styleId="132">
    <w:name w:val="apple-style-span"/>
    <w:basedOn w:val="38"/>
    <w:autoRedefine/>
    <w:qFormat/>
    <w:uiPriority w:val="0"/>
  </w:style>
  <w:style w:type="character" w:customStyle="1" w:styleId="133">
    <w:name w:val="标题 2 Char"/>
    <w:autoRedefine/>
    <w:qFormat/>
    <w:uiPriority w:val="0"/>
    <w:rPr>
      <w:rFonts w:ascii="Cambria" w:hAnsi="Cambria" w:eastAsia="宋体" w:cs="Times New Roman"/>
      <w:b/>
      <w:bCs/>
      <w:kern w:val="2"/>
      <w:sz w:val="32"/>
      <w:szCs w:val="32"/>
    </w:rPr>
  </w:style>
  <w:style w:type="character" w:customStyle="1" w:styleId="134">
    <w:name w:val="标题 2 字符"/>
    <w:link w:val="3"/>
    <w:autoRedefine/>
    <w:qFormat/>
    <w:uiPriority w:val="0"/>
    <w:rPr>
      <w:rFonts w:ascii="Arial" w:hAnsi="Arial" w:eastAsia="黑体"/>
      <w:b/>
      <w:bCs/>
      <w:kern w:val="2"/>
      <w:sz w:val="32"/>
      <w:szCs w:val="32"/>
    </w:rPr>
  </w:style>
  <w:style w:type="character" w:customStyle="1" w:styleId="135">
    <w:name w:val="批注文字 Char"/>
    <w:autoRedefine/>
    <w:qFormat/>
    <w:uiPriority w:val="0"/>
    <w:rPr>
      <w:rFonts w:eastAsia="宋体"/>
      <w:kern w:val="2"/>
      <w:sz w:val="21"/>
      <w:szCs w:val="24"/>
      <w:lang w:val="en-US" w:eastAsia="zh-CN" w:bidi="ar-SA"/>
    </w:rPr>
  </w:style>
  <w:style w:type="character" w:customStyle="1" w:styleId="136">
    <w:name w:val="unnamed51"/>
    <w:autoRedefine/>
    <w:qFormat/>
    <w:uiPriority w:val="0"/>
    <w:rPr>
      <w:sz w:val="22"/>
      <w:szCs w:val="22"/>
    </w:rPr>
  </w:style>
  <w:style w:type="character" w:customStyle="1" w:styleId="137">
    <w:name w:val="style551"/>
    <w:autoRedefine/>
    <w:qFormat/>
    <w:uiPriority w:val="0"/>
    <w:rPr>
      <w:rFonts w:hint="default" w:ascii="Arial" w:hAnsi="Arial" w:cs="Arial"/>
      <w:color w:val="333333"/>
      <w:sz w:val="24"/>
      <w:szCs w:val="24"/>
    </w:rPr>
  </w:style>
  <w:style w:type="character" w:customStyle="1" w:styleId="138">
    <w:name w:val="标题 字符"/>
    <w:link w:val="33"/>
    <w:autoRedefine/>
    <w:qFormat/>
    <w:uiPriority w:val="0"/>
    <w:rPr>
      <w:rFonts w:ascii="Arial" w:hAnsi="Arial" w:cs="Arial"/>
      <w:kern w:val="2"/>
      <w:sz w:val="32"/>
      <w:szCs w:val="32"/>
    </w:rPr>
  </w:style>
  <w:style w:type="character" w:customStyle="1" w:styleId="139">
    <w:name w:val="页眉 字符"/>
    <w:link w:val="27"/>
    <w:autoRedefine/>
    <w:qFormat/>
    <w:uiPriority w:val="99"/>
    <w:rPr>
      <w:rFonts w:ascii="Times New Roman" w:hAnsi="Times New Roman"/>
      <w:kern w:val="2"/>
      <w:sz w:val="18"/>
      <w:szCs w:val="18"/>
    </w:rPr>
  </w:style>
  <w:style w:type="character" w:customStyle="1" w:styleId="140">
    <w:name w:val="正文文本缩进 2 字符"/>
    <w:link w:val="23"/>
    <w:autoRedefine/>
    <w:qFormat/>
    <w:uiPriority w:val="0"/>
    <w:rPr>
      <w:rFonts w:ascii="宋体"/>
      <w:sz w:val="24"/>
    </w:rPr>
  </w:style>
  <w:style w:type="character" w:customStyle="1" w:styleId="141">
    <w:name w:val="font31"/>
    <w:autoRedefine/>
    <w:qFormat/>
    <w:uiPriority w:val="0"/>
    <w:rPr>
      <w:rFonts w:hint="default" w:ascii="Arial" w:hAnsi="Arial" w:cs="Arial"/>
      <w:color w:val="000000"/>
      <w:sz w:val="16"/>
      <w:szCs w:val="16"/>
      <w:u w:val="none"/>
    </w:rPr>
  </w:style>
  <w:style w:type="character" w:customStyle="1" w:styleId="142">
    <w:name w:val="标题 3 字符"/>
    <w:link w:val="4"/>
    <w:autoRedefine/>
    <w:qFormat/>
    <w:uiPriority w:val="0"/>
    <w:rPr>
      <w:rFonts w:ascii="Times New Roman" w:hAnsi="Times New Roman"/>
      <w:b/>
      <w:bCs/>
      <w:kern w:val="2"/>
      <w:sz w:val="32"/>
      <w:szCs w:val="32"/>
    </w:rPr>
  </w:style>
  <w:style w:type="character" w:customStyle="1" w:styleId="143">
    <w:name w:val="文档结构图 字符"/>
    <w:link w:val="11"/>
    <w:autoRedefine/>
    <w:qFormat/>
    <w:uiPriority w:val="0"/>
    <w:rPr>
      <w:rFonts w:ascii="Times New Roman" w:hAnsi="Times New Roman"/>
      <w:kern w:val="2"/>
      <w:sz w:val="21"/>
      <w:szCs w:val="24"/>
      <w:shd w:val="clear" w:color="auto" w:fill="000080"/>
    </w:rPr>
  </w:style>
  <w:style w:type="character" w:customStyle="1" w:styleId="144">
    <w:name w:val="纯文本 字符"/>
    <w:link w:val="20"/>
    <w:autoRedefine/>
    <w:qFormat/>
    <w:uiPriority w:val="99"/>
    <w:rPr>
      <w:rFonts w:ascii="宋体" w:hAnsi="Courier New"/>
      <w:kern w:val="2"/>
      <w:sz w:val="21"/>
    </w:rPr>
  </w:style>
  <w:style w:type="character" w:customStyle="1" w:styleId="145">
    <w:name w:val="12blk1"/>
    <w:autoRedefine/>
    <w:qFormat/>
    <w:uiPriority w:val="0"/>
    <w:rPr>
      <w:rFonts w:hint="default" w:ascii="_x000B__x000C_" w:hAnsi="_x000B__x000C_"/>
      <w:color w:val="000000"/>
      <w:sz w:val="24"/>
      <w:szCs w:val="24"/>
      <w:u w:val="none"/>
    </w:rPr>
  </w:style>
  <w:style w:type="character" w:customStyle="1" w:styleId="146">
    <w:name w:val="页脚 字符"/>
    <w:link w:val="26"/>
    <w:autoRedefine/>
    <w:qFormat/>
    <w:uiPriority w:val="0"/>
    <w:rPr>
      <w:rFonts w:ascii="Times New Roman" w:hAnsi="Times New Roman"/>
      <w:kern w:val="2"/>
      <w:sz w:val="18"/>
      <w:szCs w:val="18"/>
    </w:rPr>
  </w:style>
  <w:style w:type="character" w:customStyle="1" w:styleId="147">
    <w:name w:val="批注文字 字符"/>
    <w:link w:val="13"/>
    <w:autoRedefine/>
    <w:qFormat/>
    <w:uiPriority w:val="0"/>
    <w:rPr>
      <w:rFonts w:ascii="Times New Roman" w:hAnsi="Times New Roman"/>
      <w:kern w:val="2"/>
      <w:sz w:val="21"/>
      <w:szCs w:val="24"/>
    </w:rPr>
  </w:style>
  <w:style w:type="character" w:customStyle="1" w:styleId="148">
    <w:name w:val="标题 8 字符"/>
    <w:link w:val="9"/>
    <w:autoRedefine/>
    <w:qFormat/>
    <w:uiPriority w:val="0"/>
    <w:rPr>
      <w:rFonts w:ascii="Arial" w:hAnsi="Arial" w:eastAsia="黑体"/>
      <w:spacing w:val="6"/>
      <w:kern w:val="2"/>
      <w:sz w:val="24"/>
      <w:szCs w:val="24"/>
    </w:rPr>
  </w:style>
  <w:style w:type="character" w:customStyle="1" w:styleId="149">
    <w:name w:val="纯文本 Char1"/>
    <w:autoRedefine/>
    <w:qFormat/>
    <w:uiPriority w:val="0"/>
    <w:rPr>
      <w:rFonts w:ascii="宋体" w:hAnsi="Courier New" w:cs="Courier New"/>
      <w:kern w:val="2"/>
      <w:sz w:val="21"/>
      <w:szCs w:val="21"/>
    </w:rPr>
  </w:style>
  <w:style w:type="character" w:customStyle="1" w:styleId="150">
    <w:name w:val="标题 1 字符"/>
    <w:link w:val="2"/>
    <w:autoRedefine/>
    <w:qFormat/>
    <w:uiPriority w:val="0"/>
    <w:rPr>
      <w:rFonts w:ascii="Times New Roman" w:hAnsi="Times New Roman"/>
      <w:kern w:val="2"/>
      <w:sz w:val="28"/>
      <w:szCs w:val="24"/>
    </w:rPr>
  </w:style>
  <w:style w:type="character" w:customStyle="1" w:styleId="151">
    <w:name w:val="标题 Char"/>
    <w:autoRedefine/>
    <w:qFormat/>
    <w:uiPriority w:val="0"/>
    <w:rPr>
      <w:rFonts w:ascii="Cambria" w:hAnsi="Cambria" w:cs="Times New Roman"/>
      <w:b/>
      <w:bCs/>
      <w:kern w:val="2"/>
      <w:sz w:val="32"/>
      <w:szCs w:val="32"/>
    </w:rPr>
  </w:style>
  <w:style w:type="character" w:customStyle="1" w:styleId="152">
    <w:name w:val="普通文字 Char Char2"/>
    <w:autoRedefine/>
    <w:qFormat/>
    <w:uiPriority w:val="0"/>
    <w:rPr>
      <w:rFonts w:ascii="宋体" w:hAnsi="Courier New" w:eastAsia="宋体"/>
      <w:kern w:val="2"/>
      <w:sz w:val="21"/>
      <w:lang w:val="en-US" w:eastAsia="zh-CN" w:bidi="ar-SA"/>
    </w:rPr>
  </w:style>
  <w:style w:type="character" w:customStyle="1" w:styleId="153">
    <w:name w:val="正文文本缩进 字符"/>
    <w:link w:val="17"/>
    <w:autoRedefine/>
    <w:qFormat/>
    <w:uiPriority w:val="0"/>
    <w:rPr>
      <w:rFonts w:ascii="Times New Roman" w:hAnsi="Times New Roman"/>
      <w:kern w:val="2"/>
      <w:sz w:val="21"/>
      <w:szCs w:val="24"/>
    </w:rPr>
  </w:style>
  <w:style w:type="character" w:customStyle="1" w:styleId="154">
    <w:name w:val="Char Char6"/>
    <w:autoRedefine/>
    <w:qFormat/>
    <w:uiPriority w:val="0"/>
    <w:rPr>
      <w:rFonts w:eastAsia="宋体"/>
      <w:kern w:val="2"/>
      <w:sz w:val="18"/>
      <w:szCs w:val="18"/>
      <w:lang w:val="en-US" w:eastAsia="zh-CN" w:bidi="ar-SA"/>
    </w:rPr>
  </w:style>
  <w:style w:type="character" w:customStyle="1" w:styleId="155">
    <w:name w:val="正文文本缩进 3 字符"/>
    <w:link w:val="29"/>
    <w:autoRedefine/>
    <w:qFormat/>
    <w:uiPriority w:val="0"/>
    <w:rPr>
      <w:rFonts w:eastAsia="黑体"/>
      <w:color w:val="000000"/>
      <w:kern w:val="2"/>
      <w:sz w:val="24"/>
      <w:szCs w:val="24"/>
    </w:rPr>
  </w:style>
  <w:style w:type="character" w:customStyle="1" w:styleId="156">
    <w:name w:val="金保标题2 Char"/>
    <w:link w:val="87"/>
    <w:autoRedefine/>
    <w:qFormat/>
    <w:uiPriority w:val="0"/>
    <w:rPr>
      <w:rFonts w:eastAsia="黑体"/>
      <w:b/>
      <w:bCs/>
      <w:kern w:val="2"/>
      <w:sz w:val="28"/>
      <w:szCs w:val="28"/>
    </w:rPr>
  </w:style>
  <w:style w:type="character" w:customStyle="1" w:styleId="157">
    <w:name w:val="font3"/>
    <w:basedOn w:val="38"/>
    <w:autoRedefine/>
    <w:qFormat/>
    <w:uiPriority w:val="0"/>
  </w:style>
  <w:style w:type="character" w:customStyle="1" w:styleId="158">
    <w:name w:val="apple-converted-space"/>
    <w:basedOn w:val="38"/>
    <w:autoRedefine/>
    <w:qFormat/>
    <w:uiPriority w:val="0"/>
  </w:style>
  <w:style w:type="character" w:customStyle="1" w:styleId="159">
    <w:name w:val="正文文本 2 字符"/>
    <w:link w:val="30"/>
    <w:autoRedefine/>
    <w:qFormat/>
    <w:uiPriority w:val="0"/>
    <w:rPr>
      <w:rFonts w:ascii="Times New Roman" w:hAnsi="Times New Roman"/>
      <w:kern w:val="2"/>
      <w:sz w:val="21"/>
      <w:szCs w:val="24"/>
    </w:rPr>
  </w:style>
  <w:style w:type="character" w:customStyle="1" w:styleId="160">
    <w:name w:val="批注主题 字符"/>
    <w:link w:val="34"/>
    <w:autoRedefine/>
    <w:qFormat/>
    <w:uiPriority w:val="0"/>
    <w:rPr>
      <w:rFonts w:ascii="Times New Roman" w:hAnsi="Times New Roman"/>
      <w:b/>
      <w:bCs/>
      <w:kern w:val="2"/>
      <w:sz w:val="21"/>
      <w:szCs w:val="24"/>
    </w:rPr>
  </w:style>
  <w:style w:type="character" w:customStyle="1" w:styleId="161">
    <w:name w:val="hang1"/>
    <w:basedOn w:val="38"/>
    <w:autoRedefine/>
    <w:qFormat/>
    <w:uiPriority w:val="0"/>
  </w:style>
  <w:style w:type="character" w:customStyle="1" w:styleId="162">
    <w:name w:val="正文文本 Char1"/>
    <w:autoRedefine/>
    <w:semiHidden/>
    <w:qFormat/>
    <w:uiPriority w:val="99"/>
    <w:rPr>
      <w:rFonts w:ascii="Times New Roman" w:hAnsi="Times New Roman"/>
      <w:kern w:val="2"/>
      <w:sz w:val="21"/>
      <w:szCs w:val="24"/>
    </w:rPr>
  </w:style>
  <w:style w:type="character" w:customStyle="1" w:styleId="163">
    <w:name w:val="普通文字 Char Char1"/>
    <w:autoRedefine/>
    <w:qFormat/>
    <w:uiPriority w:val="0"/>
    <w:rPr>
      <w:rFonts w:ascii="宋体" w:hAnsi="Courier New" w:eastAsia="宋体"/>
      <w:kern w:val="2"/>
      <w:sz w:val="21"/>
      <w:lang w:val="en-US" w:eastAsia="zh-CN" w:bidi="ar-SA"/>
    </w:rPr>
  </w:style>
  <w:style w:type="character" w:customStyle="1" w:styleId="164">
    <w:name w:val="样式 宋体 小四"/>
    <w:autoRedefine/>
    <w:qFormat/>
    <w:uiPriority w:val="0"/>
    <w:rPr>
      <w:rFonts w:ascii="宋体" w:hAnsi="宋体"/>
      <w:spacing w:val="6"/>
      <w:sz w:val="24"/>
      <w:szCs w:val="24"/>
    </w:rPr>
  </w:style>
  <w:style w:type="character" w:customStyle="1" w:styleId="165">
    <w:name w:val="content1"/>
    <w:autoRedefine/>
    <w:qFormat/>
    <w:uiPriority w:val="0"/>
    <w:rPr>
      <w:rFonts w:hint="default" w:ascii="ˎ̥" w:hAnsi="ˎ̥"/>
      <w:color w:val="000000"/>
      <w:sz w:val="22"/>
      <w:szCs w:val="22"/>
      <w:u w:val="none"/>
    </w:rPr>
  </w:style>
  <w:style w:type="character" w:customStyle="1" w:styleId="166">
    <w:name w:val="正文缩进 字符"/>
    <w:link w:val="5"/>
    <w:autoRedefine/>
    <w:qFormat/>
    <w:uiPriority w:val="0"/>
    <w:rPr>
      <w:kern w:val="2"/>
      <w:sz w:val="21"/>
      <w:szCs w:val="24"/>
    </w:rPr>
  </w:style>
  <w:style w:type="character" w:customStyle="1" w:styleId="167">
    <w:name w:val="font11"/>
    <w:autoRedefine/>
    <w:qFormat/>
    <w:uiPriority w:val="0"/>
    <w:rPr>
      <w:rFonts w:hint="default" w:ascii="Times New Roman" w:hAnsi="Times New Roman" w:cs="Times New Roman"/>
      <w:color w:val="000000"/>
      <w:sz w:val="24"/>
      <w:szCs w:val="24"/>
      <w:u w:val="none"/>
    </w:rPr>
  </w:style>
  <w:style w:type="character" w:customStyle="1" w:styleId="168">
    <w:name w:val="style661"/>
    <w:autoRedefine/>
    <w:qFormat/>
    <w:uiPriority w:val="0"/>
    <w:rPr>
      <w:color w:val="000000"/>
      <w:sz w:val="18"/>
      <w:szCs w:val="18"/>
    </w:rPr>
  </w:style>
  <w:style w:type="character" w:customStyle="1" w:styleId="169">
    <w:name w:val="正文文本缩进 3 Char1"/>
    <w:autoRedefine/>
    <w:semiHidden/>
    <w:qFormat/>
    <w:uiPriority w:val="99"/>
    <w:rPr>
      <w:rFonts w:ascii="Times New Roman" w:hAnsi="Times New Roman"/>
      <w:kern w:val="2"/>
      <w:sz w:val="16"/>
      <w:szCs w:val="16"/>
    </w:rPr>
  </w:style>
  <w:style w:type="character" w:customStyle="1" w:styleId="170">
    <w:name w:val="普通文字 Char Char"/>
    <w:autoRedefine/>
    <w:qFormat/>
    <w:uiPriority w:val="0"/>
    <w:rPr>
      <w:rFonts w:ascii="宋体" w:hAnsi="Courier New" w:eastAsia="宋体"/>
      <w:kern w:val="2"/>
      <w:sz w:val="21"/>
      <w:lang w:val="en-US" w:eastAsia="zh-CN" w:bidi="ar-SA"/>
    </w:rPr>
  </w:style>
  <w:style w:type="character" w:customStyle="1" w:styleId="171">
    <w:name w:val="wj1"/>
    <w:autoRedefine/>
    <w:qFormat/>
    <w:uiPriority w:val="0"/>
    <w:rPr>
      <w:color w:val="000000"/>
      <w:sz w:val="18"/>
      <w:szCs w:val="18"/>
      <w:u w:val="none"/>
    </w:rPr>
  </w:style>
  <w:style w:type="character" w:customStyle="1" w:styleId="172">
    <w:name w:val="标题 4 字符"/>
    <w:link w:val="6"/>
    <w:autoRedefine/>
    <w:qFormat/>
    <w:uiPriority w:val="0"/>
    <w:rPr>
      <w:rFonts w:ascii="Arial" w:hAnsi="Arial" w:eastAsia="黑体"/>
      <w:b/>
      <w:bCs/>
      <w:kern w:val="2"/>
      <w:sz w:val="28"/>
      <w:szCs w:val="28"/>
    </w:rPr>
  </w:style>
  <w:style w:type="character" w:customStyle="1" w:styleId="173">
    <w:name w:val="正文文本 字符"/>
    <w:link w:val="14"/>
    <w:autoRedefine/>
    <w:qFormat/>
    <w:uiPriority w:val="0"/>
    <w:rPr>
      <w:rFonts w:ascii="Arial" w:hAnsi="Arial"/>
      <w:bCs/>
      <w:kern w:val="2"/>
      <w:sz w:val="24"/>
      <w:szCs w:val="24"/>
    </w:rPr>
  </w:style>
  <w:style w:type="character" w:customStyle="1" w:styleId="174">
    <w:name w:val="Char Char5"/>
    <w:autoRedefine/>
    <w:qFormat/>
    <w:uiPriority w:val="0"/>
    <w:rPr>
      <w:rFonts w:ascii="Arial" w:hAnsi="Arial" w:eastAsia="宋体" w:cs="Arial"/>
      <w:kern w:val="2"/>
      <w:sz w:val="32"/>
      <w:szCs w:val="32"/>
      <w:lang w:val="en-US" w:eastAsia="zh-CN" w:bidi="ar-SA"/>
    </w:rPr>
  </w:style>
  <w:style w:type="character" w:customStyle="1" w:styleId="175">
    <w:name w:val="Char Char Char1"/>
    <w:autoRedefine/>
    <w:qFormat/>
    <w:uiPriority w:val="0"/>
    <w:rPr>
      <w:rFonts w:ascii="宋体" w:hAnsi="Courier New" w:eastAsia="宋体"/>
      <w:kern w:val="2"/>
      <w:sz w:val="21"/>
      <w:lang w:val="en-US" w:eastAsia="zh-CN" w:bidi="ar-SA"/>
    </w:rPr>
  </w:style>
  <w:style w:type="paragraph" w:customStyle="1" w:styleId="176">
    <w:name w:val="_Style 3"/>
    <w:next w:val="1"/>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7">
    <w:name w:val="页脚 Char1"/>
    <w:autoRedefine/>
    <w:qFormat/>
    <w:uiPriority w:val="0"/>
    <w:rPr>
      <w:kern w:val="2"/>
      <w:sz w:val="18"/>
      <w:szCs w:val="18"/>
    </w:rPr>
  </w:style>
  <w:style w:type="paragraph" w:customStyle="1" w:styleId="178">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9">
    <w:name w:val="Table Paragraph"/>
    <w:basedOn w:val="1"/>
    <w:autoRedefine/>
    <w:qFormat/>
    <w:uiPriority w:val="1"/>
    <w:rPr>
      <w:rFonts w:ascii="仿宋" w:hAnsi="仿宋" w:eastAsia="仿宋" w:cs="仿宋"/>
      <w:lang w:val="zh-CN" w:bidi="zh-CN"/>
    </w:rPr>
  </w:style>
  <w:style w:type="paragraph" w:customStyle="1" w:styleId="180">
    <w:name w:val="文档正文"/>
    <w:basedOn w:val="1"/>
    <w:autoRedefine/>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81">
    <w:name w:val="列表段落 字符"/>
    <w:link w:val="78"/>
    <w:autoRedefine/>
    <w:qFormat/>
    <w:uiPriority w:val="34"/>
    <w:rPr>
      <w:rFonts w:ascii="Calibri" w:hAnsi="Calibri" w:eastAsia="宋体" w:cs="Times New Roman"/>
      <w:kern w:val="2"/>
      <w:sz w:val="21"/>
      <w:szCs w:val="22"/>
    </w:rPr>
  </w:style>
  <w:style w:type="paragraph" w:customStyle="1" w:styleId="182">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183">
    <w:name w:val="纯文本 Char2"/>
    <w:autoRedefine/>
    <w:qFormat/>
    <w:uiPriority w:val="0"/>
    <w:rPr>
      <w:rFonts w:ascii="宋体" w:hAnsi="Courier New" w:eastAsia="仿宋_GB2312" w:cs="宋体"/>
      <w:b/>
      <w:bCs/>
      <w:color w:val="000000"/>
      <w:sz w:val="21"/>
      <w:lang w:val="en-US" w:eastAsia="zh-CN" w:bidi="ar-SA"/>
    </w:rPr>
  </w:style>
  <w:style w:type="paragraph" w:customStyle="1" w:styleId="184">
    <w:name w:val="列表段落11"/>
    <w:basedOn w:val="1"/>
    <w:autoRedefine/>
    <w:qFormat/>
    <w:uiPriority w:val="0"/>
    <w:pPr>
      <w:widowControl/>
      <w:ind w:firstLine="420" w:firstLineChars="200"/>
    </w:pPr>
    <w:rPr>
      <w:rFonts w:ascii="Calibri" w:hAnsi="Calibri" w:eastAsiaTheme="minorEastAsia" w:cstheme="minorBidi"/>
      <w:szCs w:val="22"/>
    </w:rPr>
  </w:style>
  <w:style w:type="character" w:customStyle="1" w:styleId="185">
    <w:name w:val="font61"/>
    <w:basedOn w:val="38"/>
    <w:autoRedefine/>
    <w:qFormat/>
    <w:uiPriority w:val="0"/>
    <w:rPr>
      <w:rFonts w:hint="eastAsia" w:ascii="宋体" w:hAnsi="宋体" w:eastAsia="宋体" w:cs="宋体"/>
      <w:color w:val="000000"/>
      <w:sz w:val="20"/>
      <w:szCs w:val="20"/>
      <w:u w:val="none"/>
    </w:rPr>
  </w:style>
  <w:style w:type="paragraph" w:customStyle="1" w:styleId="186">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7">
    <w:name w:val="纯文本1"/>
    <w:basedOn w:val="186"/>
    <w:autoRedefine/>
    <w:qFormat/>
    <w:uiPriority w:val="0"/>
    <w:pPr>
      <w:widowControl/>
      <w:jc w:val="left"/>
    </w:pPr>
    <w:rPr>
      <w:rFonts w:ascii="宋体" w:hAnsi="Courier New"/>
    </w:rPr>
  </w:style>
  <w:style w:type="paragraph" w:customStyle="1" w:styleId="188">
    <w:name w:val="BodyText1I2"/>
    <w:basedOn w:val="189"/>
    <w:autoRedefine/>
    <w:qFormat/>
    <w:uiPriority w:val="0"/>
    <w:pPr>
      <w:ind w:firstLine="420" w:firstLineChars="200"/>
    </w:pPr>
  </w:style>
  <w:style w:type="paragraph" w:customStyle="1" w:styleId="189">
    <w:name w:val="BodyTextIndent"/>
    <w:basedOn w:val="1"/>
    <w:autoRedefine/>
    <w:qFormat/>
    <w:uiPriority w:val="0"/>
    <w:pPr>
      <w:spacing w:after="120"/>
      <w:ind w:left="420" w:leftChars="200"/>
      <w:textAlignment w:val="baseline"/>
    </w:pPr>
    <w:rPr>
      <w:color w:val="000000"/>
    </w:rPr>
  </w:style>
  <w:style w:type="paragraph" w:customStyle="1" w:styleId="190">
    <w:name w:val="_Style 4"/>
    <w:basedOn w:val="1"/>
    <w:autoRedefine/>
    <w:qFormat/>
    <w:uiPriority w:val="0"/>
    <w:pPr>
      <w:ind w:firstLine="420" w:firstLineChars="200"/>
    </w:pPr>
    <w:rPr>
      <w:rFonts w:ascii="仿宋_GB2312" w:hAnsi="宋体" w:eastAsia="仿宋_GB2312" w:cs="宋体"/>
      <w:b/>
      <w:bCs/>
      <w:color w:val="000000"/>
      <w:kern w:val="0"/>
      <w:szCs w:val="21"/>
    </w:rPr>
  </w:style>
  <w:style w:type="paragraph" w:customStyle="1" w:styleId="191">
    <w:name w:val="Normal Indent1"/>
    <w:basedOn w:val="1"/>
    <w:autoRedefine/>
    <w:qFormat/>
    <w:uiPriority w:val="0"/>
    <w:pPr>
      <w:ind w:firstLine="420" w:firstLineChars="200"/>
    </w:pPr>
  </w:style>
  <w:style w:type="character" w:customStyle="1" w:styleId="192">
    <w:name w:val="font41"/>
    <w:basedOn w:val="38"/>
    <w:autoRedefine/>
    <w:qFormat/>
    <w:uiPriority w:val="0"/>
    <w:rPr>
      <w:rFonts w:hint="eastAsia" w:ascii="宋体" w:hAnsi="宋体" w:eastAsia="宋体" w:cs="宋体"/>
      <w:color w:val="000000"/>
      <w:sz w:val="22"/>
      <w:szCs w:val="22"/>
      <w:u w:val="none"/>
    </w:rPr>
  </w:style>
  <w:style w:type="character" w:customStyle="1" w:styleId="193">
    <w:name w:val="font131"/>
    <w:basedOn w:val="38"/>
    <w:autoRedefine/>
    <w:qFormat/>
    <w:uiPriority w:val="0"/>
    <w:rPr>
      <w:rFonts w:hint="eastAsia" w:ascii="宋体" w:hAnsi="宋体" w:eastAsia="宋体" w:cs="宋体"/>
      <w:color w:val="000000"/>
      <w:sz w:val="24"/>
      <w:szCs w:val="24"/>
      <w:u w:val="none"/>
    </w:rPr>
  </w:style>
  <w:style w:type="character" w:customStyle="1" w:styleId="194">
    <w:name w:val="font141"/>
    <w:basedOn w:val="38"/>
    <w:autoRedefine/>
    <w:qFormat/>
    <w:uiPriority w:val="0"/>
    <w:rPr>
      <w:rFonts w:hint="default" w:ascii="Calibri" w:hAnsi="Calibri" w:cs="Calibri"/>
      <w:color w:val="000000"/>
      <w:sz w:val="24"/>
      <w:szCs w:val="24"/>
      <w:u w:val="none"/>
    </w:rPr>
  </w:style>
  <w:style w:type="character" w:customStyle="1" w:styleId="195">
    <w:name w:val="font161"/>
    <w:basedOn w:val="38"/>
    <w:autoRedefine/>
    <w:qFormat/>
    <w:uiPriority w:val="0"/>
    <w:rPr>
      <w:rFonts w:hint="eastAsia" w:ascii="宋体" w:hAnsi="宋体" w:eastAsia="宋体" w:cs="宋体"/>
      <w:color w:val="000000"/>
      <w:sz w:val="22"/>
      <w:szCs w:val="22"/>
      <w:u w:val="none"/>
    </w:rPr>
  </w:style>
  <w:style w:type="character" w:customStyle="1" w:styleId="196">
    <w:name w:val="font181"/>
    <w:basedOn w:val="38"/>
    <w:autoRedefine/>
    <w:qFormat/>
    <w:uiPriority w:val="0"/>
    <w:rPr>
      <w:rFonts w:hint="default" w:ascii="Calibri" w:hAnsi="Calibri" w:cs="Calibri"/>
      <w:color w:val="000000"/>
      <w:sz w:val="22"/>
      <w:szCs w:val="22"/>
      <w:u w:val="none"/>
    </w:rPr>
  </w:style>
  <w:style w:type="paragraph" w:styleId="197">
    <w:name w:val="List Paragraph"/>
    <w:basedOn w:val="1"/>
    <w:autoRedefine/>
    <w:qFormat/>
    <w:uiPriority w:val="34"/>
    <w:pPr>
      <w:ind w:firstLine="420" w:firstLineChars="200"/>
    </w:pPr>
  </w:style>
  <w:style w:type="paragraph" w:customStyle="1" w:styleId="198">
    <w:name w:val="正文缩进2格"/>
    <w:basedOn w:val="1"/>
    <w:autoRedefine/>
    <w:qFormat/>
    <w:uiPriority w:val="99"/>
    <w:pPr>
      <w:widowControl w:val="0"/>
      <w:adjustRightInd/>
      <w:snapToGrid/>
      <w:spacing w:after="0" w:line="600" w:lineRule="exact"/>
      <w:ind w:firstLine="639" w:firstLineChars="206"/>
      <w:jc w:val="both"/>
    </w:pPr>
    <w:rPr>
      <w:rFonts w:ascii="仿宋_GB2312" w:hAnsi="宋体" w:eastAsia="仿宋_GB2312"/>
      <w:kern w:val="2"/>
      <w:sz w:val="31"/>
    </w:rPr>
  </w:style>
  <w:style w:type="character" w:customStyle="1" w:styleId="199">
    <w:name w:val="font71"/>
    <w:basedOn w:val="38"/>
    <w:autoRedefine/>
    <w:qFormat/>
    <w:uiPriority w:val="0"/>
    <w:rPr>
      <w:rFonts w:hint="eastAsia" w:ascii="微软雅黑" w:hAnsi="微软雅黑" w:eastAsia="微软雅黑" w:cs="微软雅黑"/>
      <w:color w:val="323232"/>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5"/>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E699CF-1932-409A-9675-D42439E53B3C}">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77</Pages>
  <Words>41850</Words>
  <Characters>46770</Characters>
  <Lines>1054</Lines>
  <Paragraphs>296</Paragraphs>
  <TotalTime>7</TotalTime>
  <ScaleCrop>false</ScaleCrop>
  <LinksUpToDate>false</LinksUpToDate>
  <CharactersWithSpaces>48990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ThinkPad</dc:creator>
  <cp:lastModifiedBy>WPS_1637644179</cp:lastModifiedBy>
  <cp:lastPrinted>2024-01-10T01:09:00Z</cp:lastPrinted>
  <dcterms:modified xsi:type="dcterms:W3CDTF">2024-01-30T08:35:01Z</dcterms:modified>
  <cp:revision>710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1BC2A25CC502466389E52772D19D3271</vt:lpwstr>
  </property>
</Properties>
</file>