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center"/>
        <w:rPr>
          <w:rFonts w:ascii="Calibri" w:hAnsi="Calibri" w:cs="Calibri"/>
          <w:b w:val="0"/>
          <w:bCs/>
          <w:sz w:val="18"/>
          <w:szCs w:val="18"/>
        </w:rPr>
      </w:pPr>
      <w:r>
        <w:rPr>
          <w:rFonts w:hint="eastAsia" w:eastAsia="宋体" w:cs="Times New Roman"/>
          <w:b w:val="0"/>
          <w:bCs/>
          <w:color w:val="auto"/>
          <w:sz w:val="44"/>
          <w:szCs w:val="44"/>
          <w:highlight w:val="none"/>
          <w:lang w:eastAsia="zh-CN"/>
        </w:rPr>
        <w:t>龙港市金河公园和沿河公园绿化改造提升工程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6"/>
          <w:szCs w:val="36"/>
          <w:shd w:val="clear" w:fill="FFFFFF"/>
        </w:rPr>
        <w:t>补充文件001号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各投标人：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0" w:firstLineChars="200"/>
        <w:jc w:val="left"/>
        <w:rPr>
          <w:rFonts w:hint="default"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根据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eastAsia="zh-CN"/>
        </w:rPr>
        <w:t>龙港市金河公园和沿河公园绿化改造提升工程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（招标编号：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A3303831280000755001001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）招标文件（以下简称“招标文件”）规定，招标人发布补充文件，是对招标文件及相关附件的补充和修改，应优先于招标文件及相关附件阅读。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对招标文件做出如下补充修改：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原招标文件第二章投标人须知前附表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  <w:lang w:eastAsia="zh-CN"/>
        </w:rPr>
        <w:t>“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highlight w:val="none"/>
        </w:rPr>
        <w:t>1、提交方式：银行转账或银行保函或电子保函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金额：人民币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68000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元（大写：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柒万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改为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1、提交方式：银行转账或银行保函或电子保函金额：人民币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68000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元（大写：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陆万捌仟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）；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”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本补充文件与原招标文件不一致的，以本补充文件为准，其余未尽事宜按原招标文件执行。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both"/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</w:pPr>
      <w:r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both"/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both"/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both"/>
        <w:rPr>
          <w:rFonts w:hint="default" w:ascii="Calibri" w:hAnsi="Calibri" w:eastAsia="微软雅黑" w:cs="Calibri"/>
          <w:color w:val="333333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right"/>
        <w:rPr>
          <w:rFonts w:hint="default" w:ascii="Calibri" w:hAnsi="Calibri" w:cs="Calibri"/>
          <w:sz w:val="22"/>
          <w:szCs w:val="22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2"/>
          <w:highlight w:val="none"/>
          <w:lang w:val="en-US" w:eastAsia="zh-CN"/>
        </w:rPr>
        <w:t>龙港市综合行政执法局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right"/>
        <w:rPr>
          <w:rFonts w:hint="default" w:ascii="Calibri" w:hAnsi="Calibri" w:cs="Calibri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东方经纬项目管理有限公司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900" w:right="0"/>
        <w:jc w:val="right"/>
        <w:rPr>
          <w:rFonts w:hint="default" w:ascii="Calibri" w:hAnsi="Calibri" w:cs="Calibri"/>
          <w:sz w:val="22"/>
          <w:szCs w:val="22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202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日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D4A251"/>
    <w:multiLevelType w:val="singleLevel"/>
    <w:tmpl w:val="FAD4A2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MzlmNmYyODQxZjYwMmZiNDhhOGQ0M2UxYjRhNmYifQ=="/>
  </w:docVars>
  <w:rsids>
    <w:rsidRoot w:val="00000000"/>
    <w:rsid w:val="1D293538"/>
    <w:rsid w:val="6883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after="290" w:afterLines="0" w:line="372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333333"/>
      <w:u w:val="none"/>
    </w:rPr>
  </w:style>
  <w:style w:type="character" w:styleId="8">
    <w:name w:val="Hyperlink"/>
    <w:basedOn w:val="6"/>
    <w:uiPriority w:val="0"/>
    <w:rPr>
      <w:color w:val="333333"/>
      <w:u w:val="none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303</Characters>
  <Lines>0</Lines>
  <Paragraphs>0</Paragraphs>
  <TotalTime>239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2023-09-04T07:51:19Z</dcterms:created>
  <dc:creator>Administrator</dc:creator>
  <cp:lastModifiedBy>Mr哟西</cp:lastModifiedBy>
  <cp:lastPrinted>2023-09-04T08:12:20Z</cp:lastPrinted>
  <dcterms:modified xsi:type="dcterms:W3CDTF">2023-09-04T12:04:57Z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FAC9DFA429164760B99EF3401F30B82A_12</vt:lpwstr>
  </property>
</Properties>
</file>