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2" w:hRule="atLeast"/>
        </w:trPr>
        <w:tc>
          <w:tcPr>
            <w:tcW w:w="9854" w:type="dxa"/>
            <w:tcBorders>
              <w:top w:val="single" w:color="000000" w:sz="4" w:space="0"/>
              <w:left w:val="single" w:color="000000" w:sz="4" w:space="0"/>
              <w:bottom w:val="single" w:color="000000" w:sz="4" w:space="0"/>
              <w:right w:val="single" w:color="000000" w:sz="4" w:space="0"/>
            </w:tcBorders>
          </w:tcPr>
          <w:p>
            <w:pPr>
              <w:tabs>
                <w:tab w:val="left" w:pos="8375"/>
              </w:tabs>
              <w:rPr>
                <w:rStyle w:val="27"/>
                <w:rFonts w:cs="Times New Roman"/>
                <w:b/>
                <w:color w:val="000000"/>
                <w:sz w:val="36"/>
              </w:rPr>
            </w:pPr>
          </w:p>
          <w:p>
            <w:pPr>
              <w:jc w:val="center"/>
              <w:rPr>
                <w:rStyle w:val="27"/>
                <w:rFonts w:cs="Times New Roman"/>
                <w:sz w:val="72"/>
                <w:szCs w:val="72"/>
              </w:rPr>
            </w:pPr>
            <w:r>
              <w:rPr>
                <w:rStyle w:val="27"/>
                <w:rFonts w:cs="Times New Roman"/>
                <w:sz w:val="72"/>
                <w:szCs w:val="72"/>
              </w:rPr>
              <w:t>龙 港 市 国 企 采 购</w:t>
            </w:r>
          </w:p>
          <w:p>
            <w:pPr>
              <w:jc w:val="center"/>
              <w:rPr>
                <w:rStyle w:val="27"/>
                <w:rFonts w:cs="Times New Roman"/>
                <w:sz w:val="72"/>
                <w:szCs w:val="72"/>
              </w:rPr>
            </w:pPr>
            <w:r>
              <w:rPr>
                <w:rStyle w:val="27"/>
                <w:rFonts w:cs="Times New Roman"/>
                <w:sz w:val="72"/>
                <w:szCs w:val="72"/>
              </w:rPr>
              <w:t>公开招标文件</w:t>
            </w:r>
          </w:p>
          <w:p>
            <w:pPr>
              <w:spacing w:line="440" w:lineRule="exact"/>
              <w:ind w:left="1148"/>
              <w:rPr>
                <w:rStyle w:val="27"/>
                <w:rFonts w:cs="Times New Roman"/>
                <w:bCs/>
                <w:sz w:val="28"/>
              </w:rPr>
            </w:pPr>
          </w:p>
          <w:p>
            <w:pPr>
              <w:spacing w:line="440" w:lineRule="exact"/>
              <w:ind w:left="1148"/>
              <w:rPr>
                <w:rStyle w:val="27"/>
                <w:rFonts w:cs="Times New Roman"/>
                <w:bCs/>
                <w:sz w:val="28"/>
              </w:rPr>
            </w:pPr>
          </w:p>
          <w:p>
            <w:pPr>
              <w:pStyle w:val="18"/>
              <w:shd w:val="clear" w:color="auto" w:fill="FFFFFF"/>
              <w:spacing w:before="0" w:beforeAutospacing="0" w:after="0" w:afterAutospacing="0" w:line="360" w:lineRule="auto"/>
              <w:ind w:left="2695" w:leftChars="426" w:hanging="1800" w:hangingChars="600"/>
              <w:rPr>
                <w:rStyle w:val="27"/>
                <w:rFonts w:hint="default" w:cs="Times New Roman"/>
                <w:sz w:val="30"/>
                <w:szCs w:val="30"/>
              </w:rPr>
            </w:pPr>
            <w:r>
              <w:rPr>
                <w:rStyle w:val="27"/>
                <w:rFonts w:hint="default" w:cs="Times New Roman"/>
                <w:sz w:val="30"/>
                <w:szCs w:val="30"/>
              </w:rPr>
              <w:t>项目名称：</w:t>
            </w:r>
            <w:r>
              <w:rPr>
                <w:rStyle w:val="27"/>
                <w:rFonts w:cs="Times New Roman"/>
                <w:sz w:val="30"/>
                <w:szCs w:val="30"/>
              </w:rPr>
              <w:t>龙港市新城建设发展有限公司2023年发行公司债券项目</w:t>
            </w:r>
          </w:p>
          <w:p>
            <w:pPr>
              <w:spacing w:line="360" w:lineRule="auto"/>
              <w:ind w:firstLine="900" w:firstLineChars="300"/>
              <w:rPr>
                <w:rStyle w:val="27"/>
                <w:rFonts w:cs="Times New Roman"/>
                <w:sz w:val="30"/>
                <w:szCs w:val="30"/>
              </w:rPr>
            </w:pPr>
            <w:r>
              <w:rPr>
                <w:rStyle w:val="27"/>
                <w:rFonts w:cs="Times New Roman"/>
                <w:sz w:val="30"/>
                <w:szCs w:val="30"/>
              </w:rPr>
              <w:t>采购方式：公开招标（分散采购-分散委托中介）</w:t>
            </w:r>
          </w:p>
          <w:p>
            <w:pPr>
              <w:spacing w:line="360" w:lineRule="auto"/>
              <w:ind w:firstLine="900" w:firstLineChars="300"/>
              <w:rPr>
                <w:rStyle w:val="27"/>
                <w:rFonts w:cs="Times New Roman"/>
                <w:sz w:val="30"/>
                <w:szCs w:val="30"/>
              </w:rPr>
            </w:pPr>
          </w:p>
          <w:p>
            <w:pPr>
              <w:spacing w:line="360" w:lineRule="auto"/>
              <w:ind w:firstLine="900" w:firstLineChars="300"/>
              <w:rPr>
                <w:rStyle w:val="27"/>
                <w:rFonts w:cs="Times New Roman"/>
                <w:sz w:val="30"/>
                <w:szCs w:val="30"/>
              </w:rPr>
            </w:pPr>
          </w:p>
          <w:p>
            <w:pPr>
              <w:spacing w:line="360" w:lineRule="auto"/>
              <w:ind w:firstLine="900" w:firstLineChars="300"/>
              <w:rPr>
                <w:rStyle w:val="27"/>
                <w:rFonts w:cs="Times New Roman"/>
                <w:sz w:val="30"/>
                <w:szCs w:val="30"/>
              </w:rPr>
            </w:pPr>
            <w:r>
              <w:rPr>
                <w:rStyle w:val="27"/>
                <w:rFonts w:cs="Times New Roman"/>
                <w:sz w:val="30"/>
                <w:szCs w:val="30"/>
              </w:rPr>
              <w:t>采 购 人：龙港市新城建设发展有限公司</w:t>
            </w:r>
          </w:p>
          <w:p>
            <w:pPr>
              <w:spacing w:line="360" w:lineRule="auto"/>
              <w:ind w:firstLine="900" w:firstLineChars="300"/>
              <w:rPr>
                <w:rStyle w:val="27"/>
                <w:rFonts w:cs="Times New Roman"/>
                <w:sz w:val="30"/>
                <w:szCs w:val="30"/>
              </w:rPr>
            </w:pPr>
            <w:r>
              <w:rPr>
                <w:rStyle w:val="27"/>
                <w:rFonts w:cs="Times New Roman"/>
                <w:sz w:val="30"/>
                <w:szCs w:val="30"/>
              </w:rPr>
              <w:t>联 系 人：</w:t>
            </w:r>
            <w:r>
              <w:rPr>
                <w:rStyle w:val="27"/>
                <w:rFonts w:hint="eastAsia" w:cs="Times New Roman"/>
                <w:sz w:val="30"/>
                <w:szCs w:val="30"/>
              </w:rPr>
              <w:t>官先生</w:t>
            </w:r>
          </w:p>
          <w:p>
            <w:pPr>
              <w:spacing w:line="360" w:lineRule="auto"/>
              <w:rPr>
                <w:rStyle w:val="27"/>
                <w:rFonts w:cs="Times New Roman"/>
                <w:sz w:val="30"/>
                <w:szCs w:val="30"/>
              </w:rPr>
            </w:pPr>
          </w:p>
          <w:p>
            <w:pPr>
              <w:spacing w:line="360" w:lineRule="auto"/>
              <w:ind w:firstLine="900" w:firstLineChars="300"/>
              <w:rPr>
                <w:rStyle w:val="27"/>
                <w:rFonts w:cs="Times New Roman"/>
                <w:sz w:val="30"/>
                <w:szCs w:val="30"/>
              </w:rPr>
            </w:pPr>
          </w:p>
          <w:p>
            <w:pPr>
              <w:spacing w:line="360" w:lineRule="auto"/>
              <w:ind w:firstLine="900" w:firstLineChars="300"/>
              <w:rPr>
                <w:rStyle w:val="27"/>
                <w:rFonts w:cs="Times New Roman"/>
                <w:sz w:val="30"/>
                <w:szCs w:val="30"/>
              </w:rPr>
            </w:pPr>
            <w:r>
              <w:rPr>
                <w:rStyle w:val="27"/>
                <w:rFonts w:cs="Times New Roman"/>
                <w:sz w:val="30"/>
                <w:szCs w:val="30"/>
              </w:rPr>
              <w:t>代理机构：</w:t>
            </w:r>
            <w:r>
              <w:rPr>
                <w:rStyle w:val="27"/>
                <w:rFonts w:hint="eastAsia" w:cs="Times New Roman"/>
                <w:sz w:val="30"/>
                <w:szCs w:val="30"/>
              </w:rPr>
              <w:t>浙江华域高宇项目管理有限公司</w:t>
            </w:r>
          </w:p>
          <w:p>
            <w:pPr>
              <w:spacing w:line="360" w:lineRule="auto"/>
              <w:ind w:firstLine="900" w:firstLineChars="300"/>
              <w:rPr>
                <w:rStyle w:val="27"/>
                <w:rFonts w:cs="Times New Roman"/>
                <w:sz w:val="30"/>
                <w:szCs w:val="30"/>
              </w:rPr>
            </w:pPr>
            <w:r>
              <w:rPr>
                <w:rStyle w:val="27"/>
                <w:rFonts w:cs="Times New Roman"/>
                <w:sz w:val="30"/>
                <w:szCs w:val="30"/>
              </w:rPr>
              <w:t>联 系 人：</w:t>
            </w:r>
            <w:r>
              <w:rPr>
                <w:rStyle w:val="27"/>
                <w:rFonts w:hint="eastAsia" w:cs="Times New Roman"/>
                <w:sz w:val="30"/>
                <w:szCs w:val="30"/>
              </w:rPr>
              <w:t>何先生</w:t>
            </w:r>
          </w:p>
          <w:p>
            <w:pPr>
              <w:spacing w:line="360" w:lineRule="auto"/>
              <w:ind w:firstLine="900" w:firstLineChars="300"/>
              <w:rPr>
                <w:rStyle w:val="27"/>
                <w:rFonts w:cs="Times New Roman"/>
                <w:sz w:val="30"/>
                <w:szCs w:val="30"/>
              </w:rPr>
            </w:pPr>
            <w:r>
              <w:rPr>
                <w:rStyle w:val="27"/>
                <w:rFonts w:cs="Times New Roman"/>
                <w:sz w:val="30"/>
                <w:szCs w:val="30"/>
              </w:rPr>
              <w:t>联系电话：</w:t>
            </w:r>
            <w:r>
              <w:rPr>
                <w:rStyle w:val="27"/>
                <w:rFonts w:hint="eastAsia" w:cs="Times New Roman"/>
                <w:sz w:val="30"/>
                <w:szCs w:val="30"/>
              </w:rPr>
              <w:t>15057385810</w:t>
            </w:r>
          </w:p>
          <w:p>
            <w:pPr>
              <w:spacing w:line="360" w:lineRule="auto"/>
              <w:ind w:left="974" w:leftChars="464" w:firstLine="600" w:firstLineChars="200"/>
              <w:rPr>
                <w:rStyle w:val="27"/>
                <w:rFonts w:cs="Times New Roman"/>
                <w:sz w:val="30"/>
                <w:szCs w:val="30"/>
              </w:rPr>
            </w:pPr>
          </w:p>
          <w:p>
            <w:pPr>
              <w:ind w:firstLine="1710" w:firstLineChars="811"/>
              <w:rPr>
                <w:rStyle w:val="27"/>
                <w:rFonts w:cs="Times New Roman"/>
                <w:b/>
              </w:rPr>
            </w:pPr>
          </w:p>
          <w:p>
            <w:pPr>
              <w:rPr>
                <w:rStyle w:val="27"/>
                <w:rFonts w:cs="Times New Roman"/>
                <w:b/>
              </w:rPr>
            </w:pPr>
          </w:p>
          <w:p>
            <w:pPr>
              <w:jc w:val="center"/>
              <w:rPr>
                <w:rStyle w:val="27"/>
                <w:rFonts w:cs="Times New Roman"/>
              </w:rPr>
            </w:pPr>
            <w:r>
              <w:rPr>
                <w:rStyle w:val="27"/>
                <w:rFonts w:cs="Times New Roman"/>
                <w:b/>
                <w:sz w:val="30"/>
                <w:szCs w:val="30"/>
              </w:rPr>
              <w:t>二</w:t>
            </w:r>
            <w:r>
              <w:rPr>
                <w:rStyle w:val="27"/>
                <w:rFonts w:hint="eastAsia" w:cs="Times New Roman"/>
                <w:b/>
                <w:sz w:val="30"/>
                <w:szCs w:val="30"/>
              </w:rPr>
              <w:t>〇</w:t>
            </w:r>
            <w:r>
              <w:rPr>
                <w:rStyle w:val="27"/>
                <w:rFonts w:cs="Times New Roman"/>
                <w:b/>
                <w:sz w:val="30"/>
                <w:szCs w:val="30"/>
              </w:rPr>
              <w:t>二三年</w:t>
            </w:r>
            <w:r>
              <w:rPr>
                <w:rStyle w:val="27"/>
                <w:rFonts w:hint="eastAsia" w:cs="Times New Roman"/>
                <w:b/>
                <w:sz w:val="30"/>
                <w:szCs w:val="30"/>
              </w:rPr>
              <w:t>五</w:t>
            </w:r>
            <w:r>
              <w:rPr>
                <w:rStyle w:val="27"/>
                <w:rFonts w:cs="Times New Roman"/>
                <w:b/>
                <w:sz w:val="30"/>
                <w:szCs w:val="30"/>
              </w:rPr>
              <w:t>月</w:t>
            </w:r>
          </w:p>
        </w:tc>
      </w:tr>
    </w:tbl>
    <w:p>
      <w:pPr>
        <w:rPr>
          <w:rStyle w:val="27"/>
          <w:rFonts w:cs="Times New Roman"/>
        </w:rPr>
        <w:sectPr>
          <w:headerReference r:id="rId5" w:type="first"/>
          <w:footerReference r:id="rId7" w:type="first"/>
          <w:headerReference r:id="rId3" w:type="default"/>
          <w:headerReference r:id="rId4" w:type="even"/>
          <w:footerReference r:id="rId6" w:type="even"/>
          <w:pgSz w:w="11906" w:h="16838"/>
          <w:pgMar w:top="1134" w:right="1134" w:bottom="1134" w:left="1134" w:header="851" w:footer="992" w:gutter="0"/>
          <w:pgNumType w:start="0"/>
          <w:cols w:space="425" w:num="1"/>
          <w:docGrid w:type="lines" w:linePitch="312" w:charSpace="0"/>
        </w:sectPr>
      </w:pPr>
    </w:p>
    <w:p>
      <w:pPr>
        <w:spacing w:line="360" w:lineRule="auto"/>
        <w:jc w:val="center"/>
        <w:rPr>
          <w:rStyle w:val="27"/>
          <w:rFonts w:cs="Times New Roman"/>
          <w:b/>
          <w:kern w:val="0"/>
          <w:sz w:val="30"/>
          <w:szCs w:val="30"/>
        </w:rPr>
      </w:pPr>
      <w:r>
        <w:rPr>
          <w:rStyle w:val="27"/>
          <w:rFonts w:hint="eastAsia" w:cs="Times New Roman"/>
          <w:b/>
          <w:kern w:val="0"/>
          <w:sz w:val="30"/>
          <w:szCs w:val="30"/>
        </w:rPr>
        <w:t>浙江华域高宇项目管理有限公司</w:t>
      </w:r>
      <w:r>
        <w:rPr>
          <w:rStyle w:val="27"/>
          <w:rFonts w:cs="Times New Roman"/>
          <w:b/>
          <w:kern w:val="0"/>
          <w:sz w:val="30"/>
          <w:szCs w:val="30"/>
        </w:rPr>
        <w:t>关于</w:t>
      </w:r>
      <w:r>
        <w:rPr>
          <w:rStyle w:val="27"/>
          <w:rFonts w:hint="eastAsia" w:cs="Times New Roman"/>
          <w:b/>
          <w:kern w:val="0"/>
          <w:sz w:val="30"/>
          <w:szCs w:val="30"/>
        </w:rPr>
        <w:t>龙港市新城建设发展有限公司2023年发行公司债券项目（</w:t>
      </w:r>
      <w:r>
        <w:rPr>
          <w:rStyle w:val="27"/>
          <w:rFonts w:hint="eastAsia" w:cs="Times New Roman"/>
          <w:b/>
          <w:kern w:val="0"/>
          <w:sz w:val="30"/>
          <w:szCs w:val="30"/>
          <w:lang w:val="en-US"/>
        </w:rPr>
        <w:t>非政府采购</w:t>
      </w:r>
      <w:r>
        <w:rPr>
          <w:rStyle w:val="27"/>
          <w:rFonts w:hint="eastAsia" w:cs="Times New Roman"/>
          <w:b/>
          <w:kern w:val="0"/>
          <w:sz w:val="30"/>
          <w:szCs w:val="30"/>
        </w:rPr>
        <w:t>）</w:t>
      </w:r>
      <w:r>
        <w:rPr>
          <w:rStyle w:val="27"/>
          <w:rFonts w:cs="Times New Roman"/>
          <w:b/>
          <w:kern w:val="0"/>
          <w:sz w:val="30"/>
          <w:szCs w:val="30"/>
        </w:rPr>
        <w:t>的公开招标公告</w:t>
      </w:r>
    </w:p>
    <w:tbl>
      <w:tblPr>
        <w:tblStyle w:val="20"/>
        <w:tblW w:w="97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741" w:type="dxa"/>
            <w:tcBorders>
              <w:top w:val="single" w:color="000000" w:sz="4" w:space="0"/>
              <w:left w:val="single" w:color="000000" w:sz="4" w:space="0"/>
              <w:bottom w:val="single" w:color="000000" w:sz="4" w:space="0"/>
              <w:right w:val="single" w:color="000000" w:sz="4" w:space="0"/>
            </w:tcBorders>
          </w:tcPr>
          <w:p>
            <w:pPr>
              <w:pStyle w:val="28"/>
              <w:spacing w:before="75" w:after="75"/>
              <w:rPr>
                <w:rStyle w:val="27"/>
                <w:rFonts w:cs="Times New Roman"/>
                <w:color w:val="000000"/>
              </w:rPr>
            </w:pPr>
            <w:r>
              <w:rPr>
                <w:rStyle w:val="27"/>
                <w:rFonts w:cs="Times New Roman"/>
                <w:color w:val="000000"/>
              </w:rPr>
              <w:t>项目概况</w:t>
            </w:r>
          </w:p>
          <w:p>
            <w:pPr>
              <w:pStyle w:val="28"/>
              <w:spacing w:before="75" w:after="75"/>
              <w:ind w:firstLine="1050" w:firstLineChars="500"/>
              <w:rPr>
                <w:rStyle w:val="27"/>
                <w:rFonts w:cs="Times New Roman"/>
                <w:color w:val="000000"/>
              </w:rPr>
            </w:pPr>
            <w:r>
              <w:rPr>
                <w:rStyle w:val="27"/>
                <w:rFonts w:hint="eastAsia" w:cs="Times New Roman"/>
                <w:color w:val="0000FF"/>
              </w:rPr>
              <w:t>龙港市新城建设发展有限公司2023年发行公司债券项目</w:t>
            </w:r>
            <w:r>
              <w:rPr>
                <w:rStyle w:val="27"/>
                <w:rFonts w:cs="Times New Roman"/>
                <w:color w:val="000000"/>
              </w:rPr>
              <w:t>的潜在供应商应在政采云平台（http://zfcg.czt.zj.gov.cn）获取（下载）采购文件，并于</w:t>
            </w:r>
            <w:r>
              <w:rPr>
                <w:rStyle w:val="27"/>
                <w:rFonts w:hint="eastAsia" w:cs="Times New Roman"/>
                <w:color w:val="0000FF"/>
              </w:rPr>
              <w:t>2023年06月13日</w:t>
            </w:r>
            <w:r>
              <w:rPr>
                <w:rStyle w:val="27"/>
                <w:rFonts w:cs="Times New Roman"/>
                <w:color w:val="0000FF"/>
              </w:rPr>
              <w:t>09:30</w:t>
            </w:r>
            <w:r>
              <w:rPr>
                <w:rStyle w:val="27"/>
                <w:rFonts w:cs="Times New Roman"/>
                <w:color w:val="000000"/>
              </w:rPr>
              <w:t>（北京时间）前提交投标文件。</w:t>
            </w:r>
          </w:p>
        </w:tc>
      </w:tr>
    </w:tbl>
    <w:p>
      <w:pPr>
        <w:pStyle w:val="28"/>
        <w:spacing w:before="75" w:after="75"/>
        <w:rPr>
          <w:rStyle w:val="23"/>
          <w:color w:val="000000"/>
          <w:sz w:val="24"/>
        </w:rPr>
      </w:pPr>
    </w:p>
    <w:p>
      <w:pPr>
        <w:pStyle w:val="28"/>
        <w:numPr>
          <w:ilvl w:val="0"/>
          <w:numId w:val="2"/>
        </w:numPr>
        <w:spacing w:before="75" w:after="75"/>
        <w:rPr>
          <w:rStyle w:val="23"/>
          <w:color w:val="000000"/>
          <w:sz w:val="24"/>
        </w:rPr>
      </w:pPr>
      <w:r>
        <w:rPr>
          <w:rStyle w:val="23"/>
          <w:color w:val="000000"/>
          <w:sz w:val="24"/>
        </w:rPr>
        <w:t>项目基本情况</w:t>
      </w:r>
    </w:p>
    <w:p>
      <w:pPr>
        <w:spacing w:line="360" w:lineRule="auto"/>
        <w:rPr>
          <w:rFonts w:hint="eastAsia" w:eastAsia="宋体" w:cs="Times New Roman"/>
          <w:sz w:val="24"/>
          <w:szCs w:val="24"/>
          <w:lang w:eastAsia="zh-CN"/>
        </w:rPr>
      </w:pPr>
      <w:r>
        <w:rPr>
          <w:rFonts w:cs="Times New Roman"/>
          <w:sz w:val="24"/>
          <w:szCs w:val="24"/>
        </w:rPr>
        <w:t>1、项目编号:</w:t>
      </w:r>
      <w:r>
        <w:rPr>
          <w:rFonts w:hint="eastAsia" w:cs="Times New Roman"/>
          <w:sz w:val="24"/>
          <w:szCs w:val="24"/>
        </w:rPr>
        <w:t xml:space="preserve">  </w:t>
      </w:r>
      <w:r>
        <w:rPr>
          <w:rFonts w:hint="eastAsia" w:cs="Times New Roman"/>
          <w:sz w:val="24"/>
          <w:szCs w:val="24"/>
          <w:lang w:eastAsia="zh-CN"/>
        </w:rPr>
        <w:t>LGCG2023151</w:t>
      </w:r>
    </w:p>
    <w:p>
      <w:pPr>
        <w:spacing w:line="360" w:lineRule="auto"/>
        <w:rPr>
          <w:rFonts w:cs="Times New Roman"/>
          <w:sz w:val="24"/>
          <w:szCs w:val="24"/>
        </w:rPr>
      </w:pPr>
      <w:r>
        <w:rPr>
          <w:rFonts w:cs="Times New Roman"/>
          <w:sz w:val="24"/>
          <w:szCs w:val="24"/>
        </w:rPr>
        <w:t>2、项目名称：</w:t>
      </w:r>
      <w:r>
        <w:rPr>
          <w:rFonts w:hint="eastAsia" w:cs="Times New Roman"/>
          <w:sz w:val="24"/>
          <w:szCs w:val="24"/>
        </w:rPr>
        <w:t>龙港市新城建设发展有限公司2023年发行公司债券项目</w:t>
      </w:r>
    </w:p>
    <w:p>
      <w:pPr>
        <w:pStyle w:val="18"/>
        <w:shd w:val="clear" w:color="auto" w:fill="FFFFFF"/>
        <w:spacing w:before="0" w:beforeAutospacing="0" w:after="0" w:afterAutospacing="0" w:line="360" w:lineRule="auto"/>
        <w:rPr>
          <w:rFonts w:hint="default" w:ascii="Times New Roman" w:hAnsi="Times New Roman" w:cs="Times New Roman"/>
          <w:shd w:val="clear" w:color="auto" w:fill="FFFFFF"/>
        </w:rPr>
      </w:pPr>
      <w:r>
        <w:rPr>
          <w:rFonts w:hint="default" w:ascii="Times New Roman" w:hAnsi="Times New Roman" w:cs="Times New Roman"/>
          <w:szCs w:val="24"/>
        </w:rPr>
        <w:t>3、预算金额（最高限价）：</w:t>
      </w:r>
      <w:r>
        <w:rPr>
          <w:rFonts w:hint="default" w:ascii="Times New Roman" w:hAnsi="Times New Roman" w:cs="Times New Roman"/>
          <w:shd w:val="clear" w:color="auto" w:fill="FFFFFF"/>
        </w:rPr>
        <w:t>年承销费率</w:t>
      </w:r>
      <w:r>
        <w:rPr>
          <w:rFonts w:hint="default" w:ascii="Times New Roman" w:hAnsi="Times New Roman" w:cs="Times New Roman"/>
          <w:bCs/>
        </w:rPr>
        <w:t>不高于发行额的0.1%</w:t>
      </w:r>
    </w:p>
    <w:p>
      <w:pPr>
        <w:spacing w:line="360" w:lineRule="auto"/>
        <w:rPr>
          <w:rFonts w:cs="Times New Roman"/>
          <w:sz w:val="24"/>
          <w:szCs w:val="24"/>
        </w:rPr>
      </w:pPr>
      <w:r>
        <w:rPr>
          <w:rFonts w:cs="Times New Roman"/>
          <w:sz w:val="24"/>
          <w:szCs w:val="24"/>
        </w:rPr>
        <w:t>4、采购需求：龙港市新城建设发展有限公司拟发行规模不超过人民币</w:t>
      </w:r>
      <w:r>
        <w:rPr>
          <w:rFonts w:cs="Times New Roman"/>
          <w:sz w:val="24"/>
          <w:szCs w:val="24"/>
          <w:u w:val="single"/>
        </w:rPr>
        <w:t>25</w:t>
      </w:r>
      <w:r>
        <w:rPr>
          <w:rFonts w:cs="Times New Roman"/>
          <w:sz w:val="24"/>
          <w:szCs w:val="24"/>
        </w:rPr>
        <w:t>亿元公司债券，拟定期限不超过</w:t>
      </w:r>
      <w:r>
        <w:rPr>
          <w:rFonts w:cs="Times New Roman"/>
          <w:sz w:val="24"/>
          <w:szCs w:val="24"/>
          <w:u w:val="single"/>
        </w:rPr>
        <w:t>3</w:t>
      </w:r>
      <w:r>
        <w:rPr>
          <w:rFonts w:cs="Times New Roman"/>
          <w:sz w:val="24"/>
          <w:szCs w:val="24"/>
        </w:rPr>
        <w:t>年。 </w:t>
      </w:r>
    </w:p>
    <w:p>
      <w:pPr>
        <w:spacing w:line="360" w:lineRule="auto"/>
        <w:jc w:val="left"/>
        <w:rPr>
          <w:rFonts w:cs="Times New Roman"/>
          <w:sz w:val="24"/>
          <w:szCs w:val="24"/>
        </w:rPr>
      </w:pPr>
      <w:r>
        <w:rPr>
          <w:rFonts w:cs="Times New Roman"/>
          <w:sz w:val="24"/>
          <w:szCs w:val="24"/>
        </w:rPr>
        <w:t>简要规格描述或项目基本概况介绍、用途：详见招标文件第三部分采购内容及要求</w:t>
      </w:r>
    </w:p>
    <w:p>
      <w:pPr>
        <w:spacing w:line="360" w:lineRule="auto"/>
        <w:rPr>
          <w:rFonts w:cs="Times New Roman"/>
          <w:sz w:val="24"/>
          <w:szCs w:val="24"/>
        </w:rPr>
      </w:pPr>
      <w:r>
        <w:rPr>
          <w:rFonts w:cs="Times New Roman"/>
          <w:sz w:val="24"/>
          <w:szCs w:val="24"/>
        </w:rPr>
        <w:t>备注：</w:t>
      </w:r>
    </w:p>
    <w:p>
      <w:pPr>
        <w:spacing w:line="360" w:lineRule="auto"/>
        <w:jc w:val="left"/>
        <w:rPr>
          <w:rFonts w:cs="Times New Roman"/>
          <w:sz w:val="24"/>
          <w:szCs w:val="24"/>
        </w:rPr>
      </w:pPr>
      <w:r>
        <w:rPr>
          <w:rFonts w:cs="Times New Roman"/>
          <w:sz w:val="24"/>
          <w:szCs w:val="24"/>
        </w:rPr>
        <w:t>合同履约期限：详见招标文件</w:t>
      </w:r>
    </w:p>
    <w:p>
      <w:pPr>
        <w:spacing w:line="360" w:lineRule="auto"/>
        <w:jc w:val="left"/>
        <w:rPr>
          <w:rFonts w:cs="Times New Roman"/>
          <w:sz w:val="24"/>
          <w:szCs w:val="24"/>
        </w:rPr>
      </w:pPr>
      <w:r>
        <w:rPr>
          <w:rFonts w:cs="Times New Roman"/>
          <w:sz w:val="24"/>
          <w:szCs w:val="24"/>
        </w:rPr>
        <w:t>本项目</w:t>
      </w:r>
      <w:r>
        <w:rPr>
          <w:rFonts w:hint="eastAsia" w:cs="Times New Roman"/>
          <w:sz w:val="24"/>
          <w:szCs w:val="24"/>
        </w:rPr>
        <w:t>不</w:t>
      </w:r>
      <w:r>
        <w:rPr>
          <w:rFonts w:cs="Times New Roman"/>
          <w:sz w:val="24"/>
          <w:szCs w:val="24"/>
        </w:rPr>
        <w:t>接受联合体投标</w:t>
      </w:r>
      <w:r>
        <w:rPr>
          <w:rFonts w:hint="eastAsia" w:cs="Times New Roman"/>
          <w:sz w:val="24"/>
          <w:szCs w:val="24"/>
        </w:rPr>
        <w:t>。</w:t>
      </w:r>
    </w:p>
    <w:p>
      <w:pPr>
        <w:pStyle w:val="28"/>
        <w:spacing w:before="75" w:after="75" w:line="300" w:lineRule="atLeast"/>
        <w:rPr>
          <w:rStyle w:val="27"/>
          <w:rFonts w:cs="Times New Roman"/>
        </w:rPr>
      </w:pPr>
      <w:r>
        <w:rPr>
          <w:rStyle w:val="23"/>
          <w:color w:val="000000"/>
          <w:sz w:val="24"/>
        </w:rPr>
        <w:t>二、申请人的资格要求：</w:t>
      </w:r>
    </w:p>
    <w:p>
      <w:pPr>
        <w:spacing w:line="360" w:lineRule="auto"/>
        <w:rPr>
          <w:rFonts w:cs="Times New Roman"/>
          <w:sz w:val="24"/>
          <w:szCs w:val="24"/>
        </w:rPr>
      </w:pPr>
      <w:r>
        <w:rPr>
          <w:rFonts w:cs="Times New Roman"/>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Times New Roman"/>
          <w:sz w:val="24"/>
          <w:szCs w:val="24"/>
        </w:rPr>
      </w:pPr>
      <w:r>
        <w:rPr>
          <w:rFonts w:cs="Times New Roman"/>
          <w:sz w:val="24"/>
          <w:szCs w:val="24"/>
        </w:rPr>
        <w:t xml:space="preserve">2.落实政府采购政策需满足的资格要求：无 </w:t>
      </w:r>
    </w:p>
    <w:p>
      <w:pPr>
        <w:pStyle w:val="18"/>
        <w:shd w:val="clear" w:color="auto" w:fill="FFFFFF"/>
        <w:spacing w:before="0" w:beforeAutospacing="0" w:after="0" w:afterAutospacing="0" w:line="360" w:lineRule="auto"/>
        <w:rPr>
          <w:rFonts w:hint="default" w:ascii="Times New Roman" w:hAnsi="Times New Roman" w:cs="Times New Roman"/>
          <w:szCs w:val="24"/>
        </w:rPr>
      </w:pPr>
      <w:r>
        <w:rPr>
          <w:rFonts w:hint="default" w:ascii="Times New Roman" w:hAnsi="Times New Roman" w:cs="Times New Roman"/>
          <w:szCs w:val="24"/>
        </w:rPr>
        <w:t>3.特定资格要求：</w:t>
      </w:r>
      <w:r>
        <w:rPr>
          <w:rFonts w:ascii="Times New Roman" w:hAnsi="Times New Roman" w:cs="Times New Roman"/>
          <w:kern w:val="2"/>
          <w:szCs w:val="24"/>
        </w:rPr>
        <w:t>投标人须具有《证券承销业务许可证》，近三年没有因承销业务不良记录受到证监会、国家发改委等监管机构重大处罚</w:t>
      </w:r>
      <w:r>
        <w:rPr>
          <w:rFonts w:hint="default" w:ascii="Times New Roman" w:hAnsi="Times New Roman" w:cs="Times New Roman"/>
          <w:shd w:val="clear" w:color="auto" w:fill="FFFFFF"/>
        </w:rPr>
        <w:t>。</w:t>
      </w:r>
    </w:p>
    <w:p>
      <w:pPr>
        <w:spacing w:line="360" w:lineRule="auto"/>
        <w:rPr>
          <w:rFonts w:cs="Times New Roman"/>
          <w:sz w:val="24"/>
          <w:szCs w:val="24"/>
        </w:rPr>
      </w:pPr>
      <w:r>
        <w:rPr>
          <w:rFonts w:cs="Times New Roman"/>
          <w:b/>
          <w:bCs/>
          <w:sz w:val="24"/>
          <w:szCs w:val="24"/>
        </w:rPr>
        <w:t>三、获取招标文件</w:t>
      </w:r>
    </w:p>
    <w:p>
      <w:pPr>
        <w:spacing w:line="360" w:lineRule="auto"/>
        <w:rPr>
          <w:rFonts w:cs="Times New Roman"/>
          <w:sz w:val="24"/>
          <w:szCs w:val="24"/>
        </w:rPr>
      </w:pPr>
      <w:r>
        <w:rPr>
          <w:rFonts w:cs="Times New Roman"/>
          <w:sz w:val="24"/>
          <w:szCs w:val="24"/>
        </w:rPr>
        <w:t xml:space="preserve">    时间：/至</w:t>
      </w:r>
      <w:r>
        <w:rPr>
          <w:rFonts w:hint="eastAsia" w:cs="Times New Roman"/>
          <w:color w:val="0000FF"/>
          <w:sz w:val="24"/>
          <w:szCs w:val="24"/>
          <w:lang w:eastAsia="zh-CN"/>
        </w:rPr>
        <w:t>2023年06月13日</w:t>
      </w:r>
      <w:r>
        <w:rPr>
          <w:rFonts w:cs="Times New Roman"/>
          <w:sz w:val="24"/>
          <w:szCs w:val="24"/>
        </w:rPr>
        <w:t xml:space="preserve"> ，每天上午00:00至12:00 ，下午12:00至23:59（北京时间，线上获取法定节假日均可，线下获取文件法定节假日除外）</w:t>
      </w:r>
    </w:p>
    <w:p>
      <w:pPr>
        <w:spacing w:line="360" w:lineRule="auto"/>
        <w:rPr>
          <w:rFonts w:cs="Times New Roman"/>
          <w:sz w:val="24"/>
          <w:szCs w:val="24"/>
        </w:rPr>
      </w:pPr>
      <w:r>
        <w:rPr>
          <w:rFonts w:cs="Times New Roman"/>
          <w:sz w:val="24"/>
          <w:szCs w:val="24"/>
        </w:rPr>
        <w:t xml:space="preserve">    地点（网址）：政采云平台（http://zfcg.czt.zj.gov.cn） </w:t>
      </w:r>
    </w:p>
    <w:p>
      <w:pPr>
        <w:spacing w:line="360" w:lineRule="auto"/>
        <w:rPr>
          <w:rFonts w:hint="default" w:eastAsia="宋体" w:cs="Times New Roman"/>
          <w:sz w:val="24"/>
          <w:szCs w:val="24"/>
          <w:lang w:val="en-US" w:eastAsia="zh-CN"/>
        </w:rPr>
      </w:pPr>
      <w:r>
        <w:rPr>
          <w:rFonts w:cs="Times New Roman"/>
          <w:sz w:val="24"/>
          <w:szCs w:val="24"/>
        </w:rPr>
        <w:t xml:space="preserve">    方式：网上下载 ，并将报名资料（报名登记表、营业执照复印件、法人授权委托书或法人身份证复印件、特定资格要求须提交的资料，以上资料均需加盖公章）发送至</w:t>
      </w:r>
      <w:r>
        <w:rPr>
          <w:rFonts w:hint="eastAsia" w:cs="Times New Roman"/>
          <w:sz w:val="24"/>
          <w:szCs w:val="24"/>
        </w:rPr>
        <w:t>249119727</w:t>
      </w:r>
      <w:r>
        <w:rPr>
          <w:rFonts w:cs="Times New Roman"/>
          <w:sz w:val="24"/>
          <w:szCs w:val="24"/>
        </w:rPr>
        <w:t>@qq.com。</w:t>
      </w:r>
      <w:r>
        <w:rPr>
          <w:rFonts w:hint="eastAsia" w:cs="Times New Roman"/>
          <w:sz w:val="24"/>
          <w:szCs w:val="24"/>
          <w:lang w:val="en-US" w:eastAsia="zh-CN"/>
        </w:rPr>
        <w:t>报名成功视为依法获取。</w:t>
      </w:r>
    </w:p>
    <w:p>
      <w:pPr>
        <w:spacing w:line="360" w:lineRule="auto"/>
        <w:rPr>
          <w:rFonts w:cs="Times New Roman"/>
          <w:sz w:val="24"/>
          <w:szCs w:val="24"/>
        </w:rPr>
      </w:pPr>
      <w:r>
        <w:rPr>
          <w:rFonts w:cs="Times New Roman"/>
          <w:sz w:val="24"/>
          <w:szCs w:val="24"/>
        </w:rPr>
        <w:t xml:space="preserve">    售价（元）：0 </w:t>
      </w:r>
    </w:p>
    <w:p>
      <w:pPr>
        <w:spacing w:line="360" w:lineRule="auto"/>
        <w:rPr>
          <w:rFonts w:cs="Times New Roman"/>
          <w:b/>
          <w:bCs/>
          <w:sz w:val="24"/>
          <w:szCs w:val="24"/>
        </w:rPr>
      </w:pPr>
      <w:r>
        <w:rPr>
          <w:rFonts w:cs="Times New Roman"/>
          <w:b/>
          <w:bCs/>
          <w:sz w:val="24"/>
          <w:szCs w:val="24"/>
        </w:rPr>
        <w:t>四、提交投标文件截止时间、开标时间和地点</w:t>
      </w:r>
    </w:p>
    <w:p>
      <w:pPr>
        <w:spacing w:line="360" w:lineRule="auto"/>
        <w:rPr>
          <w:rFonts w:cs="Times New Roman"/>
          <w:color w:val="0000FF"/>
          <w:sz w:val="24"/>
          <w:szCs w:val="24"/>
        </w:rPr>
      </w:pPr>
      <w:r>
        <w:rPr>
          <w:rFonts w:cs="Times New Roman"/>
          <w:sz w:val="24"/>
          <w:szCs w:val="24"/>
        </w:rPr>
        <w:t xml:space="preserve">    提交投标文件截止时间：</w:t>
      </w:r>
      <w:r>
        <w:rPr>
          <w:rFonts w:hint="eastAsia" w:cs="Times New Roman"/>
          <w:color w:val="0000FF"/>
          <w:sz w:val="24"/>
          <w:szCs w:val="24"/>
          <w:lang w:eastAsia="zh-CN"/>
        </w:rPr>
        <w:t>2023年06月13日</w:t>
      </w:r>
      <w:r>
        <w:rPr>
          <w:rFonts w:cs="Times New Roman"/>
          <w:color w:val="0000FF"/>
          <w:sz w:val="24"/>
          <w:szCs w:val="24"/>
        </w:rPr>
        <w:t>09:30（北京时间）</w:t>
      </w:r>
    </w:p>
    <w:p>
      <w:pPr>
        <w:spacing w:line="360" w:lineRule="auto"/>
        <w:rPr>
          <w:rFonts w:cs="Times New Roman"/>
          <w:sz w:val="24"/>
          <w:szCs w:val="24"/>
        </w:rPr>
      </w:pPr>
      <w:r>
        <w:rPr>
          <w:rFonts w:cs="Times New Roman"/>
          <w:sz w:val="24"/>
          <w:szCs w:val="24"/>
        </w:rPr>
        <w:t xml:space="preserve">    投标地点（网址）：龙港市世纪大道4518号龙港市政务客厅4楼</w:t>
      </w:r>
    </w:p>
    <w:p>
      <w:pPr>
        <w:spacing w:line="360" w:lineRule="auto"/>
        <w:rPr>
          <w:rFonts w:cs="Times New Roman"/>
          <w:sz w:val="24"/>
          <w:szCs w:val="24"/>
        </w:rPr>
      </w:pPr>
      <w:r>
        <w:rPr>
          <w:rFonts w:cs="Times New Roman"/>
          <w:sz w:val="24"/>
          <w:szCs w:val="24"/>
        </w:rPr>
        <w:t xml:space="preserve">    开标时间：</w:t>
      </w:r>
      <w:r>
        <w:rPr>
          <w:rFonts w:hint="eastAsia" w:cs="Times New Roman"/>
          <w:color w:val="0000FF"/>
          <w:sz w:val="24"/>
          <w:szCs w:val="24"/>
          <w:lang w:eastAsia="zh-CN"/>
        </w:rPr>
        <w:t>2023年06月13日</w:t>
      </w:r>
      <w:r>
        <w:rPr>
          <w:rFonts w:cs="Times New Roman"/>
          <w:color w:val="0000FF"/>
          <w:sz w:val="24"/>
          <w:szCs w:val="24"/>
        </w:rPr>
        <w:t>09:30（北京时间）</w:t>
      </w:r>
    </w:p>
    <w:p>
      <w:pPr>
        <w:spacing w:line="360" w:lineRule="auto"/>
        <w:rPr>
          <w:rFonts w:cs="Times New Roman"/>
          <w:sz w:val="24"/>
          <w:szCs w:val="24"/>
        </w:rPr>
      </w:pPr>
      <w:r>
        <w:rPr>
          <w:rFonts w:cs="Times New Roman"/>
          <w:sz w:val="24"/>
          <w:szCs w:val="24"/>
        </w:rPr>
        <w:t xml:space="preserve">    开标地点（网址）：龙港市世纪大道4518号龙港市政务客厅4楼</w:t>
      </w:r>
    </w:p>
    <w:p>
      <w:pPr>
        <w:spacing w:line="360" w:lineRule="auto"/>
        <w:rPr>
          <w:rFonts w:cs="Times New Roman"/>
          <w:b/>
          <w:bCs/>
          <w:sz w:val="24"/>
          <w:szCs w:val="24"/>
        </w:rPr>
      </w:pPr>
      <w:r>
        <w:rPr>
          <w:rFonts w:cs="Times New Roman"/>
          <w:b/>
          <w:bCs/>
          <w:sz w:val="24"/>
          <w:szCs w:val="24"/>
        </w:rPr>
        <w:t xml:space="preserve">五、公告期限 </w:t>
      </w:r>
    </w:p>
    <w:p>
      <w:pPr>
        <w:spacing w:line="360" w:lineRule="auto"/>
        <w:rPr>
          <w:rFonts w:cs="Times New Roman"/>
          <w:sz w:val="24"/>
          <w:szCs w:val="24"/>
        </w:rPr>
      </w:pPr>
      <w:r>
        <w:rPr>
          <w:rFonts w:cs="Times New Roman"/>
          <w:sz w:val="24"/>
          <w:szCs w:val="24"/>
        </w:rPr>
        <w:t xml:space="preserve">    自本公告发布之日起5个工作日。</w:t>
      </w:r>
    </w:p>
    <w:p>
      <w:pPr>
        <w:spacing w:line="360" w:lineRule="auto"/>
        <w:rPr>
          <w:rFonts w:cs="Times New Roman"/>
          <w:b/>
          <w:bCs/>
          <w:sz w:val="24"/>
          <w:szCs w:val="24"/>
        </w:rPr>
      </w:pPr>
      <w:r>
        <w:rPr>
          <w:rFonts w:cs="Times New Roman"/>
          <w:b/>
          <w:bCs/>
          <w:sz w:val="24"/>
          <w:szCs w:val="24"/>
        </w:rPr>
        <w:t>六、其他补充事宜</w:t>
      </w:r>
    </w:p>
    <w:p>
      <w:pPr>
        <w:widowControl w:val="0"/>
        <w:spacing w:line="360" w:lineRule="auto"/>
        <w:ind w:firstLine="480" w:firstLineChars="200"/>
        <w:textAlignment w:val="auto"/>
        <w:rPr>
          <w:rFonts w:cs="Times New Roman"/>
          <w:sz w:val="24"/>
          <w:szCs w:val="24"/>
        </w:rPr>
      </w:pPr>
      <w:r>
        <w:rPr>
          <w:rFonts w:cs="Times New Roman"/>
          <w:sz w:val="24"/>
          <w:szCs w:val="24"/>
        </w:rPr>
        <w:t>1、投标保证金：按照《浙江省财政厅关于明确政府采购保证金管理工作的通知》浙财采监〔2019〕5号文件规定，供应商无需缴纳投标保证金。</w:t>
      </w:r>
    </w:p>
    <w:p>
      <w:pPr>
        <w:widowControl w:val="0"/>
        <w:spacing w:line="360" w:lineRule="auto"/>
        <w:ind w:firstLine="480" w:firstLineChars="200"/>
        <w:textAlignment w:val="auto"/>
        <w:rPr>
          <w:rFonts w:cs="Times New Roman"/>
          <w:sz w:val="24"/>
          <w:szCs w:val="24"/>
        </w:rPr>
      </w:pPr>
      <w:r>
        <w:rPr>
          <w:rFonts w:cs="Times New Roman"/>
          <w:sz w:val="24"/>
          <w:szCs w:val="24"/>
        </w:rPr>
        <w:t>2、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w:t>
      </w:r>
      <w:bookmarkStart w:id="38" w:name="_GoBack"/>
      <w:r>
        <w:rPr>
          <w:rFonts w:cs="Times New Roman"/>
          <w:sz w:val="24"/>
          <w:szCs w:val="24"/>
        </w:rPr>
        <w:t>监督管</w:t>
      </w:r>
      <w:bookmarkEnd w:id="38"/>
      <w:r>
        <w:rPr>
          <w:rFonts w:cs="Times New Roman"/>
          <w:sz w:val="24"/>
          <w:szCs w:val="24"/>
        </w:rPr>
        <w:t>理部门投诉。质疑函范本、投诉书范本请到浙江政府采购网下载专区下载。</w:t>
      </w:r>
    </w:p>
    <w:p>
      <w:pPr>
        <w:widowControl w:val="0"/>
        <w:spacing w:line="360" w:lineRule="auto"/>
        <w:ind w:firstLine="480" w:firstLineChars="200"/>
        <w:textAlignment w:val="auto"/>
        <w:rPr>
          <w:rFonts w:cs="Times New Roman"/>
          <w:sz w:val="24"/>
          <w:szCs w:val="24"/>
        </w:rPr>
      </w:pPr>
      <w:r>
        <w:rPr>
          <w:rFonts w:cs="Times New Roman"/>
          <w:sz w:val="24"/>
          <w:szCs w:val="24"/>
        </w:rPr>
        <w:t>4、关于投标文件递交的相关说明：</w:t>
      </w:r>
    </w:p>
    <w:p>
      <w:pPr>
        <w:widowControl w:val="0"/>
        <w:spacing w:line="360" w:lineRule="auto"/>
        <w:ind w:firstLine="480" w:firstLineChars="200"/>
        <w:textAlignment w:val="auto"/>
        <w:rPr>
          <w:rFonts w:cs="Times New Roman"/>
          <w:sz w:val="24"/>
          <w:szCs w:val="24"/>
        </w:rPr>
      </w:pPr>
      <w:r>
        <w:rPr>
          <w:rFonts w:hint="eastAsia" w:ascii="宋体" w:hAnsi="宋体" w:cs="宋体"/>
          <w:sz w:val="24"/>
          <w:szCs w:val="24"/>
        </w:rPr>
        <w:t>①</w:t>
      </w:r>
      <w:r>
        <w:rPr>
          <w:rFonts w:cs="Times New Roman"/>
          <w:sz w:val="24"/>
          <w:szCs w:val="24"/>
        </w:rPr>
        <w:t>供应商可以采用邮寄的方式递交投标文件，但须备注当面签收确认，并提前5天与我公司经办人联系。否则导致投标文件不能在投标文件递交截止时间前送至开标地点而产生投标无效的后果，须由供应商自行承担。</w:t>
      </w:r>
    </w:p>
    <w:p>
      <w:pPr>
        <w:widowControl w:val="0"/>
        <w:spacing w:line="360" w:lineRule="auto"/>
        <w:ind w:firstLine="480" w:firstLineChars="200"/>
        <w:textAlignment w:val="auto"/>
        <w:rPr>
          <w:rFonts w:cs="Times New Roman"/>
          <w:sz w:val="24"/>
          <w:szCs w:val="24"/>
        </w:rPr>
      </w:pPr>
      <w:r>
        <w:rPr>
          <w:rFonts w:cs="Times New Roman"/>
          <w:sz w:val="24"/>
          <w:szCs w:val="24"/>
        </w:rPr>
        <w:t>邮寄接受人及联系方式：</w:t>
      </w:r>
      <w:r>
        <w:rPr>
          <w:rFonts w:hint="eastAsia" w:cs="Times New Roman"/>
          <w:sz w:val="24"/>
          <w:szCs w:val="24"/>
        </w:rPr>
        <w:t>何先生</w:t>
      </w:r>
      <w:r>
        <w:rPr>
          <w:rFonts w:cs="Times New Roman"/>
          <w:sz w:val="24"/>
          <w:szCs w:val="24"/>
        </w:rPr>
        <w:t xml:space="preserve"> </w:t>
      </w:r>
      <w:r>
        <w:rPr>
          <w:rFonts w:hint="eastAsia" w:cs="Times New Roman"/>
          <w:sz w:val="24"/>
          <w:szCs w:val="24"/>
        </w:rPr>
        <w:t>15057385810</w:t>
      </w:r>
    </w:p>
    <w:p>
      <w:pPr>
        <w:widowControl w:val="0"/>
        <w:spacing w:line="360" w:lineRule="auto"/>
        <w:ind w:firstLine="480" w:firstLineChars="200"/>
        <w:textAlignment w:val="auto"/>
        <w:rPr>
          <w:rFonts w:cs="Times New Roman"/>
          <w:sz w:val="24"/>
          <w:szCs w:val="24"/>
        </w:rPr>
      </w:pPr>
      <w:r>
        <w:rPr>
          <w:rFonts w:cs="Times New Roman"/>
          <w:sz w:val="24"/>
          <w:szCs w:val="24"/>
        </w:rPr>
        <w:t>邮寄地址：龙港市世纪大道4518号龙港市政务客厅4楼</w:t>
      </w:r>
    </w:p>
    <w:p>
      <w:pPr>
        <w:widowControl w:val="0"/>
        <w:spacing w:line="360" w:lineRule="auto"/>
        <w:ind w:firstLine="480" w:firstLineChars="200"/>
        <w:textAlignment w:val="auto"/>
        <w:rPr>
          <w:rFonts w:cs="Times New Roman"/>
          <w:sz w:val="24"/>
          <w:szCs w:val="24"/>
        </w:rPr>
      </w:pPr>
      <w:r>
        <w:rPr>
          <w:rFonts w:hint="eastAsia" w:ascii="宋体" w:hAnsi="宋体" w:cs="宋体"/>
          <w:sz w:val="24"/>
          <w:szCs w:val="24"/>
        </w:rPr>
        <w:t>②</w:t>
      </w:r>
      <w:r>
        <w:rPr>
          <w:rFonts w:cs="Times New Roman"/>
          <w:sz w:val="24"/>
          <w:szCs w:val="24"/>
        </w:rPr>
        <w:t>允许供应商现场递交投标文件，并做好投标文件的密封工作。以现场递交投标文件的供应商必须在规定的投标文件递交截止时间前送到投标文件递交地点。</w:t>
      </w:r>
    </w:p>
    <w:p>
      <w:pPr>
        <w:widowControl w:val="0"/>
        <w:spacing w:line="360" w:lineRule="auto"/>
        <w:ind w:firstLine="480" w:firstLineChars="200"/>
        <w:textAlignment w:val="auto"/>
        <w:rPr>
          <w:rFonts w:cs="Times New Roman"/>
          <w:sz w:val="24"/>
          <w:szCs w:val="24"/>
        </w:rPr>
      </w:pPr>
      <w:r>
        <w:rPr>
          <w:rFonts w:cs="Times New Roman"/>
          <w:sz w:val="24"/>
          <w:szCs w:val="24"/>
        </w:rPr>
        <w:t>以上两种递交方式由供应商自行决定。</w:t>
      </w:r>
    </w:p>
    <w:p>
      <w:pPr>
        <w:widowControl w:val="0"/>
        <w:spacing w:line="360" w:lineRule="auto"/>
        <w:ind w:firstLine="480" w:firstLineChars="200"/>
        <w:textAlignment w:val="auto"/>
        <w:rPr>
          <w:rFonts w:cs="Times New Roman"/>
          <w:sz w:val="24"/>
          <w:szCs w:val="24"/>
        </w:rPr>
      </w:pPr>
      <w:r>
        <w:rPr>
          <w:rFonts w:hint="eastAsia" w:ascii="宋体" w:hAnsi="宋体" w:cs="宋体"/>
          <w:sz w:val="24"/>
          <w:szCs w:val="24"/>
        </w:rPr>
        <w:t>③</w:t>
      </w:r>
      <w:r>
        <w:rPr>
          <w:rFonts w:cs="Times New Roman"/>
          <w:sz w:val="24"/>
          <w:szCs w:val="24"/>
        </w:rPr>
        <w:t>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w:t>
      </w:r>
      <w:r>
        <w:rPr>
          <w:rFonts w:hint="eastAsia" w:cs="Times New Roman"/>
          <w:sz w:val="24"/>
          <w:szCs w:val="24"/>
        </w:rPr>
        <w:t>249119727</w:t>
      </w:r>
      <w:r>
        <w:rPr>
          <w:rFonts w:cs="Times New Roman"/>
          <w:sz w:val="24"/>
          <w:szCs w:val="24"/>
        </w:rPr>
        <w:t>@qq.com.供应商在规定时间内未澄清或确认的则应说明理由，否则视为无异议。</w:t>
      </w:r>
    </w:p>
    <w:p>
      <w:pPr>
        <w:widowControl w:val="0"/>
        <w:spacing w:line="360" w:lineRule="auto"/>
        <w:textAlignment w:val="auto"/>
        <w:rPr>
          <w:rFonts w:cs="Times New Roman"/>
          <w:sz w:val="24"/>
          <w:szCs w:val="24"/>
        </w:rPr>
      </w:pPr>
      <w:r>
        <w:rPr>
          <w:rFonts w:hint="eastAsia" w:cs="Times New Roman"/>
          <w:sz w:val="24"/>
          <w:szCs w:val="24"/>
        </w:rPr>
        <w:t>七</w:t>
      </w:r>
      <w:r>
        <w:rPr>
          <w:rFonts w:cs="Times New Roman"/>
          <w:sz w:val="24"/>
          <w:szCs w:val="24"/>
        </w:rPr>
        <w:t>、对本次采购提出询问、质疑、投诉，请按以下方式联系。</w:t>
      </w:r>
    </w:p>
    <w:p>
      <w:pPr>
        <w:widowControl w:val="0"/>
        <w:spacing w:line="360" w:lineRule="auto"/>
        <w:ind w:firstLine="480" w:firstLineChars="200"/>
        <w:textAlignment w:val="auto"/>
        <w:rPr>
          <w:rFonts w:cs="Times New Roman"/>
          <w:sz w:val="24"/>
          <w:szCs w:val="24"/>
        </w:rPr>
      </w:pPr>
      <w:r>
        <w:rPr>
          <w:rFonts w:cs="Times New Roman"/>
          <w:sz w:val="24"/>
          <w:szCs w:val="24"/>
        </w:rPr>
        <w:t>1.采购人信息</w:t>
      </w:r>
    </w:p>
    <w:p>
      <w:pPr>
        <w:widowControl w:val="0"/>
        <w:spacing w:line="360" w:lineRule="auto"/>
        <w:ind w:firstLine="480" w:firstLineChars="200"/>
        <w:textAlignment w:val="auto"/>
        <w:rPr>
          <w:rFonts w:cs="Times New Roman"/>
          <w:sz w:val="24"/>
          <w:szCs w:val="24"/>
        </w:rPr>
      </w:pPr>
      <w:r>
        <w:rPr>
          <w:rFonts w:cs="Times New Roman"/>
          <w:sz w:val="24"/>
          <w:szCs w:val="24"/>
        </w:rPr>
        <w:t>名    称：龙港市新城建设发展有限公司</w:t>
      </w:r>
    </w:p>
    <w:p>
      <w:pPr>
        <w:widowControl w:val="0"/>
        <w:spacing w:line="360" w:lineRule="auto"/>
        <w:ind w:firstLine="480" w:firstLineChars="200"/>
        <w:textAlignment w:val="auto"/>
        <w:rPr>
          <w:rFonts w:cs="Times New Roman"/>
          <w:sz w:val="24"/>
          <w:szCs w:val="24"/>
        </w:rPr>
      </w:pPr>
      <w:r>
        <w:rPr>
          <w:rFonts w:cs="Times New Roman"/>
          <w:sz w:val="24"/>
          <w:szCs w:val="24"/>
        </w:rPr>
        <w:t>地    址：浙江省温州市龙港市月湖路1号内 </w:t>
      </w:r>
    </w:p>
    <w:p>
      <w:pPr>
        <w:widowControl w:val="0"/>
        <w:spacing w:line="360" w:lineRule="auto"/>
        <w:ind w:firstLine="480" w:firstLineChars="200"/>
        <w:textAlignment w:val="auto"/>
        <w:rPr>
          <w:rFonts w:hint="eastAsia" w:cs="Times New Roman"/>
          <w:sz w:val="24"/>
          <w:szCs w:val="24"/>
        </w:rPr>
      </w:pPr>
      <w:r>
        <w:rPr>
          <w:rFonts w:cs="Times New Roman"/>
          <w:sz w:val="24"/>
          <w:szCs w:val="24"/>
        </w:rPr>
        <w:t>项目联系人（询问）：</w:t>
      </w:r>
      <w:r>
        <w:rPr>
          <w:rFonts w:hint="eastAsia" w:cs="Times New Roman"/>
          <w:sz w:val="24"/>
          <w:szCs w:val="24"/>
        </w:rPr>
        <w:t>官先生</w:t>
      </w:r>
    </w:p>
    <w:p>
      <w:pPr>
        <w:widowControl w:val="0"/>
        <w:spacing w:line="360" w:lineRule="auto"/>
        <w:ind w:firstLine="480" w:firstLineChars="200"/>
        <w:textAlignment w:val="auto"/>
        <w:rPr>
          <w:rFonts w:hint="default" w:eastAsia="宋体" w:cs="Times New Roman"/>
          <w:sz w:val="24"/>
          <w:szCs w:val="24"/>
          <w:lang w:val="en-US" w:eastAsia="zh-CN"/>
        </w:rPr>
      </w:pPr>
      <w:r>
        <w:rPr>
          <w:rFonts w:hint="eastAsia" w:cs="Times New Roman"/>
          <w:sz w:val="24"/>
          <w:szCs w:val="24"/>
          <w:lang w:val="en-US" w:eastAsia="zh-CN"/>
        </w:rPr>
        <w:t>联系电话：0577-59950245</w:t>
      </w:r>
    </w:p>
    <w:p>
      <w:pPr>
        <w:widowControl w:val="0"/>
        <w:spacing w:line="360" w:lineRule="auto"/>
        <w:ind w:firstLine="480" w:firstLineChars="200"/>
        <w:textAlignment w:val="auto"/>
        <w:rPr>
          <w:rFonts w:cs="Times New Roman"/>
          <w:sz w:val="24"/>
          <w:szCs w:val="24"/>
        </w:rPr>
      </w:pPr>
      <w:r>
        <w:rPr>
          <w:rFonts w:cs="Times New Roman"/>
          <w:sz w:val="24"/>
          <w:szCs w:val="24"/>
        </w:rPr>
        <w:t>2.采购代理机构信息</w:t>
      </w:r>
    </w:p>
    <w:p>
      <w:pPr>
        <w:widowControl w:val="0"/>
        <w:spacing w:line="360" w:lineRule="auto"/>
        <w:ind w:firstLine="480" w:firstLineChars="200"/>
        <w:textAlignment w:val="auto"/>
        <w:rPr>
          <w:rFonts w:cs="Times New Roman"/>
          <w:sz w:val="24"/>
          <w:szCs w:val="24"/>
        </w:rPr>
      </w:pPr>
      <w:r>
        <w:rPr>
          <w:rFonts w:cs="Times New Roman"/>
          <w:sz w:val="24"/>
          <w:szCs w:val="24"/>
        </w:rPr>
        <w:t>名    称：</w:t>
      </w:r>
      <w:r>
        <w:rPr>
          <w:rFonts w:hint="eastAsia" w:cs="Times New Roman"/>
          <w:sz w:val="24"/>
          <w:szCs w:val="24"/>
        </w:rPr>
        <w:t>浙江华域高宇项目管理有限公司</w:t>
      </w:r>
      <w:r>
        <w:rPr>
          <w:rFonts w:cs="Times New Roman"/>
          <w:sz w:val="24"/>
          <w:szCs w:val="24"/>
        </w:rPr>
        <w:t> </w:t>
      </w:r>
    </w:p>
    <w:p>
      <w:pPr>
        <w:widowControl w:val="0"/>
        <w:spacing w:line="360" w:lineRule="auto"/>
        <w:ind w:firstLine="480" w:firstLineChars="200"/>
        <w:textAlignment w:val="auto"/>
        <w:rPr>
          <w:rFonts w:cs="Times New Roman"/>
          <w:sz w:val="24"/>
          <w:szCs w:val="24"/>
        </w:rPr>
      </w:pPr>
      <w:r>
        <w:rPr>
          <w:rFonts w:cs="Times New Roman"/>
          <w:sz w:val="24"/>
          <w:szCs w:val="24"/>
        </w:rPr>
        <w:t> 地    址：</w:t>
      </w:r>
      <w:r>
        <w:rPr>
          <w:rFonts w:hint="eastAsia" w:cs="Times New Roman"/>
          <w:sz w:val="24"/>
          <w:szCs w:val="24"/>
          <w:lang w:eastAsia="zh-CN"/>
        </w:rPr>
        <w:t>苍南县灵溪镇矿业科技大厦1-1403室</w:t>
      </w:r>
      <w:r>
        <w:rPr>
          <w:rFonts w:cs="Times New Roman"/>
          <w:sz w:val="24"/>
          <w:szCs w:val="24"/>
        </w:rPr>
        <w:t>   </w:t>
      </w:r>
    </w:p>
    <w:p>
      <w:pPr>
        <w:widowControl w:val="0"/>
        <w:spacing w:line="360" w:lineRule="auto"/>
        <w:ind w:firstLine="480" w:firstLineChars="200"/>
        <w:textAlignment w:val="auto"/>
        <w:rPr>
          <w:rFonts w:cs="Times New Roman"/>
          <w:sz w:val="24"/>
          <w:szCs w:val="24"/>
        </w:rPr>
      </w:pPr>
      <w:r>
        <w:rPr>
          <w:rFonts w:cs="Times New Roman"/>
          <w:sz w:val="24"/>
          <w:szCs w:val="24"/>
        </w:rPr>
        <w:t> 项目联系人（询问）：</w:t>
      </w:r>
      <w:r>
        <w:rPr>
          <w:rFonts w:hint="eastAsia" w:cs="Times New Roman"/>
          <w:sz w:val="24"/>
          <w:szCs w:val="24"/>
        </w:rPr>
        <w:t>何先生</w:t>
      </w:r>
      <w:r>
        <w:rPr>
          <w:rFonts w:cs="Times New Roman"/>
          <w:sz w:val="24"/>
          <w:szCs w:val="24"/>
        </w:rPr>
        <w:t> </w:t>
      </w:r>
    </w:p>
    <w:p>
      <w:pPr>
        <w:widowControl w:val="0"/>
        <w:spacing w:line="360" w:lineRule="auto"/>
        <w:ind w:firstLine="480" w:firstLineChars="200"/>
        <w:textAlignment w:val="auto"/>
        <w:rPr>
          <w:rFonts w:cs="Times New Roman"/>
          <w:sz w:val="24"/>
          <w:szCs w:val="24"/>
        </w:rPr>
      </w:pPr>
      <w:r>
        <w:rPr>
          <w:rFonts w:cs="Times New Roman"/>
          <w:sz w:val="24"/>
          <w:szCs w:val="24"/>
        </w:rPr>
        <w:t> 项目联系方式（询问）：</w:t>
      </w:r>
      <w:r>
        <w:rPr>
          <w:rFonts w:hint="eastAsia" w:cs="Times New Roman"/>
          <w:sz w:val="24"/>
          <w:szCs w:val="24"/>
        </w:rPr>
        <w:t>15057385810</w:t>
      </w:r>
      <w:r>
        <w:rPr>
          <w:rFonts w:cs="Times New Roman"/>
          <w:sz w:val="24"/>
          <w:szCs w:val="24"/>
        </w:rPr>
        <w:t> </w:t>
      </w:r>
    </w:p>
    <w:p>
      <w:pPr>
        <w:widowControl w:val="0"/>
        <w:spacing w:line="360" w:lineRule="auto"/>
        <w:ind w:firstLine="480" w:firstLineChars="200"/>
        <w:textAlignment w:val="auto"/>
        <w:rPr>
          <w:rFonts w:cs="Times New Roman"/>
          <w:sz w:val="24"/>
          <w:szCs w:val="24"/>
        </w:rPr>
      </w:pPr>
      <w:r>
        <w:rPr>
          <w:rFonts w:cs="Times New Roman"/>
          <w:sz w:val="24"/>
          <w:szCs w:val="24"/>
        </w:rPr>
        <w:t> 质疑联系人：</w:t>
      </w:r>
      <w:r>
        <w:rPr>
          <w:rFonts w:hint="eastAsia" w:cs="Times New Roman"/>
          <w:sz w:val="24"/>
          <w:szCs w:val="24"/>
        </w:rPr>
        <w:t>冯先生</w:t>
      </w:r>
      <w:r>
        <w:rPr>
          <w:rFonts w:cs="Times New Roman"/>
          <w:sz w:val="24"/>
          <w:szCs w:val="24"/>
        </w:rPr>
        <w:t> </w:t>
      </w:r>
    </w:p>
    <w:p>
      <w:pPr>
        <w:widowControl w:val="0"/>
        <w:spacing w:line="360" w:lineRule="auto"/>
        <w:ind w:firstLine="480" w:firstLineChars="200"/>
        <w:textAlignment w:val="auto"/>
        <w:rPr>
          <w:rFonts w:cs="Times New Roman"/>
          <w:sz w:val="24"/>
          <w:szCs w:val="24"/>
        </w:rPr>
      </w:pPr>
      <w:r>
        <w:rPr>
          <w:rFonts w:cs="Times New Roman"/>
          <w:sz w:val="24"/>
          <w:szCs w:val="24"/>
        </w:rPr>
        <w:t>质疑联系方式：</w:t>
      </w:r>
      <w:r>
        <w:rPr>
          <w:rFonts w:hint="eastAsia" w:cs="Times New Roman"/>
          <w:sz w:val="24"/>
          <w:szCs w:val="24"/>
        </w:rPr>
        <w:t>0577-68875252</w:t>
      </w:r>
      <w:r>
        <w:rPr>
          <w:rFonts w:cs="Times New Roman"/>
          <w:sz w:val="24"/>
          <w:szCs w:val="24"/>
        </w:rPr>
        <w:t>  </w:t>
      </w:r>
    </w:p>
    <w:p>
      <w:pPr>
        <w:widowControl w:val="0"/>
        <w:spacing w:line="360" w:lineRule="auto"/>
        <w:ind w:firstLine="480" w:firstLineChars="200"/>
        <w:textAlignment w:val="auto"/>
        <w:rPr>
          <w:rFonts w:cs="Times New Roman"/>
          <w:sz w:val="24"/>
          <w:szCs w:val="24"/>
        </w:rPr>
      </w:pPr>
      <w:r>
        <w:rPr>
          <w:rFonts w:cs="Times New Roman"/>
          <w:sz w:val="24"/>
          <w:szCs w:val="24"/>
        </w:rPr>
        <w:t>3.同级采购监督管理部门</w:t>
      </w:r>
    </w:p>
    <w:p>
      <w:pPr>
        <w:widowControl w:val="0"/>
        <w:spacing w:line="360" w:lineRule="auto"/>
        <w:ind w:firstLine="480" w:firstLineChars="200"/>
        <w:textAlignment w:val="auto"/>
        <w:rPr>
          <w:rFonts w:cs="Times New Roman"/>
          <w:sz w:val="24"/>
          <w:szCs w:val="24"/>
        </w:rPr>
      </w:pPr>
      <w:r>
        <w:rPr>
          <w:rFonts w:cs="Times New Roman"/>
          <w:sz w:val="24"/>
          <w:szCs w:val="24"/>
        </w:rPr>
        <w:t>名    称：龙港市新城建设发展有限公司</w:t>
      </w:r>
    </w:p>
    <w:p>
      <w:pPr>
        <w:widowControl w:val="0"/>
        <w:spacing w:line="360" w:lineRule="auto"/>
        <w:ind w:firstLine="480" w:firstLineChars="200"/>
        <w:textAlignment w:val="auto"/>
        <w:rPr>
          <w:rFonts w:cs="Times New Roman"/>
          <w:sz w:val="24"/>
          <w:szCs w:val="24"/>
        </w:rPr>
      </w:pPr>
      <w:r>
        <w:rPr>
          <w:rFonts w:cs="Times New Roman"/>
          <w:sz w:val="24"/>
          <w:szCs w:val="24"/>
        </w:rPr>
        <w:t>地    址：浙江省温州市龙港市月湖路1号内</w:t>
      </w:r>
    </w:p>
    <w:p>
      <w:pPr>
        <w:widowControl w:val="0"/>
        <w:spacing w:line="360" w:lineRule="auto"/>
        <w:ind w:firstLine="480" w:firstLineChars="200"/>
        <w:textAlignment w:val="auto"/>
        <w:rPr>
          <w:rFonts w:cs="Times New Roman"/>
          <w:sz w:val="24"/>
          <w:szCs w:val="24"/>
        </w:rPr>
      </w:pPr>
      <w:r>
        <w:rPr>
          <w:rFonts w:cs="Times New Roman"/>
          <w:sz w:val="24"/>
          <w:szCs w:val="24"/>
        </w:rPr>
        <w:t>联系人：</w:t>
      </w:r>
      <w:r>
        <w:rPr>
          <w:rFonts w:hint="eastAsia" w:cs="Times New Roman"/>
          <w:sz w:val="24"/>
          <w:szCs w:val="24"/>
        </w:rPr>
        <w:t>官先生</w:t>
      </w:r>
      <w:r>
        <w:rPr>
          <w:rFonts w:cs="Times New Roman"/>
          <w:sz w:val="24"/>
          <w:szCs w:val="24"/>
        </w:rPr>
        <w:t> </w:t>
      </w:r>
    </w:p>
    <w:p>
      <w:pPr>
        <w:widowControl w:val="0"/>
        <w:spacing w:line="360" w:lineRule="auto"/>
        <w:ind w:firstLine="480" w:firstLineChars="200"/>
        <w:textAlignment w:val="auto"/>
        <w:rPr>
          <w:rFonts w:cs="Times New Roman"/>
          <w:sz w:val="24"/>
          <w:szCs w:val="24"/>
        </w:rPr>
      </w:pPr>
      <w:r>
        <w:rPr>
          <w:rFonts w:cs="Times New Roman"/>
          <w:sz w:val="24"/>
          <w:szCs w:val="24"/>
        </w:rPr>
        <w:t>监督投诉电话：</w:t>
      </w:r>
      <w:r>
        <w:rPr>
          <w:rFonts w:hint="eastAsia" w:cs="Times New Roman"/>
          <w:sz w:val="24"/>
          <w:szCs w:val="24"/>
          <w:lang w:val="en-US" w:eastAsia="zh-CN"/>
        </w:rPr>
        <w:t>0577-59950245</w:t>
      </w:r>
    </w:p>
    <w:p>
      <w:pPr>
        <w:widowControl w:val="0"/>
        <w:spacing w:line="360" w:lineRule="auto"/>
        <w:ind w:firstLine="480" w:firstLineChars="200"/>
        <w:textAlignment w:val="auto"/>
        <w:rPr>
          <w:rFonts w:cs="Times New Roman"/>
          <w:sz w:val="24"/>
          <w:szCs w:val="24"/>
        </w:rPr>
      </w:pPr>
      <w:r>
        <w:rPr>
          <w:rFonts w:cs="Times New Roman"/>
          <w:sz w:val="24"/>
          <w:szCs w:val="24"/>
        </w:rPr>
        <w:t>传真：</w:t>
      </w:r>
      <w:r>
        <w:rPr>
          <w:rFonts w:hint="eastAsia" w:cs="Times New Roman"/>
          <w:sz w:val="24"/>
          <w:szCs w:val="24"/>
        </w:rPr>
        <w:t>/</w:t>
      </w:r>
    </w:p>
    <w:p>
      <w:pPr>
        <w:widowControl w:val="0"/>
        <w:spacing w:line="360" w:lineRule="auto"/>
        <w:ind w:firstLine="420" w:firstLineChars="200"/>
        <w:textAlignment w:val="auto"/>
        <w:rPr>
          <w:rStyle w:val="27"/>
          <w:rFonts w:cs="Times New Roman"/>
          <w:color w:val="000000"/>
        </w:rPr>
      </w:pPr>
    </w:p>
    <w:p>
      <w:pPr>
        <w:pStyle w:val="28"/>
        <w:spacing w:before="75" w:after="75"/>
        <w:rPr>
          <w:rStyle w:val="27"/>
          <w:rFonts w:cs="Times New Roman"/>
        </w:rPr>
      </w:pPr>
    </w:p>
    <w:p>
      <w:pPr>
        <w:spacing w:after="240"/>
        <w:jc w:val="center"/>
        <w:rPr>
          <w:rStyle w:val="27"/>
          <w:rFonts w:cs="Times New Roman"/>
        </w:rPr>
      </w:pPr>
    </w:p>
    <w:p>
      <w:pPr>
        <w:pStyle w:val="28"/>
        <w:spacing w:before="75" w:after="75"/>
        <w:jc w:val="center"/>
        <w:rPr>
          <w:rStyle w:val="27"/>
          <w:rFonts w:cs="Times New Roman"/>
          <w:b/>
          <w:bCs/>
          <w:sz w:val="36"/>
          <w:szCs w:val="36"/>
        </w:rPr>
      </w:pPr>
    </w:p>
    <w:p>
      <w:pPr>
        <w:pStyle w:val="28"/>
        <w:spacing w:before="75" w:after="75"/>
        <w:jc w:val="center"/>
        <w:rPr>
          <w:rStyle w:val="27"/>
          <w:rFonts w:cs="Times New Roman"/>
          <w:b/>
          <w:bCs/>
          <w:sz w:val="36"/>
          <w:szCs w:val="36"/>
        </w:rPr>
      </w:pPr>
    </w:p>
    <w:p>
      <w:pPr>
        <w:pStyle w:val="28"/>
        <w:spacing w:before="75" w:after="75"/>
        <w:jc w:val="center"/>
        <w:rPr>
          <w:rStyle w:val="27"/>
          <w:rFonts w:cs="Times New Roman"/>
          <w:b/>
          <w:bCs/>
          <w:sz w:val="36"/>
          <w:szCs w:val="36"/>
        </w:rPr>
      </w:pPr>
    </w:p>
    <w:p>
      <w:pPr>
        <w:pStyle w:val="28"/>
        <w:spacing w:before="75" w:after="75"/>
        <w:jc w:val="center"/>
        <w:rPr>
          <w:rStyle w:val="27"/>
          <w:rFonts w:cs="Times New Roman"/>
          <w:b/>
          <w:bCs/>
          <w:sz w:val="36"/>
          <w:szCs w:val="36"/>
        </w:rPr>
      </w:pPr>
    </w:p>
    <w:p>
      <w:pPr>
        <w:pStyle w:val="28"/>
        <w:spacing w:before="75" w:after="75"/>
        <w:jc w:val="center"/>
        <w:rPr>
          <w:rStyle w:val="27"/>
          <w:rFonts w:cs="Times New Roman"/>
          <w:b/>
          <w:bCs/>
          <w:sz w:val="36"/>
          <w:szCs w:val="36"/>
        </w:rPr>
      </w:pPr>
    </w:p>
    <w:p>
      <w:pPr>
        <w:pStyle w:val="28"/>
        <w:spacing w:before="75" w:after="75"/>
        <w:jc w:val="center"/>
        <w:rPr>
          <w:rStyle w:val="27"/>
          <w:rFonts w:cs="Times New Roman"/>
          <w:b/>
          <w:bCs/>
          <w:sz w:val="36"/>
          <w:szCs w:val="36"/>
        </w:rPr>
      </w:pPr>
    </w:p>
    <w:p>
      <w:pPr>
        <w:pStyle w:val="28"/>
        <w:spacing w:before="75" w:after="75"/>
        <w:jc w:val="center"/>
        <w:rPr>
          <w:rStyle w:val="27"/>
          <w:rFonts w:cs="Times New Roman"/>
          <w:b/>
          <w:bCs/>
          <w:sz w:val="36"/>
          <w:szCs w:val="36"/>
        </w:rPr>
      </w:pPr>
      <w:r>
        <w:rPr>
          <w:rStyle w:val="27"/>
          <w:rFonts w:cs="Times New Roman"/>
          <w:b/>
          <w:bCs/>
          <w:sz w:val="36"/>
          <w:szCs w:val="36"/>
        </w:rPr>
        <w:t>供应商报名登记表</w:t>
      </w:r>
    </w:p>
    <w:p>
      <w:pPr>
        <w:pStyle w:val="29"/>
        <w:rPr>
          <w:rStyle w:val="27"/>
          <w:rFonts w:cs="Times New Roman"/>
        </w:rPr>
      </w:pPr>
    </w:p>
    <w:tbl>
      <w:tblPr>
        <w:tblStyle w:val="20"/>
        <w:tblW w:w="9721"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0" w:type="dxa"/>
          <w:bottom w:w="0" w:type="dxa"/>
          <w:right w:w="0" w:type="dxa"/>
        </w:tblCellMar>
      </w:tblPr>
      <w:tblGrid>
        <w:gridCol w:w="986"/>
        <w:gridCol w:w="982"/>
        <w:gridCol w:w="2880"/>
        <w:gridCol w:w="370"/>
        <w:gridCol w:w="1115"/>
        <w:gridCol w:w="3388"/>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20" w:hRule="atLeast"/>
          <w:jc w:val="center"/>
        </w:trPr>
        <w:tc>
          <w:tcPr>
            <w:tcW w:w="1968" w:type="dxa"/>
            <w:gridSpan w:val="2"/>
            <w:tcBorders>
              <w:top w:val="single" w:color="000000" w:sz="18"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日    期</w:t>
            </w:r>
          </w:p>
        </w:tc>
        <w:tc>
          <w:tcPr>
            <w:tcW w:w="7753" w:type="dxa"/>
            <w:gridSpan w:val="4"/>
            <w:tcBorders>
              <w:top w:val="single" w:color="000000" w:sz="18" w:space="0"/>
              <w:left w:val="single" w:color="000000" w:sz="6" w:space="0"/>
              <w:bottom w:val="single" w:color="000000" w:sz="6" w:space="0"/>
              <w:right w:val="single" w:color="000000" w:sz="18" w:space="0"/>
            </w:tcBorders>
            <w:vAlign w:val="center"/>
          </w:tcPr>
          <w:p>
            <w:pPr>
              <w:spacing w:line="520" w:lineRule="exact"/>
              <w:ind w:firstLine="210" w:firstLineChars="100"/>
              <w:jc w:val="left"/>
              <w:rPr>
                <w:rStyle w:val="27"/>
                <w:rFonts w:cs="Times New Roman"/>
                <w:bCs/>
                <w:szCs w:val="22"/>
              </w:rPr>
            </w:pPr>
            <w:r>
              <w:rPr>
                <w:rStyle w:val="27"/>
                <w:rFonts w:cs="Times New Roman"/>
                <w:bCs/>
                <w:szCs w:val="22"/>
              </w:rPr>
              <w:t>2023年    月     日</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项目名称</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项目编号</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供应商名称（公章）</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统一社会信用代码</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项目联系人</w:t>
            </w:r>
          </w:p>
        </w:tc>
        <w:tc>
          <w:tcPr>
            <w:tcW w:w="2880"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27"/>
                <w:rFonts w:cs="Times New Roman"/>
                <w:bCs/>
                <w:szCs w:val="22"/>
              </w:rPr>
            </w:pPr>
            <w:r>
              <w:rPr>
                <w:rStyle w:val="27"/>
                <w:rFonts w:cs="Times New Roman"/>
                <w:bCs/>
                <w:szCs w:val="22"/>
              </w:rPr>
              <w:t> </w:t>
            </w:r>
          </w:p>
        </w:tc>
        <w:tc>
          <w:tcPr>
            <w:tcW w:w="1485" w:type="dxa"/>
            <w:gridSpan w:val="2"/>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手    机</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r>
              <w:rPr>
                <w:rStyle w:val="27"/>
                <w:rFonts w:cs="Times New Roman"/>
                <w:bCs/>
                <w:szCs w:val="22"/>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联系电话</w:t>
            </w:r>
          </w:p>
        </w:tc>
        <w:tc>
          <w:tcPr>
            <w:tcW w:w="2880"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27"/>
                <w:rFonts w:cs="Times New Roman"/>
                <w:bCs/>
                <w:szCs w:val="22"/>
              </w:rPr>
            </w:pPr>
            <w:r>
              <w:rPr>
                <w:rStyle w:val="27"/>
                <w:rFonts w:cs="Times New Roman"/>
                <w:bCs/>
                <w:szCs w:val="22"/>
              </w:rPr>
              <w:t> </w:t>
            </w:r>
          </w:p>
        </w:tc>
        <w:tc>
          <w:tcPr>
            <w:tcW w:w="1485" w:type="dxa"/>
            <w:gridSpan w:val="2"/>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传    真</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r>
              <w:rPr>
                <w:rStyle w:val="27"/>
                <w:rFonts w:cs="Times New Roman"/>
                <w:bCs/>
                <w:szCs w:val="22"/>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E-mail</w:t>
            </w:r>
          </w:p>
        </w:tc>
        <w:tc>
          <w:tcPr>
            <w:tcW w:w="2880"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27"/>
                <w:rFonts w:cs="Times New Roman"/>
                <w:bCs/>
                <w:szCs w:val="22"/>
              </w:rPr>
            </w:pPr>
            <w:r>
              <w:rPr>
                <w:rStyle w:val="27"/>
                <w:rFonts w:cs="Times New Roman"/>
                <w:bCs/>
                <w:szCs w:val="22"/>
              </w:rPr>
              <w:t> </w:t>
            </w:r>
          </w:p>
        </w:tc>
        <w:tc>
          <w:tcPr>
            <w:tcW w:w="1485" w:type="dxa"/>
            <w:gridSpan w:val="2"/>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邮政编码</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r>
              <w:rPr>
                <w:rStyle w:val="27"/>
                <w:rFonts w:cs="Times New Roman"/>
                <w:bCs/>
                <w:szCs w:val="22"/>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通信地址</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r>
              <w:rPr>
                <w:rStyle w:val="27"/>
                <w:rFonts w:cs="Times New Roman"/>
                <w:bCs/>
                <w:szCs w:val="22"/>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9721" w:type="dxa"/>
            <w:gridSpan w:val="6"/>
            <w:tcBorders>
              <w:top w:val="single" w:color="000000" w:sz="6" w:space="0"/>
              <w:left w:val="single" w:color="000000" w:sz="18" w:space="0"/>
              <w:bottom w:val="single" w:color="000000" w:sz="6" w:space="0"/>
              <w:right w:val="single" w:color="000000" w:sz="18" w:space="0"/>
            </w:tcBorders>
            <w:vAlign w:val="center"/>
          </w:tcPr>
          <w:p>
            <w:pPr>
              <w:spacing w:line="520" w:lineRule="exact"/>
              <w:jc w:val="center"/>
              <w:rPr>
                <w:rStyle w:val="27"/>
                <w:rFonts w:cs="Times New Roman"/>
                <w:bCs/>
                <w:szCs w:val="22"/>
              </w:rPr>
            </w:pPr>
            <w:r>
              <w:rPr>
                <w:rStyle w:val="27"/>
                <w:rFonts w:cs="Times New Roman"/>
                <w:bCs/>
                <w:szCs w:val="22"/>
              </w:rPr>
              <w:t>提交的报名文件资料</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序号</w:t>
            </w: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报  名  资  料</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cs="Times New Roman"/>
                <w:bCs/>
                <w:szCs w:val="22"/>
              </w:rPr>
              <w:t>是否提交</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center"/>
              <w:rPr>
                <w:rStyle w:val="27"/>
                <w:rFonts w:cs="Times New Roman"/>
                <w:bCs/>
                <w:szCs w:val="22"/>
              </w:rPr>
            </w:pPr>
            <w:r>
              <w:rPr>
                <w:rStyle w:val="27"/>
                <w:rFonts w:cs="Times New Roman"/>
                <w:bCs/>
                <w:szCs w:val="22"/>
              </w:rPr>
              <w:t>备    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843"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hint="eastAsia" w:cs="Times New Roman"/>
                <w:bCs/>
                <w:szCs w:val="22"/>
              </w:rPr>
              <w:t>1</w:t>
            </w: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ind w:firstLine="210" w:firstLineChars="100"/>
              <w:jc w:val="left"/>
              <w:rPr>
                <w:rStyle w:val="27"/>
                <w:rFonts w:cs="Times New Roman"/>
                <w:bCs/>
                <w:szCs w:val="22"/>
              </w:rPr>
            </w:pPr>
            <w:r>
              <w:rPr>
                <w:rStyle w:val="27"/>
                <w:rFonts w:cs="Times New Roman"/>
                <w:bCs/>
                <w:szCs w:val="22"/>
              </w:rPr>
              <w:t>有效的工商执照、税务登记证（副本复印件）</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27"/>
                <w:rFonts w:cs="Times New Roman"/>
                <w:bCs/>
                <w:szCs w:val="22"/>
              </w:rPr>
            </w:pP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hint="eastAsia" w:cs="Times New Roman"/>
                <w:bCs/>
                <w:szCs w:val="22"/>
              </w:rPr>
              <w:t>2</w:t>
            </w: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ind w:firstLine="210" w:firstLineChars="100"/>
              <w:jc w:val="left"/>
              <w:rPr>
                <w:rStyle w:val="27"/>
                <w:rFonts w:cs="Times New Roman"/>
                <w:bCs/>
                <w:szCs w:val="22"/>
              </w:rPr>
            </w:pPr>
            <w:r>
              <w:rPr>
                <w:rStyle w:val="27"/>
                <w:rFonts w:hint="eastAsia" w:cs="Times New Roman"/>
                <w:bCs/>
                <w:szCs w:val="22"/>
              </w:rPr>
              <w:t>证券承销业务许可证</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27"/>
                <w:rFonts w:cs="Times New Roman"/>
                <w:bCs/>
                <w:szCs w:val="22"/>
              </w:rPr>
            </w:pP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ind w:firstLine="210" w:firstLineChars="100"/>
              <w:jc w:val="left"/>
              <w:rPr>
                <w:rStyle w:val="27"/>
                <w:rFonts w:cs="Times New Roman"/>
                <w:bCs/>
                <w:szCs w:val="22"/>
              </w:rPr>
            </w:pPr>
            <w:r>
              <w:rPr>
                <w:rStyle w:val="27"/>
                <w:rFonts w:cs="Times New Roman"/>
                <w:bCs/>
                <w:szCs w:val="22"/>
              </w:rPr>
              <w:t>注册资金：        万元</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hint="eastAsia" w:cs="Times New Roman"/>
                <w:bCs/>
                <w:szCs w:val="22"/>
              </w:rPr>
              <w:t>3</w:t>
            </w: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ind w:firstLine="210" w:firstLineChars="100"/>
              <w:jc w:val="left"/>
              <w:rPr>
                <w:rStyle w:val="27"/>
                <w:rFonts w:cs="Times New Roman"/>
                <w:bCs/>
                <w:szCs w:val="22"/>
              </w:rPr>
            </w:pPr>
            <w:r>
              <w:rPr>
                <w:rStyle w:val="27"/>
                <w:rFonts w:hint="eastAsia" w:cs="Times New Roman"/>
                <w:bCs/>
                <w:szCs w:val="22"/>
              </w:rPr>
              <w:t>……</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27"/>
                <w:rFonts w:cs="Times New Roman"/>
                <w:bCs/>
                <w:szCs w:val="22"/>
              </w:rPr>
            </w:pP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27"/>
                <w:rFonts w:cs="Times New Roman"/>
                <w:bCs/>
                <w:szCs w:val="2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27"/>
                <w:rFonts w:cs="Times New Roman"/>
                <w:bCs/>
                <w:szCs w:val="22"/>
              </w:rPr>
            </w:pPr>
            <w:r>
              <w:rPr>
                <w:rStyle w:val="27"/>
                <w:rFonts w:hint="eastAsia" w:cs="Times New Roman"/>
                <w:bCs/>
                <w:szCs w:val="22"/>
              </w:rPr>
              <w:t>4</w:t>
            </w: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ind w:firstLine="210" w:firstLineChars="100"/>
              <w:jc w:val="left"/>
              <w:rPr>
                <w:rStyle w:val="27"/>
                <w:rFonts w:cs="Times New Roman"/>
                <w:bCs/>
                <w:szCs w:val="22"/>
              </w:rPr>
            </w:pPr>
            <w:r>
              <w:rPr>
                <w:rStyle w:val="27"/>
                <w:rFonts w:hint="eastAsia" w:cs="Times New Roman"/>
                <w:bCs/>
                <w:szCs w:val="22"/>
              </w:rPr>
              <w:t>……</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27"/>
                <w:rFonts w:cs="Times New Roman"/>
                <w:bCs/>
                <w:szCs w:val="22"/>
              </w:rPr>
            </w:pPr>
          </w:p>
        </w:tc>
        <w:tc>
          <w:tcPr>
            <w:tcW w:w="3388" w:type="dxa"/>
            <w:vMerge w:val="restart"/>
            <w:tcBorders>
              <w:top w:val="single" w:color="000000" w:sz="6" w:space="0"/>
              <w:left w:val="single" w:color="000000" w:sz="6" w:space="0"/>
              <w:bottom w:val="single" w:color="000000" w:sz="6" w:space="0"/>
              <w:right w:val="single" w:color="000000" w:sz="18" w:space="0"/>
            </w:tcBorders>
            <w:vAlign w:val="center"/>
          </w:tcPr>
          <w:p>
            <w:pPr>
              <w:spacing w:line="520" w:lineRule="exact"/>
              <w:ind w:firstLine="210" w:firstLineChars="100"/>
              <w:jc w:val="left"/>
              <w:rPr>
                <w:rStyle w:val="27"/>
                <w:rFonts w:cs="Times New Roman"/>
                <w:bCs/>
                <w:szCs w:val="22"/>
              </w:rPr>
            </w:pPr>
            <w:r>
              <w:rPr>
                <w:rStyle w:val="27"/>
                <w:rFonts w:cs="Times New Roman"/>
                <w:bCs/>
                <w:szCs w:val="22"/>
              </w:rPr>
              <w:t>售后服务点： 温州：□       </w:t>
            </w:r>
          </w:p>
          <w:p>
            <w:pPr>
              <w:spacing w:line="520" w:lineRule="exact"/>
              <w:ind w:firstLine="210" w:firstLineChars="100"/>
              <w:jc w:val="left"/>
              <w:rPr>
                <w:rStyle w:val="27"/>
                <w:rFonts w:cs="Times New Roman"/>
                <w:bCs/>
                <w:szCs w:val="22"/>
              </w:rPr>
            </w:pPr>
            <w:r>
              <w:rPr>
                <w:rStyle w:val="27"/>
                <w:rFonts w:cs="Times New Roman"/>
                <w:bCs/>
                <w:szCs w:val="22"/>
              </w:rPr>
              <w:t>其他：□</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14" w:hRule="atLeast"/>
          <w:jc w:val="center"/>
        </w:trPr>
        <w:tc>
          <w:tcPr>
            <w:tcW w:w="986" w:type="dxa"/>
            <w:tcBorders>
              <w:top w:val="single" w:color="000000" w:sz="6" w:space="0"/>
              <w:left w:val="single" w:color="000000" w:sz="18" w:space="0"/>
              <w:bottom w:val="single" w:color="000000" w:sz="18" w:space="0"/>
              <w:right w:val="single" w:color="000000" w:sz="6" w:space="0"/>
            </w:tcBorders>
            <w:vAlign w:val="center"/>
          </w:tcPr>
          <w:p>
            <w:pPr>
              <w:spacing w:line="520" w:lineRule="exact"/>
              <w:jc w:val="center"/>
              <w:rPr>
                <w:rStyle w:val="27"/>
                <w:rFonts w:cs="Times New Roman"/>
                <w:bCs/>
                <w:szCs w:val="22"/>
              </w:rPr>
            </w:pPr>
            <w:r>
              <w:rPr>
                <w:rStyle w:val="27"/>
                <w:rFonts w:hint="eastAsia" w:cs="Times New Roman"/>
                <w:bCs/>
                <w:szCs w:val="22"/>
              </w:rPr>
              <w:t>5</w:t>
            </w:r>
          </w:p>
        </w:tc>
        <w:tc>
          <w:tcPr>
            <w:tcW w:w="4232" w:type="dxa"/>
            <w:gridSpan w:val="3"/>
            <w:tcBorders>
              <w:top w:val="single" w:color="000000" w:sz="6" w:space="0"/>
              <w:left w:val="single" w:color="000000" w:sz="6" w:space="0"/>
              <w:bottom w:val="single" w:color="000000" w:sz="18" w:space="0"/>
              <w:right w:val="single" w:color="000000" w:sz="6" w:space="0"/>
            </w:tcBorders>
            <w:vAlign w:val="center"/>
          </w:tcPr>
          <w:p>
            <w:pPr>
              <w:spacing w:line="520" w:lineRule="exact"/>
              <w:jc w:val="left"/>
              <w:rPr>
                <w:rStyle w:val="27"/>
                <w:rFonts w:cs="Times New Roman"/>
                <w:bCs/>
                <w:szCs w:val="22"/>
              </w:rPr>
            </w:pPr>
            <w:r>
              <w:rPr>
                <w:rStyle w:val="27"/>
                <w:rFonts w:hint="eastAsia" w:cs="Times New Roman"/>
                <w:bCs/>
                <w:szCs w:val="22"/>
              </w:rPr>
              <w:t xml:space="preserve"> ……</w:t>
            </w:r>
          </w:p>
        </w:tc>
        <w:tc>
          <w:tcPr>
            <w:tcW w:w="1115" w:type="dxa"/>
            <w:tcBorders>
              <w:top w:val="single" w:color="000000" w:sz="6" w:space="0"/>
              <w:left w:val="single" w:color="000000" w:sz="6" w:space="0"/>
              <w:bottom w:val="single" w:color="000000" w:sz="18" w:space="0"/>
              <w:right w:val="single" w:color="000000" w:sz="6" w:space="0"/>
            </w:tcBorders>
            <w:vAlign w:val="center"/>
          </w:tcPr>
          <w:p>
            <w:pPr>
              <w:spacing w:line="520" w:lineRule="exact"/>
              <w:jc w:val="left"/>
              <w:rPr>
                <w:rStyle w:val="27"/>
                <w:rFonts w:cs="Times New Roman"/>
                <w:bCs/>
                <w:szCs w:val="22"/>
              </w:rPr>
            </w:pPr>
          </w:p>
        </w:tc>
        <w:tc>
          <w:tcPr>
            <w:tcW w:w="3388" w:type="dxa"/>
            <w:vMerge w:val="continue"/>
            <w:tcBorders>
              <w:top w:val="single" w:color="000000" w:sz="6" w:space="0"/>
              <w:left w:val="single" w:color="000000" w:sz="6" w:space="0"/>
              <w:bottom w:val="single" w:color="000000" w:sz="18" w:space="0"/>
              <w:right w:val="single" w:color="000000" w:sz="18" w:space="0"/>
            </w:tcBorders>
            <w:vAlign w:val="center"/>
          </w:tcPr>
          <w:p>
            <w:pPr>
              <w:spacing w:line="520" w:lineRule="exact"/>
              <w:jc w:val="left"/>
              <w:rPr>
                <w:rStyle w:val="27"/>
                <w:rFonts w:cs="Times New Roman"/>
                <w:bCs/>
                <w:szCs w:val="22"/>
              </w:rPr>
            </w:pPr>
          </w:p>
        </w:tc>
      </w:tr>
    </w:tbl>
    <w:p>
      <w:pPr>
        <w:jc w:val="center"/>
        <w:rPr>
          <w:rStyle w:val="27"/>
          <w:rFonts w:cs="Times New Roman"/>
          <w:color w:val="333333"/>
          <w:kern w:val="0"/>
          <w:sz w:val="24"/>
        </w:rPr>
      </w:pPr>
    </w:p>
    <w:p>
      <w:pPr>
        <w:rPr>
          <w:rStyle w:val="27"/>
          <w:rFonts w:cs="Times New Roman"/>
          <w:color w:val="333333"/>
          <w:kern w:val="0"/>
          <w:sz w:val="24"/>
        </w:rPr>
      </w:pPr>
    </w:p>
    <w:p>
      <w:pPr>
        <w:ind w:firstLine="2891" w:firstLineChars="900"/>
        <w:rPr>
          <w:rStyle w:val="27"/>
          <w:rFonts w:cs="Times New Roman"/>
          <w:b/>
          <w:color w:val="000000"/>
          <w:sz w:val="32"/>
          <w:szCs w:val="32"/>
        </w:rPr>
      </w:pPr>
    </w:p>
    <w:p>
      <w:pPr>
        <w:ind w:firstLine="2891" w:firstLineChars="900"/>
        <w:rPr>
          <w:rStyle w:val="27"/>
          <w:rFonts w:cs="Times New Roman"/>
          <w:b/>
          <w:color w:val="000000"/>
          <w:sz w:val="32"/>
          <w:szCs w:val="32"/>
        </w:rPr>
      </w:pPr>
    </w:p>
    <w:p>
      <w:pPr>
        <w:ind w:firstLine="2891" w:firstLineChars="900"/>
        <w:rPr>
          <w:rStyle w:val="27"/>
          <w:rFonts w:cs="Times New Roman"/>
          <w:b/>
          <w:color w:val="000000"/>
          <w:sz w:val="32"/>
          <w:szCs w:val="32"/>
        </w:rPr>
      </w:pPr>
    </w:p>
    <w:p>
      <w:pPr>
        <w:ind w:firstLine="2891" w:firstLineChars="900"/>
        <w:rPr>
          <w:rStyle w:val="27"/>
          <w:rFonts w:cs="Times New Roman"/>
          <w:b/>
          <w:color w:val="000000"/>
          <w:sz w:val="32"/>
          <w:szCs w:val="32"/>
        </w:rPr>
      </w:pPr>
    </w:p>
    <w:p>
      <w:pPr>
        <w:ind w:firstLine="2891" w:firstLineChars="900"/>
        <w:rPr>
          <w:rStyle w:val="27"/>
          <w:rFonts w:cs="Times New Roman"/>
          <w:b/>
          <w:color w:val="000000"/>
          <w:sz w:val="32"/>
          <w:szCs w:val="32"/>
        </w:rPr>
      </w:pPr>
    </w:p>
    <w:p>
      <w:pPr>
        <w:ind w:firstLine="2891" w:firstLineChars="900"/>
        <w:rPr>
          <w:rStyle w:val="27"/>
          <w:rFonts w:cs="Times New Roman"/>
          <w:b/>
          <w:color w:val="000000"/>
          <w:sz w:val="32"/>
          <w:szCs w:val="32"/>
        </w:rPr>
      </w:pPr>
      <w:r>
        <w:rPr>
          <w:rStyle w:val="27"/>
          <w:rFonts w:cs="Times New Roman"/>
          <w:b/>
          <w:color w:val="000000"/>
          <w:sz w:val="32"/>
          <w:szCs w:val="32"/>
        </w:rPr>
        <w:t>投 标 通 知 (邀 请) 书</w:t>
      </w:r>
    </w:p>
    <w:p>
      <w:pPr>
        <w:spacing w:line="360" w:lineRule="auto"/>
        <w:ind w:firstLine="440" w:firstLineChars="200"/>
        <w:textAlignment w:val="auto"/>
        <w:rPr>
          <w:rStyle w:val="27"/>
          <w:rFonts w:cs="Times New Roman"/>
          <w:color w:val="000000"/>
          <w:szCs w:val="22"/>
        </w:rPr>
      </w:pPr>
      <w:r>
        <w:rPr>
          <w:rStyle w:val="27"/>
          <w:rFonts w:hint="eastAsia" w:cs="Times New Roman"/>
          <w:kern w:val="0"/>
          <w:sz w:val="22"/>
          <w:szCs w:val="22"/>
        </w:rPr>
        <w:t>浙江华域高宇项目管理有限公司</w:t>
      </w:r>
      <w:r>
        <w:rPr>
          <w:rStyle w:val="27"/>
          <w:rFonts w:cs="Times New Roman"/>
          <w:kern w:val="0"/>
          <w:sz w:val="22"/>
          <w:szCs w:val="22"/>
        </w:rPr>
        <w:t>受龙港市新城建设发展有限公司委托，对</w:t>
      </w:r>
      <w:r>
        <w:rPr>
          <w:rStyle w:val="27"/>
          <w:rFonts w:hint="eastAsia" w:cs="Times New Roman"/>
          <w:color w:val="0000FF"/>
        </w:rPr>
        <w:t>龙港市新城建设发展有限公司2023年发行公司债券项目</w:t>
      </w:r>
      <w:r>
        <w:rPr>
          <w:rStyle w:val="27"/>
          <w:rFonts w:cs="Times New Roman"/>
          <w:kern w:val="0"/>
          <w:sz w:val="22"/>
          <w:szCs w:val="22"/>
        </w:rPr>
        <w:t>进行公开招标，特通知贵公司（企业）前来投标。并请按招标文件的要求认真准备好投标文件，按时前来</w:t>
      </w:r>
      <w:r>
        <w:rPr>
          <w:rStyle w:val="27"/>
          <w:rFonts w:cs="Times New Roman"/>
          <w:color w:val="000000"/>
          <w:szCs w:val="22"/>
        </w:rPr>
        <w:t>投标。</w:t>
      </w:r>
    </w:p>
    <w:tbl>
      <w:tblPr>
        <w:tblStyle w:val="20"/>
        <w:tblW w:w="9155"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3"/>
        <w:gridCol w:w="6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93" w:type="dxa"/>
            <w:tcBorders>
              <w:top w:val="doub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采购编号</w:t>
            </w:r>
          </w:p>
        </w:tc>
        <w:tc>
          <w:tcPr>
            <w:tcW w:w="6962" w:type="dxa"/>
            <w:tcBorders>
              <w:top w:val="doub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hint="eastAsia" w:cs="Times New Roman"/>
                <w:color w:val="000000"/>
                <w:szCs w:val="22"/>
              </w:rPr>
              <w:t>LGCG2023151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 xml:space="preserve">采购内容 </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b/>
                <w:bCs/>
                <w:color w:val="000000"/>
                <w:szCs w:val="22"/>
              </w:rPr>
            </w:pPr>
            <w:r>
              <w:rPr>
                <w:rStyle w:val="27"/>
                <w:rFonts w:hint="eastAsia" w:cs="Times New Roman"/>
                <w:color w:val="0000FF"/>
              </w:rPr>
              <w:t>龙港市新城建设发展有限公司2023年发行公司债券项目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资金来源</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bCs/>
                <w:color w:val="000000"/>
                <w:szCs w:val="22"/>
              </w:rPr>
            </w:pPr>
            <w:r>
              <w:rPr>
                <w:rStyle w:val="27"/>
                <w:rFonts w:cs="Times New Roman"/>
                <w:bCs/>
                <w:color w:val="000000"/>
                <w:szCs w:val="22"/>
              </w:rPr>
              <w:t>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napToGrid w:val="0"/>
              <w:spacing w:line="400" w:lineRule="exact"/>
              <w:rPr>
                <w:rStyle w:val="27"/>
                <w:rFonts w:cs="Times New Roman"/>
                <w:color w:val="000000"/>
                <w:szCs w:val="22"/>
              </w:rPr>
            </w:pPr>
            <w:r>
              <w:rPr>
                <w:rStyle w:val="27"/>
                <w:rFonts w:cs="Times New Roman"/>
                <w:sz w:val="22"/>
                <w:szCs w:val="22"/>
              </w:rPr>
              <w:t>采购预算</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28"/>
              <w:spacing w:before="75" w:after="75" w:line="300" w:lineRule="atLeast"/>
              <w:rPr>
                <w:rStyle w:val="27"/>
                <w:rFonts w:cs="Times New Roman"/>
                <w:bCs/>
                <w:color w:val="000000"/>
                <w:szCs w:val="22"/>
              </w:rPr>
            </w:pPr>
            <w:r>
              <w:rPr>
                <w:rStyle w:val="27"/>
                <w:rFonts w:cs="Times New Roman"/>
                <w:b/>
                <w:sz w:val="22"/>
                <w:szCs w:val="22"/>
              </w:rPr>
              <w:t>▲</w:t>
            </w:r>
            <w:r>
              <w:rPr>
                <w:rFonts w:cs="Times New Roman"/>
                <w:shd w:val="clear" w:color="auto" w:fill="FFFFFF"/>
              </w:rPr>
              <w:t>年承销费率</w:t>
            </w:r>
            <w:r>
              <w:rPr>
                <w:rFonts w:cs="Times New Roman"/>
                <w:bCs/>
              </w:rPr>
              <w:t>不高于发行额的0.1%，否则投标无效。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采购方式</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bCs/>
                <w:color w:val="000000"/>
                <w:szCs w:val="22"/>
              </w:rPr>
            </w:pPr>
            <w:r>
              <w:rPr>
                <w:rStyle w:val="27"/>
                <w:rFonts w:cs="Times New Roman"/>
                <w:color w:val="000000"/>
                <w:szCs w:val="22"/>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确定成交供应商办法</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bCs/>
                <w:color w:val="000000"/>
                <w:szCs w:val="22"/>
              </w:rPr>
            </w:pPr>
            <w:r>
              <w:rPr>
                <w:rStyle w:val="27"/>
                <w:rFonts w:cs="Times New Roman"/>
                <w:bCs/>
                <w:szCs w:val="22"/>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报价有效期</w:t>
            </w:r>
          </w:p>
        </w:tc>
        <w:tc>
          <w:tcPr>
            <w:tcW w:w="6962"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textAlignment w:val="auto"/>
              <w:rPr>
                <w:rStyle w:val="27"/>
                <w:rFonts w:cs="Times New Roman"/>
                <w:color w:val="000000"/>
                <w:szCs w:val="22"/>
              </w:rPr>
            </w:pPr>
            <w:r>
              <w:rPr>
                <w:rStyle w:val="27"/>
                <w:rFonts w:cs="Times New Roman"/>
                <w:color w:val="000000"/>
                <w:szCs w:val="22"/>
              </w:rPr>
              <w:t>90日历天（自响应文件递交截止日起计算）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投标文件份数</w:t>
            </w:r>
          </w:p>
        </w:tc>
        <w:tc>
          <w:tcPr>
            <w:tcW w:w="6962"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textAlignment w:val="auto"/>
              <w:rPr>
                <w:rFonts w:cs="Times New Roman"/>
              </w:rPr>
            </w:pPr>
            <w:r>
              <w:rPr>
                <w:rFonts w:cs="Times New Roman"/>
                <w:lang w:val="zh-CN"/>
              </w:rPr>
              <w:t>正本一份</w:t>
            </w:r>
            <w:r>
              <w:rPr>
                <w:rFonts w:cs="Times New Roman"/>
              </w:rPr>
              <w:t>，</w:t>
            </w:r>
            <w:r>
              <w:rPr>
                <w:rFonts w:cs="Times New Roman"/>
                <w:lang w:val="zh-CN"/>
              </w:rPr>
              <w:t>副本六份</w:t>
            </w:r>
            <w:r>
              <w:rPr>
                <w:rFonts w:hint="eastAsia" w:cs="Times New Roman"/>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投标保证金</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ind w:right="99"/>
              <w:jc w:val="left"/>
              <w:textAlignment w:val="auto"/>
              <w:rPr>
                <w:rStyle w:val="27"/>
                <w:rFonts w:cs="Times New Roman"/>
                <w:color w:val="000000"/>
                <w:kern w:val="0"/>
                <w:szCs w:val="22"/>
              </w:rPr>
            </w:pPr>
            <w:r>
              <w:rPr>
                <w:rStyle w:val="27"/>
                <w:rFonts w:cs="Times New Roman"/>
                <w:color w:val="000000"/>
                <w:kern w:val="0"/>
                <w:szCs w:val="22"/>
              </w:rPr>
              <w:t>按照《浙江省财政厅关于明确政府采购保证金管理工作的通知》浙财采监〔2019〕5号文件规定，投标人无需缴纳投标保证金。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投标文件提交地址</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32"/>
              <w:rPr>
                <w:rStyle w:val="27"/>
                <w:rFonts w:cs="Times New Roman"/>
                <w:color w:val="000000"/>
                <w:szCs w:val="22"/>
              </w:rPr>
            </w:pPr>
            <w:r>
              <w:rPr>
                <w:rStyle w:val="27"/>
                <w:rFonts w:cs="Times New Roman"/>
                <w:color w:val="000000"/>
                <w:szCs w:val="22"/>
              </w:rPr>
              <w:t>龙港市世纪大道4518号龙港市政务客厅4楼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投标文件递交截止与投标文件开启时间</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FF0000"/>
                <w:szCs w:val="22"/>
              </w:rPr>
            </w:pPr>
            <w:r>
              <w:rPr>
                <w:rStyle w:val="27"/>
                <w:rFonts w:hint="eastAsia" w:cs="Times New Roman"/>
                <w:color w:val="0000FF"/>
                <w:szCs w:val="22"/>
              </w:rPr>
              <w:t>2023年06月13日</w:t>
            </w:r>
            <w:r>
              <w:rPr>
                <w:rStyle w:val="27"/>
                <w:rFonts w:cs="Times New Roman"/>
                <w:color w:val="0000FF"/>
                <w:szCs w:val="22"/>
              </w:rPr>
              <w:t xml:space="preserve">  09:30:00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pStyle w:val="32"/>
              <w:rPr>
                <w:rStyle w:val="27"/>
                <w:rFonts w:cs="Times New Roman"/>
                <w:color w:val="000000"/>
                <w:szCs w:val="22"/>
              </w:rPr>
            </w:pPr>
            <w:r>
              <w:rPr>
                <w:rStyle w:val="27"/>
                <w:rFonts w:cs="Times New Roman"/>
                <w:color w:val="000000"/>
                <w:szCs w:val="22"/>
              </w:rPr>
              <w:t>开标地点</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32"/>
              <w:rPr>
                <w:rStyle w:val="27"/>
                <w:rFonts w:cs="Times New Roman"/>
                <w:color w:val="000000"/>
                <w:szCs w:val="22"/>
              </w:rPr>
            </w:pPr>
            <w:r>
              <w:rPr>
                <w:rStyle w:val="27"/>
                <w:rFonts w:cs="Times New Roman"/>
                <w:color w:val="000000"/>
                <w:szCs w:val="22"/>
              </w:rPr>
              <w:t>龙港市世纪大道4518号龙港市政务客厅4楼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采购类型</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货物类       √服务类        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现场勘查</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b/>
                <w:color w:val="000000"/>
                <w:szCs w:val="22"/>
              </w:rPr>
            </w:pPr>
            <w:r>
              <w:rPr>
                <w:rStyle w:val="27"/>
                <w:rFonts w:cs="Times New Roman"/>
                <w:b/>
                <w:color w:val="000000"/>
                <w:szCs w:val="22"/>
              </w:rPr>
              <w:t>供应商应当自行进行现场踏勘，以了解准确的报价依据。如果由于供应商不进行现场踏勘而导致投标方案与实际需求严重不符，由此产生的一切后果由供应商自行负责。踏勘期间发生的费用或意外导致伤亡等一切责任和损失均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质疑时间</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按规定时间执行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pStyle w:val="28"/>
              <w:spacing w:before="75" w:after="75"/>
              <w:rPr>
                <w:rStyle w:val="27"/>
                <w:rFonts w:cs="Times New Roman"/>
                <w:color w:val="000000"/>
                <w:sz w:val="22"/>
                <w:szCs w:val="22"/>
              </w:rPr>
            </w:pPr>
            <w:r>
              <w:rPr>
                <w:rStyle w:val="27"/>
                <w:rFonts w:cs="Times New Roman"/>
                <w:color w:val="000000"/>
                <w:sz w:val="22"/>
                <w:szCs w:val="22"/>
              </w:rPr>
              <w:t>质疑受理地点</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hint="eastAsia" w:cs="Times New Roman"/>
                <w:color w:val="000000"/>
                <w:szCs w:val="22"/>
              </w:rPr>
              <w:t>浙江华域高宇项目管理有限公司</w:t>
            </w:r>
            <w:r>
              <w:rPr>
                <w:rStyle w:val="27"/>
                <w:rFonts w:cs="Times New Roman"/>
                <w:color w:val="000000"/>
                <w:szCs w:val="22"/>
              </w:rPr>
              <w:t>（</w:t>
            </w:r>
            <w:r>
              <w:rPr>
                <w:rStyle w:val="27"/>
                <w:rFonts w:hint="eastAsia" w:cs="Times New Roman"/>
                <w:color w:val="000000"/>
                <w:szCs w:val="22"/>
              </w:rPr>
              <w:t>苍南县灵溪镇矿业科技大厦1-1403室</w:t>
            </w:r>
            <w:r>
              <w:rPr>
                <w:rStyle w:val="27"/>
                <w:rFonts w:cs="Times New Roman"/>
                <w:color w:val="000000"/>
                <w:szCs w:val="22"/>
              </w:rPr>
              <w:t>），联系人：</w:t>
            </w:r>
            <w:r>
              <w:rPr>
                <w:rStyle w:val="27"/>
                <w:rFonts w:hint="eastAsia" w:cs="Times New Roman"/>
                <w:color w:val="000000"/>
                <w:szCs w:val="22"/>
              </w:rPr>
              <w:t>何先生</w:t>
            </w:r>
            <w:r>
              <w:rPr>
                <w:rStyle w:val="27"/>
                <w:rFonts w:cs="Times New Roman"/>
                <w:color w:val="000000"/>
                <w:szCs w:val="22"/>
              </w:rPr>
              <w:t>，联系电话：</w:t>
            </w:r>
            <w:r>
              <w:rPr>
                <w:rStyle w:val="27"/>
                <w:rFonts w:hint="eastAsia" w:cs="Times New Roman"/>
                <w:color w:val="000000"/>
                <w:szCs w:val="22"/>
              </w:rPr>
              <w:t>0577-68875252</w:t>
            </w:r>
            <w:r>
              <w:rPr>
                <w:rStyle w:val="27"/>
                <w:rFonts w:cs="Times New Roman"/>
                <w:color w:val="000000"/>
                <w:szCs w:val="22"/>
              </w:rPr>
              <w:t>、</w:t>
            </w:r>
            <w:r>
              <w:rPr>
                <w:rStyle w:val="27"/>
                <w:rFonts w:hint="eastAsia" w:cs="Times New Roman"/>
                <w:color w:val="000000"/>
                <w:szCs w:val="22"/>
              </w:rPr>
              <w:t>15057385810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9"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pStyle w:val="28"/>
              <w:spacing w:before="75" w:after="75"/>
              <w:rPr>
                <w:rStyle w:val="27"/>
                <w:rFonts w:cs="Times New Roman"/>
                <w:color w:val="000000"/>
                <w:sz w:val="22"/>
                <w:szCs w:val="22"/>
              </w:rPr>
            </w:pPr>
            <w:r>
              <w:rPr>
                <w:rStyle w:val="27"/>
                <w:rFonts w:cs="Times New Roman"/>
                <w:color w:val="000000"/>
                <w:sz w:val="22"/>
                <w:szCs w:val="22"/>
              </w:rPr>
              <w:t>投诉受理联系方式</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受理部门名称：龙港市新城建设发展有限公司</w:t>
            </w:r>
          </w:p>
          <w:p>
            <w:pPr>
              <w:spacing w:line="360" w:lineRule="auto"/>
              <w:textAlignment w:val="auto"/>
              <w:rPr>
                <w:rStyle w:val="27"/>
                <w:rFonts w:cs="Times New Roman"/>
                <w:color w:val="000000"/>
                <w:szCs w:val="22"/>
              </w:rPr>
            </w:pPr>
            <w:r>
              <w:rPr>
                <w:rStyle w:val="27"/>
                <w:rFonts w:cs="Times New Roman"/>
                <w:color w:val="000000"/>
                <w:szCs w:val="22"/>
              </w:rPr>
              <w:t>联系人 ：</w:t>
            </w:r>
            <w:r>
              <w:rPr>
                <w:rStyle w:val="27"/>
                <w:rFonts w:hint="eastAsia" w:cs="Times New Roman"/>
                <w:color w:val="000000"/>
                <w:szCs w:val="22"/>
              </w:rPr>
              <w:t>官先生</w:t>
            </w:r>
            <w:r>
              <w:rPr>
                <w:rStyle w:val="27"/>
                <w:rFonts w:cs="Times New Roman"/>
                <w:color w:val="000000"/>
                <w:szCs w:val="22"/>
              </w:rPr>
              <w:t> </w:t>
            </w:r>
          </w:p>
          <w:p>
            <w:pPr>
              <w:spacing w:line="360" w:lineRule="auto"/>
              <w:textAlignment w:val="auto"/>
              <w:rPr>
                <w:rStyle w:val="27"/>
                <w:rFonts w:cs="Times New Roman"/>
                <w:color w:val="000000"/>
                <w:szCs w:val="22"/>
              </w:rPr>
            </w:pPr>
            <w:r>
              <w:rPr>
                <w:rStyle w:val="27"/>
                <w:rFonts w:cs="Times New Roman"/>
                <w:color w:val="000000"/>
                <w:szCs w:val="22"/>
              </w:rPr>
              <w:t>监督投诉电话：</w:t>
            </w:r>
            <w:r>
              <w:rPr>
                <w:rStyle w:val="27"/>
                <w:rFonts w:hint="eastAsia" w:cs="Times New Roman"/>
                <w:color w:val="000000"/>
                <w:szCs w:val="22"/>
              </w:rPr>
              <w:t xml:space="preserve"> </w:t>
            </w:r>
            <w:r>
              <w:rPr>
                <w:rStyle w:val="27"/>
                <w:rFonts w:hint="eastAsia" w:cs="Times New Roman"/>
                <w:color w:val="000000"/>
                <w:szCs w:val="22"/>
                <w:lang w:val="en-US" w:eastAsia="zh-CN"/>
              </w:rPr>
              <w:t>0577-59950245</w:t>
            </w:r>
          </w:p>
          <w:p>
            <w:pPr>
              <w:spacing w:line="360" w:lineRule="auto"/>
              <w:textAlignment w:val="auto"/>
              <w:rPr>
                <w:rStyle w:val="27"/>
                <w:rFonts w:cs="Times New Roman"/>
                <w:color w:val="000000"/>
                <w:szCs w:val="22"/>
              </w:rPr>
            </w:pPr>
            <w:r>
              <w:rPr>
                <w:rStyle w:val="27"/>
                <w:rFonts w:cs="Times New Roman"/>
                <w:color w:val="000000"/>
                <w:szCs w:val="22"/>
              </w:rPr>
              <w:t>传真：</w:t>
            </w:r>
            <w:r>
              <w:rPr>
                <w:rStyle w:val="27"/>
                <w:rFonts w:hint="eastAsia" w:cs="Times New Roman"/>
                <w:color w:val="000000"/>
                <w:szCs w:val="22"/>
              </w:rPr>
              <w:t>/</w:t>
            </w:r>
          </w:p>
          <w:p>
            <w:pPr>
              <w:spacing w:line="360" w:lineRule="auto"/>
              <w:textAlignment w:val="auto"/>
              <w:rPr>
                <w:rStyle w:val="27"/>
                <w:rFonts w:cs="Times New Roman"/>
                <w:color w:val="000000"/>
                <w:szCs w:val="22"/>
              </w:rPr>
            </w:pPr>
            <w:r>
              <w:rPr>
                <w:rStyle w:val="27"/>
                <w:rFonts w:cs="Times New Roman"/>
                <w:color w:val="000000"/>
                <w:szCs w:val="22"/>
              </w:rPr>
              <w:t>地址：浙江省温州市龙港市月湖路1号内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textAlignment w:val="auto"/>
              <w:rPr>
                <w:rStyle w:val="27"/>
                <w:rFonts w:cs="Times New Roman"/>
                <w:szCs w:val="22"/>
              </w:rPr>
            </w:pPr>
            <w:r>
              <w:rPr>
                <w:rStyle w:val="27"/>
                <w:rFonts w:cs="Times New Roman"/>
                <w:szCs w:val="22"/>
              </w:rPr>
              <w:t>信用记录甄别</w:t>
            </w:r>
          </w:p>
        </w:tc>
        <w:tc>
          <w:tcPr>
            <w:tcW w:w="6962"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textAlignment w:val="auto"/>
              <w:rPr>
                <w:rStyle w:val="27"/>
                <w:rFonts w:cs="Times New Roman"/>
                <w:bCs/>
                <w:szCs w:val="22"/>
              </w:rPr>
            </w:pPr>
            <w:r>
              <w:rPr>
                <w:rStyle w:val="27"/>
                <w:rFonts w:cs="Times New Roman"/>
                <w:bCs/>
                <w:szCs w:val="22"/>
              </w:rPr>
              <w:t>根据</w:t>
            </w:r>
            <w:r>
              <w:rPr>
                <w:rStyle w:val="27"/>
                <w:rFonts w:cs="Times New Roman"/>
                <w:szCs w:val="22"/>
              </w:rPr>
              <w:t>《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w:t>
            </w:r>
            <w:r>
              <w:rPr>
                <w:rStyle w:val="27"/>
                <w:rFonts w:cs="Times New Roman"/>
                <w:b/>
                <w:szCs w:val="22"/>
              </w:rPr>
              <w:t>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落实政府采购支持中小企业、监狱企业及残疾人福利性单位发展政策</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其他注意事项</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各投标供应商派法定代表人（或法定代表人授权代表）按本招标文件规定的时间和地点参加本项目的开标大会并登记签到。</w:t>
            </w:r>
          </w:p>
          <w:p>
            <w:pPr>
              <w:spacing w:line="360" w:lineRule="auto"/>
              <w:textAlignment w:val="auto"/>
              <w:rPr>
                <w:rStyle w:val="27"/>
                <w:rFonts w:cs="Times New Roman"/>
                <w:color w:val="000000"/>
                <w:szCs w:val="22"/>
              </w:rPr>
            </w:pPr>
            <w:r>
              <w:rPr>
                <w:rStyle w:val="27"/>
                <w:rFonts w:cs="Times New Roman"/>
                <w:color w:val="000000"/>
                <w:szCs w:val="22"/>
              </w:rPr>
              <w:t>（2）法定代表人参加开标大会的同时出示：a.企业营业执照复印件加盖公章（封装在投标文件内的也有效）;b.个人有效身份证明（居民身份证）.</w:t>
            </w:r>
          </w:p>
          <w:p>
            <w:pPr>
              <w:spacing w:line="360" w:lineRule="auto"/>
              <w:textAlignment w:val="auto"/>
              <w:rPr>
                <w:rStyle w:val="27"/>
                <w:rFonts w:cs="Times New Roman"/>
                <w:color w:val="000000"/>
                <w:szCs w:val="22"/>
              </w:rPr>
            </w:pPr>
            <w:r>
              <w:rPr>
                <w:rStyle w:val="27"/>
                <w:rFonts w:cs="Times New Roman"/>
                <w:color w:val="000000"/>
                <w:szCs w:val="22"/>
              </w:rPr>
              <w:t>（3）法定代表人授权委托书载明的授权代表参加开标大会的同时出示：a.企业营业执照复印件加盖公章（封装在投标文件内有效）;b.投标供应商法定代表人授权委托书原件；c.个人有效身份证明（居民身份证）.</w:t>
            </w:r>
          </w:p>
          <w:p>
            <w:pPr>
              <w:spacing w:line="360" w:lineRule="auto"/>
              <w:textAlignment w:val="auto"/>
              <w:rPr>
                <w:rStyle w:val="27"/>
                <w:rFonts w:cs="Times New Roman"/>
                <w:color w:val="000000"/>
                <w:szCs w:val="22"/>
              </w:rPr>
            </w:pPr>
            <w:r>
              <w:rPr>
                <w:rStyle w:val="27"/>
                <w:rFonts w:cs="Times New Roman"/>
                <w:color w:val="000000"/>
                <w:szCs w:val="22"/>
              </w:rPr>
              <w:t>（4）法定代表人或法定代表人授权委托书载明的授权代表参加开标大会时递交的“企业营业执照复印件加盖公章”或投标供应商“法定代表人授权委托书原件”密封在投标文件技术资信部分内有效；</w:t>
            </w:r>
          </w:p>
          <w:p>
            <w:pPr>
              <w:spacing w:line="360" w:lineRule="auto"/>
              <w:textAlignment w:val="auto"/>
              <w:rPr>
                <w:rStyle w:val="27"/>
                <w:rFonts w:cs="Times New Roman"/>
                <w:color w:val="000000"/>
                <w:szCs w:val="22"/>
              </w:rPr>
            </w:pPr>
            <w:r>
              <w:rPr>
                <w:rStyle w:val="27"/>
                <w:rFonts w:cs="Times New Roman"/>
                <w:color w:val="000000"/>
                <w:szCs w:val="22"/>
              </w:rPr>
              <w:t>（5）授权代表开标前出示的法定代表人授权委托书与投标文件中的法定代表人授权委托书不一致时，以投标文件中的为准；</w:t>
            </w:r>
          </w:p>
          <w:p>
            <w:pPr>
              <w:spacing w:line="360" w:lineRule="auto"/>
              <w:textAlignment w:val="auto"/>
              <w:rPr>
                <w:rStyle w:val="27"/>
                <w:rFonts w:cs="Times New Roman"/>
                <w:color w:val="000000"/>
                <w:szCs w:val="22"/>
              </w:rPr>
            </w:pPr>
            <w:r>
              <w:rPr>
                <w:rStyle w:val="27"/>
                <w:rFonts w:cs="Times New Roman"/>
                <w:color w:val="000000"/>
                <w:szCs w:val="22"/>
              </w:rPr>
              <w:t>（6）供应商采用邮寄的，其联系人若为法人的须提供“企业营业执照和身份证复印件加盖公章”，若联系人为委托人的须提供“法定代表人授权委托书原件”，且须密封在投标文件技术资信部分内；</w:t>
            </w:r>
          </w:p>
          <w:p>
            <w:pPr>
              <w:spacing w:line="360" w:lineRule="auto"/>
              <w:textAlignment w:val="auto"/>
              <w:rPr>
                <w:rStyle w:val="27"/>
                <w:rFonts w:cs="Times New Roman"/>
                <w:color w:val="000000"/>
                <w:szCs w:val="22"/>
              </w:rPr>
            </w:pPr>
            <w:r>
              <w:rPr>
                <w:rStyle w:val="27"/>
                <w:rFonts w:cs="Times New Roman"/>
                <w:color w:val="000000"/>
                <w:szCs w:val="22"/>
              </w:rPr>
              <w:t>（7）招标文件其他地方规定与本表规定不一致的，以本表规定为准。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合同签订</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27"/>
                <w:rFonts w:cs="Times New Roman"/>
                <w:color w:val="000000"/>
                <w:szCs w:val="22"/>
              </w:rPr>
            </w:pPr>
          </w:p>
          <w:p>
            <w:pPr>
              <w:spacing w:line="360" w:lineRule="auto"/>
              <w:textAlignment w:val="auto"/>
              <w:rPr>
                <w:rStyle w:val="27"/>
                <w:rFonts w:cs="Times New Roman"/>
                <w:color w:val="000000"/>
                <w:szCs w:val="22"/>
              </w:rPr>
            </w:pPr>
            <w:r>
              <w:rPr>
                <w:rStyle w:val="27"/>
                <w:rFonts w:cs="Times New Roman"/>
                <w:color w:val="000000"/>
                <w:szCs w:val="22"/>
              </w:rPr>
              <w:t>中标供应商须在中标通知书发出之日起30日历天内与采购人签订合同。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7" w:hRule="atLeast"/>
        </w:trPr>
        <w:tc>
          <w:tcPr>
            <w:tcW w:w="2193" w:type="dxa"/>
            <w:tcBorders>
              <w:top w:val="single" w:color="000000" w:sz="4" w:space="0"/>
              <w:left w:val="double" w:color="000000" w:sz="4" w:space="0"/>
              <w:bottom w:val="double" w:color="000000" w:sz="4" w:space="0"/>
              <w:right w:val="sing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备注</w:t>
            </w:r>
          </w:p>
        </w:tc>
        <w:tc>
          <w:tcPr>
            <w:tcW w:w="6962" w:type="dxa"/>
            <w:tcBorders>
              <w:top w:val="single" w:color="000000" w:sz="4" w:space="0"/>
              <w:left w:val="single" w:color="000000" w:sz="4" w:space="0"/>
              <w:bottom w:val="double" w:color="000000" w:sz="4" w:space="0"/>
              <w:right w:val="double" w:color="000000" w:sz="4" w:space="0"/>
            </w:tcBorders>
            <w:vAlign w:val="center"/>
          </w:tcPr>
          <w:p>
            <w:pPr>
              <w:spacing w:line="360" w:lineRule="auto"/>
              <w:textAlignment w:val="auto"/>
              <w:rPr>
                <w:rStyle w:val="27"/>
                <w:rFonts w:cs="Times New Roman"/>
                <w:color w:val="000000"/>
                <w:szCs w:val="22"/>
              </w:rPr>
            </w:pPr>
            <w:r>
              <w:rPr>
                <w:rStyle w:val="27"/>
                <w:rFonts w:cs="Times New Roman"/>
                <w:color w:val="000000"/>
                <w:szCs w:val="22"/>
              </w:rPr>
              <w:t>如发现采购文件及其评审办法中存在含糊不清、相互矛盾、多种含义以及歧视性不公正条款或违法违规等内容时，请在规定的质疑截止时间前向采购机构或采购人书面反映，逾期不得再对采购文件的条款提出质疑。构成本招标文件的各个组成部分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snapToGrid w:val="0"/>
        <w:spacing w:line="440" w:lineRule="atLeast"/>
        <w:textAlignment w:val="bottom"/>
        <w:rPr>
          <w:rStyle w:val="27"/>
          <w:rFonts w:cs="Times New Roman"/>
          <w:b/>
          <w:color w:val="000000"/>
          <w:sz w:val="44"/>
        </w:rPr>
      </w:pPr>
      <w:r>
        <w:rPr>
          <w:rStyle w:val="27"/>
          <w:rFonts w:cs="Times New Roman"/>
          <w:b/>
          <w:color w:val="000000"/>
          <w:sz w:val="44"/>
        </w:rPr>
        <w:br w:type="page"/>
      </w:r>
    </w:p>
    <w:p>
      <w:pPr>
        <w:snapToGrid w:val="0"/>
        <w:spacing w:line="440" w:lineRule="atLeast"/>
        <w:textAlignment w:val="bottom"/>
        <w:rPr>
          <w:rStyle w:val="27"/>
          <w:rFonts w:cs="Times New Roman"/>
          <w:b/>
          <w:color w:val="000000"/>
          <w:sz w:val="44"/>
        </w:rPr>
      </w:pPr>
    </w:p>
    <w:p>
      <w:pPr>
        <w:snapToGrid w:val="0"/>
        <w:spacing w:line="440" w:lineRule="atLeast"/>
        <w:textAlignment w:val="bottom"/>
        <w:rPr>
          <w:rStyle w:val="27"/>
          <w:rFonts w:cs="Times New Roman"/>
          <w:b/>
          <w:color w:val="000000"/>
          <w:sz w:val="44"/>
        </w:rPr>
      </w:pPr>
    </w:p>
    <w:p>
      <w:pPr>
        <w:autoSpaceDE w:val="0"/>
        <w:autoSpaceDN w:val="0"/>
        <w:spacing w:line="440" w:lineRule="atLeast"/>
        <w:jc w:val="center"/>
        <w:textAlignment w:val="bottom"/>
        <w:rPr>
          <w:rFonts w:cs="Times New Roman"/>
          <w:sz w:val="36"/>
          <w:szCs w:val="36"/>
        </w:rPr>
      </w:pPr>
      <w:r>
        <w:rPr>
          <w:rFonts w:cs="Times New Roman"/>
          <w:sz w:val="36"/>
          <w:szCs w:val="36"/>
        </w:rPr>
        <w:t>采购文件目录</w:t>
      </w:r>
    </w:p>
    <w:p>
      <w:pPr>
        <w:pStyle w:val="5"/>
        <w:rPr>
          <w:rFonts w:cs="Times New Roman"/>
        </w:rPr>
      </w:pPr>
    </w:p>
    <w:p>
      <w:pPr>
        <w:snapToGrid w:val="0"/>
        <w:spacing w:line="460" w:lineRule="exact"/>
        <w:ind w:firstLine="981" w:firstLineChars="446"/>
        <w:jc w:val="left"/>
        <w:rPr>
          <w:rStyle w:val="27"/>
          <w:rFonts w:cs="Times New Roman"/>
          <w:sz w:val="22"/>
          <w:szCs w:val="22"/>
        </w:rPr>
      </w:pPr>
      <w:r>
        <w:rPr>
          <w:rStyle w:val="27"/>
          <w:rFonts w:cs="Times New Roman"/>
          <w:sz w:val="22"/>
          <w:szCs w:val="22"/>
        </w:rPr>
        <w:t>第一部分、项目简介</w:t>
      </w:r>
    </w:p>
    <w:p>
      <w:pPr>
        <w:snapToGrid w:val="0"/>
        <w:spacing w:line="460" w:lineRule="exact"/>
        <w:ind w:firstLine="981" w:firstLineChars="446"/>
        <w:jc w:val="left"/>
        <w:rPr>
          <w:rStyle w:val="27"/>
          <w:rFonts w:cs="Times New Roman"/>
          <w:sz w:val="22"/>
          <w:szCs w:val="22"/>
        </w:rPr>
      </w:pPr>
      <w:r>
        <w:rPr>
          <w:rStyle w:val="27"/>
          <w:rFonts w:cs="Times New Roman"/>
          <w:sz w:val="22"/>
          <w:szCs w:val="22"/>
        </w:rPr>
        <w:t>第二部分、招标内容及技术要求</w:t>
      </w:r>
    </w:p>
    <w:p>
      <w:pPr>
        <w:snapToGrid w:val="0"/>
        <w:spacing w:line="460" w:lineRule="exact"/>
        <w:ind w:firstLine="981" w:firstLineChars="446"/>
        <w:jc w:val="left"/>
        <w:rPr>
          <w:rStyle w:val="27"/>
          <w:rFonts w:cs="Times New Roman"/>
          <w:sz w:val="22"/>
          <w:szCs w:val="22"/>
        </w:rPr>
      </w:pPr>
      <w:r>
        <w:rPr>
          <w:rStyle w:val="27"/>
          <w:rFonts w:cs="Times New Roman"/>
          <w:sz w:val="22"/>
          <w:szCs w:val="22"/>
        </w:rPr>
        <w:t xml:space="preserve">       一、总则</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二、采购内容及技术要求</w:t>
      </w:r>
    </w:p>
    <w:p>
      <w:pPr>
        <w:snapToGrid w:val="0"/>
        <w:spacing w:line="460" w:lineRule="exact"/>
        <w:ind w:firstLine="981" w:firstLineChars="446"/>
        <w:jc w:val="left"/>
        <w:rPr>
          <w:rStyle w:val="27"/>
          <w:rFonts w:cs="Times New Roman"/>
          <w:sz w:val="22"/>
          <w:szCs w:val="22"/>
        </w:rPr>
      </w:pPr>
      <w:r>
        <w:rPr>
          <w:rStyle w:val="27"/>
          <w:rFonts w:cs="Times New Roman"/>
          <w:sz w:val="22"/>
          <w:szCs w:val="22"/>
        </w:rPr>
        <w:t>第三部分、供应商须知</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一、说明</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二、供应商资格要求</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三、招标文件</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四、投标文件</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五、投标文件的递交</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六、开标和评标</w:t>
      </w:r>
    </w:p>
    <w:p>
      <w:pPr>
        <w:snapToGrid w:val="0"/>
        <w:spacing w:line="460" w:lineRule="exact"/>
        <w:ind w:firstLine="1760" w:firstLineChars="800"/>
        <w:jc w:val="left"/>
        <w:rPr>
          <w:rStyle w:val="27"/>
          <w:rFonts w:cs="Times New Roman"/>
          <w:sz w:val="22"/>
          <w:szCs w:val="22"/>
        </w:rPr>
      </w:pPr>
      <w:r>
        <w:rPr>
          <w:rStyle w:val="27"/>
          <w:rFonts w:cs="Times New Roman"/>
          <w:sz w:val="22"/>
          <w:szCs w:val="22"/>
        </w:rPr>
        <w:t>七、授予合同</w:t>
      </w:r>
    </w:p>
    <w:p>
      <w:pPr>
        <w:snapToGrid w:val="0"/>
        <w:spacing w:line="460" w:lineRule="exact"/>
        <w:ind w:firstLine="981" w:firstLineChars="446"/>
        <w:jc w:val="left"/>
        <w:rPr>
          <w:rStyle w:val="27"/>
          <w:rFonts w:cs="Times New Roman"/>
          <w:sz w:val="22"/>
          <w:szCs w:val="22"/>
        </w:rPr>
      </w:pPr>
      <w:r>
        <w:rPr>
          <w:rStyle w:val="27"/>
          <w:rFonts w:cs="Times New Roman"/>
          <w:sz w:val="22"/>
          <w:szCs w:val="22"/>
        </w:rPr>
        <w:t>第四部分、合同格式（参考）</w:t>
      </w:r>
    </w:p>
    <w:p>
      <w:pPr>
        <w:snapToGrid w:val="0"/>
        <w:spacing w:line="460" w:lineRule="exact"/>
        <w:ind w:firstLine="981" w:firstLineChars="446"/>
        <w:jc w:val="left"/>
        <w:rPr>
          <w:rStyle w:val="27"/>
          <w:rFonts w:cs="Times New Roman"/>
          <w:sz w:val="22"/>
          <w:szCs w:val="22"/>
        </w:rPr>
      </w:pPr>
      <w:r>
        <w:rPr>
          <w:rStyle w:val="27"/>
          <w:rFonts w:cs="Times New Roman"/>
          <w:sz w:val="22"/>
          <w:szCs w:val="22"/>
        </w:rPr>
        <w:t>第五部分、投标文件格式</w:t>
      </w:r>
    </w:p>
    <w:p>
      <w:pPr>
        <w:snapToGrid w:val="0"/>
        <w:spacing w:line="460" w:lineRule="exact"/>
        <w:ind w:firstLine="1641" w:firstLineChars="746"/>
        <w:jc w:val="left"/>
        <w:rPr>
          <w:rStyle w:val="27"/>
          <w:rFonts w:cs="Times New Roman"/>
          <w:sz w:val="22"/>
          <w:szCs w:val="22"/>
        </w:rPr>
      </w:pPr>
      <w:r>
        <w:rPr>
          <w:rStyle w:val="27"/>
          <w:rFonts w:cs="Times New Roman"/>
          <w:sz w:val="22"/>
          <w:szCs w:val="22"/>
        </w:rPr>
        <w:t>一、 “商务报价文件”格式</w:t>
      </w:r>
    </w:p>
    <w:p>
      <w:pPr>
        <w:snapToGrid w:val="0"/>
        <w:spacing w:line="460" w:lineRule="exact"/>
        <w:ind w:firstLine="1641" w:firstLineChars="746"/>
        <w:jc w:val="left"/>
        <w:rPr>
          <w:rStyle w:val="27"/>
          <w:rFonts w:cs="Times New Roman"/>
          <w:sz w:val="22"/>
          <w:szCs w:val="22"/>
        </w:rPr>
      </w:pPr>
      <w:r>
        <w:rPr>
          <w:rStyle w:val="27"/>
          <w:rFonts w:cs="Times New Roman"/>
          <w:sz w:val="22"/>
          <w:szCs w:val="22"/>
        </w:rPr>
        <w:t>二、 “技术资信部分”格式</w:t>
      </w:r>
    </w:p>
    <w:p>
      <w:pPr>
        <w:snapToGrid w:val="0"/>
        <w:spacing w:line="460" w:lineRule="exact"/>
        <w:ind w:firstLine="541" w:firstLineChars="246"/>
        <w:jc w:val="left"/>
        <w:rPr>
          <w:rStyle w:val="27"/>
          <w:rFonts w:cs="Times New Roman"/>
          <w:sz w:val="22"/>
          <w:szCs w:val="22"/>
        </w:rPr>
      </w:pPr>
      <w:r>
        <w:rPr>
          <w:rStyle w:val="27"/>
          <w:rFonts w:cs="Times New Roman"/>
          <w:sz w:val="22"/>
          <w:szCs w:val="22"/>
        </w:rPr>
        <w:t>第六部分、评标办法</w:t>
      </w:r>
    </w:p>
    <w:p>
      <w:pPr>
        <w:snapToGrid w:val="0"/>
        <w:spacing w:line="460" w:lineRule="exact"/>
        <w:ind w:firstLine="541" w:firstLineChars="246"/>
        <w:rPr>
          <w:rStyle w:val="27"/>
          <w:rFonts w:cs="Times New Roman"/>
          <w:sz w:val="22"/>
          <w:szCs w:val="22"/>
        </w:rPr>
      </w:pPr>
    </w:p>
    <w:p>
      <w:pPr>
        <w:snapToGrid w:val="0"/>
        <w:spacing w:line="460" w:lineRule="exact"/>
        <w:ind w:firstLine="543" w:firstLineChars="246"/>
        <w:rPr>
          <w:rStyle w:val="27"/>
          <w:rFonts w:cs="Times New Roman"/>
          <w:b/>
          <w:bCs/>
          <w:sz w:val="22"/>
          <w:szCs w:val="22"/>
          <w:u w:val="single"/>
        </w:rPr>
      </w:pPr>
      <w:r>
        <w:rPr>
          <w:rStyle w:val="27"/>
          <w:rFonts w:cs="Times New Roman"/>
          <w:b/>
          <w:bCs/>
          <w:sz w:val="22"/>
          <w:szCs w:val="22"/>
          <w:u w:val="single"/>
        </w:rPr>
        <w:t>注：采购文件中有的条款及要求以加粗、加下划线或符号▲的形式强调，这些特别强调的条款及内容均需实质响应，不得偏离，否则做无效投标处理。</w:t>
      </w:r>
    </w:p>
    <w:p>
      <w:pPr>
        <w:snapToGrid w:val="0"/>
        <w:spacing w:line="460" w:lineRule="exact"/>
        <w:ind w:firstLine="543" w:firstLineChars="246"/>
        <w:rPr>
          <w:rStyle w:val="27"/>
          <w:rFonts w:cs="Times New Roman"/>
          <w:b/>
          <w:bCs/>
          <w:sz w:val="22"/>
          <w:szCs w:val="22"/>
          <w:u w:val="single"/>
          <w:lang w:val="zh-CN"/>
        </w:rPr>
      </w:pPr>
    </w:p>
    <w:p>
      <w:pPr>
        <w:snapToGrid w:val="0"/>
        <w:spacing w:line="460" w:lineRule="exact"/>
        <w:ind w:firstLine="541" w:firstLineChars="246"/>
        <w:rPr>
          <w:rStyle w:val="27"/>
          <w:rFonts w:cs="Times New Roman"/>
          <w:sz w:val="22"/>
          <w:szCs w:val="22"/>
          <w:lang w:val="zh-CN"/>
        </w:rPr>
      </w:pPr>
    </w:p>
    <w:p>
      <w:pPr>
        <w:spacing w:line="440" w:lineRule="atLeast"/>
        <w:ind w:left="1079" w:leftChars="514"/>
        <w:rPr>
          <w:rStyle w:val="27"/>
          <w:rFonts w:cs="Times New Roman"/>
          <w:bCs/>
          <w:color w:val="000000"/>
          <w:kern w:val="0"/>
          <w:sz w:val="22"/>
          <w:szCs w:val="22"/>
          <w:lang w:val="zh-CN"/>
        </w:rPr>
      </w:pPr>
    </w:p>
    <w:p>
      <w:pPr>
        <w:spacing w:line="440" w:lineRule="atLeast"/>
        <w:ind w:left="1079" w:leftChars="514"/>
        <w:rPr>
          <w:rStyle w:val="27"/>
          <w:rFonts w:cs="Times New Roman"/>
          <w:bCs/>
          <w:color w:val="000000"/>
          <w:kern w:val="0"/>
          <w:sz w:val="22"/>
          <w:szCs w:val="22"/>
          <w:lang w:val="zh-CN"/>
        </w:rPr>
      </w:pPr>
    </w:p>
    <w:p>
      <w:pPr>
        <w:pStyle w:val="35"/>
        <w:spacing w:line="240" w:lineRule="auto"/>
        <w:jc w:val="center"/>
        <w:rPr>
          <w:rStyle w:val="27"/>
          <w:rFonts w:cs="Times New Roman"/>
          <w:b/>
          <w:color w:val="000000"/>
          <w:sz w:val="36"/>
        </w:rPr>
      </w:pPr>
      <w:r>
        <w:rPr>
          <w:rStyle w:val="27"/>
          <w:rFonts w:cs="Times New Roman"/>
          <w:b/>
          <w:color w:val="000000"/>
          <w:sz w:val="36"/>
        </w:rPr>
        <w:br w:type="page"/>
      </w:r>
    </w:p>
    <w:p>
      <w:pPr>
        <w:pStyle w:val="35"/>
        <w:spacing w:line="240" w:lineRule="auto"/>
        <w:jc w:val="center"/>
        <w:rPr>
          <w:rStyle w:val="27"/>
          <w:rFonts w:cs="Times New Roman"/>
        </w:rPr>
      </w:pPr>
    </w:p>
    <w:p>
      <w:pPr>
        <w:pStyle w:val="35"/>
        <w:spacing w:line="240" w:lineRule="auto"/>
        <w:jc w:val="center"/>
        <w:rPr>
          <w:rStyle w:val="27"/>
          <w:rFonts w:cs="Times New Roman"/>
        </w:rPr>
      </w:pPr>
      <w:r>
        <w:rPr>
          <w:rStyle w:val="27"/>
          <w:rFonts w:cs="Times New Roman"/>
        </w:rPr>
        <w:t>第一部分  项目简介</w:t>
      </w:r>
    </w:p>
    <w:p>
      <w:pPr>
        <w:snapToGrid w:val="0"/>
        <w:spacing w:line="460" w:lineRule="exact"/>
        <w:ind w:firstLine="541" w:firstLineChars="246"/>
        <w:rPr>
          <w:rStyle w:val="27"/>
          <w:rFonts w:cs="Times New Roman"/>
          <w:sz w:val="22"/>
          <w:szCs w:val="22"/>
        </w:rPr>
      </w:pPr>
      <w:r>
        <w:rPr>
          <w:rStyle w:val="27"/>
          <w:rFonts w:hint="eastAsia" w:cs="Times New Roman"/>
          <w:sz w:val="22"/>
          <w:szCs w:val="22"/>
        </w:rPr>
        <w:t>浙江华域高宇项目管理有限公司</w:t>
      </w:r>
      <w:r>
        <w:rPr>
          <w:rStyle w:val="27"/>
          <w:rFonts w:cs="Times New Roman"/>
          <w:sz w:val="22"/>
          <w:szCs w:val="22"/>
        </w:rPr>
        <w:t>受龙港市新城建设发展有限公司委托，以公开招标方式采购</w:t>
      </w:r>
      <w:r>
        <w:rPr>
          <w:rStyle w:val="27"/>
          <w:rFonts w:hint="eastAsia" w:cs="Times New Roman"/>
          <w:sz w:val="22"/>
          <w:szCs w:val="22"/>
        </w:rPr>
        <w:t>龙港市新城建设发展有限公司2023年发行公司债券项目</w:t>
      </w:r>
      <w:r>
        <w:rPr>
          <w:rStyle w:val="27"/>
          <w:rFonts w:cs="Times New Roman"/>
          <w:sz w:val="22"/>
          <w:szCs w:val="22"/>
        </w:rPr>
        <w:t>，本次招标资金已经落实。</w:t>
      </w:r>
    </w:p>
    <w:p>
      <w:pPr>
        <w:snapToGrid w:val="0"/>
        <w:spacing w:line="460" w:lineRule="exact"/>
        <w:ind w:firstLine="541" w:firstLineChars="246"/>
        <w:rPr>
          <w:rStyle w:val="27"/>
          <w:rFonts w:cs="Times New Roman"/>
          <w:sz w:val="22"/>
          <w:szCs w:val="22"/>
        </w:rPr>
      </w:pPr>
      <w:r>
        <w:rPr>
          <w:rStyle w:val="27"/>
          <w:rFonts w:cs="Times New Roman"/>
          <w:sz w:val="22"/>
          <w:szCs w:val="22"/>
        </w:rPr>
        <w:t>我们热情欢迎有关公司（企业）前来进行投标。</w:t>
      </w:r>
    </w:p>
    <w:p>
      <w:pPr>
        <w:pStyle w:val="35"/>
        <w:numPr>
          <w:ilvl w:val="0"/>
          <w:numId w:val="3"/>
        </w:numPr>
        <w:spacing w:line="240" w:lineRule="auto"/>
        <w:jc w:val="center"/>
        <w:rPr>
          <w:rStyle w:val="27"/>
          <w:rFonts w:cs="Times New Roman"/>
          <w:bCs/>
        </w:rPr>
      </w:pPr>
      <w:r>
        <w:rPr>
          <w:rStyle w:val="27"/>
          <w:rFonts w:cs="Times New Roman"/>
          <w:bCs/>
        </w:rPr>
        <w:t>采购内容及技术要求</w:t>
      </w:r>
    </w:p>
    <w:p>
      <w:pPr>
        <w:tabs>
          <w:tab w:val="left" w:pos="210"/>
        </w:tabs>
        <w:snapToGrid w:val="0"/>
        <w:spacing w:line="360" w:lineRule="auto"/>
        <w:rPr>
          <w:rStyle w:val="27"/>
          <w:rFonts w:cs="Times New Roman"/>
          <w:b/>
          <w:bCs/>
          <w:sz w:val="22"/>
          <w:szCs w:val="22"/>
        </w:rPr>
      </w:pPr>
      <w:r>
        <w:rPr>
          <w:rStyle w:val="27"/>
          <w:rFonts w:cs="Times New Roman"/>
          <w:b/>
          <w:bCs/>
          <w:sz w:val="22"/>
          <w:szCs w:val="22"/>
        </w:rPr>
        <w:t>一、总则</w:t>
      </w:r>
    </w:p>
    <w:p>
      <w:pPr>
        <w:snapToGrid w:val="0"/>
        <w:spacing w:line="460" w:lineRule="exact"/>
        <w:ind w:firstLine="541" w:firstLineChars="246"/>
        <w:rPr>
          <w:rStyle w:val="27"/>
          <w:rFonts w:cs="Times New Roman"/>
          <w:sz w:val="22"/>
          <w:szCs w:val="22"/>
        </w:rPr>
      </w:pPr>
      <w:r>
        <w:rPr>
          <w:rStyle w:val="27"/>
          <w:rFonts w:cs="Times New Roman"/>
          <w:sz w:val="22"/>
          <w:szCs w:val="22"/>
        </w:rPr>
        <w:t>1.供应商必须对所投所有服务和货物进行报价，否则按无效投标处理；</w:t>
      </w:r>
    </w:p>
    <w:p>
      <w:pPr>
        <w:snapToGrid w:val="0"/>
        <w:spacing w:line="460" w:lineRule="exact"/>
        <w:ind w:firstLine="541" w:firstLineChars="246"/>
        <w:rPr>
          <w:rStyle w:val="27"/>
          <w:rFonts w:cs="Times New Roman"/>
          <w:sz w:val="22"/>
          <w:szCs w:val="22"/>
        </w:rPr>
      </w:pPr>
      <w:r>
        <w:rPr>
          <w:rStyle w:val="27"/>
          <w:rFonts w:cs="Times New Roman"/>
          <w:sz w:val="22"/>
          <w:szCs w:val="22"/>
        </w:rPr>
        <w:t>2.本技术规范要求提出的是最低限度的基本技术要求，并未对所有技术细节作出规定，供应商应提供符合本技术要求和国家标准、行业标准的优质货物。</w:t>
      </w:r>
    </w:p>
    <w:p>
      <w:pPr>
        <w:snapToGrid w:val="0"/>
        <w:spacing w:line="460" w:lineRule="exact"/>
        <w:ind w:firstLine="541" w:firstLineChars="246"/>
        <w:rPr>
          <w:rStyle w:val="27"/>
          <w:rFonts w:cs="Times New Roman"/>
          <w:sz w:val="22"/>
          <w:szCs w:val="22"/>
        </w:rPr>
      </w:pPr>
      <w:r>
        <w:rPr>
          <w:rStyle w:val="27"/>
          <w:rFonts w:cs="Times New Roman"/>
          <w:sz w:val="22"/>
          <w:szCs w:val="22"/>
        </w:rPr>
        <w:t>3.供应商货物与本技术要求不一致时，供应商应在投标文件中予以说明，并由评标委员会鉴定供应商产品能否达到要求。如供应商没有在投标文件中提出异议，则视为供应商提供的货物完全按照本采购文件要求，并在合同验收时按采购文件要求验收。</w:t>
      </w:r>
    </w:p>
    <w:p>
      <w:pPr>
        <w:snapToGrid w:val="0"/>
        <w:spacing w:line="460" w:lineRule="exact"/>
        <w:ind w:firstLine="541" w:firstLineChars="246"/>
        <w:rPr>
          <w:rStyle w:val="27"/>
          <w:rFonts w:cs="Times New Roman"/>
          <w:color w:val="000000"/>
          <w:sz w:val="24"/>
          <w:szCs w:val="24"/>
        </w:rPr>
      </w:pPr>
      <w:r>
        <w:rPr>
          <w:rStyle w:val="27"/>
          <w:rFonts w:cs="Times New Roman"/>
          <w:sz w:val="22"/>
          <w:szCs w:val="22"/>
        </w:rPr>
        <w:t>4.本采购文件中涉及的金额均以人民币为单位计算。</w:t>
      </w:r>
    </w:p>
    <w:p>
      <w:pPr>
        <w:tabs>
          <w:tab w:val="left" w:pos="210"/>
        </w:tabs>
        <w:spacing w:line="360" w:lineRule="auto"/>
        <w:textAlignment w:val="bottom"/>
        <w:rPr>
          <w:rStyle w:val="27"/>
          <w:rFonts w:cs="Times New Roman"/>
          <w:b/>
          <w:bCs/>
          <w:sz w:val="22"/>
          <w:szCs w:val="22"/>
        </w:rPr>
      </w:pPr>
    </w:p>
    <w:p>
      <w:pPr>
        <w:tabs>
          <w:tab w:val="left" w:pos="210"/>
        </w:tabs>
        <w:spacing w:line="360" w:lineRule="auto"/>
        <w:textAlignment w:val="bottom"/>
        <w:rPr>
          <w:rStyle w:val="27"/>
          <w:rFonts w:cs="Times New Roman"/>
          <w:b/>
          <w:bCs/>
          <w:sz w:val="22"/>
          <w:szCs w:val="22"/>
        </w:rPr>
      </w:pPr>
      <w:r>
        <w:rPr>
          <w:rStyle w:val="27"/>
          <w:rFonts w:cs="Times New Roman"/>
          <w:b/>
          <w:bCs/>
          <w:sz w:val="22"/>
          <w:szCs w:val="22"/>
        </w:rPr>
        <w:t>二、采购内容及技术要求</w:t>
      </w:r>
    </w:p>
    <w:p>
      <w:pPr>
        <w:jc w:val="center"/>
        <w:rPr>
          <w:rFonts w:cs="Times New Roman"/>
          <w:sz w:val="24"/>
          <w:szCs w:val="24"/>
        </w:rPr>
      </w:pPr>
    </w:p>
    <w:p>
      <w:pPr>
        <w:snapToGrid w:val="0"/>
        <w:spacing w:line="360" w:lineRule="auto"/>
        <w:ind w:left="442"/>
        <w:rPr>
          <w:rFonts w:cs="Times New Roman"/>
          <w:b/>
          <w:sz w:val="22"/>
          <w:szCs w:val="22"/>
        </w:rPr>
      </w:pPr>
      <w:r>
        <w:rPr>
          <w:rFonts w:cs="Times New Roman"/>
          <w:b/>
          <w:sz w:val="22"/>
          <w:szCs w:val="22"/>
        </w:rPr>
        <w:t>（一）采购人基本情况</w:t>
      </w:r>
    </w:p>
    <w:p>
      <w:pPr>
        <w:snapToGrid w:val="0"/>
        <w:spacing w:line="360" w:lineRule="auto"/>
        <w:ind w:firstLine="440" w:firstLineChars="200"/>
        <w:rPr>
          <w:rFonts w:cs="Times New Roman"/>
          <w:sz w:val="22"/>
          <w:szCs w:val="22"/>
        </w:rPr>
      </w:pPr>
      <w:r>
        <w:rPr>
          <w:rStyle w:val="27"/>
          <w:rFonts w:cs="Times New Roman"/>
          <w:sz w:val="22"/>
          <w:szCs w:val="22"/>
        </w:rPr>
        <w:t>1.龙港市新城建设发展有限公司</w:t>
      </w:r>
      <w:r>
        <w:rPr>
          <w:rFonts w:cs="Times New Roman"/>
          <w:sz w:val="22"/>
          <w:szCs w:val="22"/>
        </w:rPr>
        <w:t>（以下简称“公司”）于2010年在龙港市注册成立，注册资本：28950万元人民币，统一社会信用代码：91330327558630618Y，注册地址：浙江省温州市龙港市月湖路1号内，由龙港市国有资本运营有限公司持股</w:t>
      </w:r>
      <w:r>
        <w:rPr>
          <w:rFonts w:hint="eastAsia" w:cs="Times New Roman"/>
          <w:sz w:val="22"/>
          <w:szCs w:val="22"/>
        </w:rPr>
        <w:t>9</w:t>
      </w:r>
      <w:r>
        <w:rPr>
          <w:rFonts w:cs="Times New Roman"/>
          <w:sz w:val="22"/>
          <w:szCs w:val="22"/>
        </w:rPr>
        <w:t>0.11%</w:t>
      </w:r>
      <w:r>
        <w:rPr>
          <w:rFonts w:hint="eastAsia" w:cs="Times New Roman"/>
          <w:sz w:val="22"/>
          <w:szCs w:val="22"/>
        </w:rPr>
        <w:t>，由浙江省财务开发有限责任公司持股9</w:t>
      </w:r>
      <w:r>
        <w:rPr>
          <w:rFonts w:cs="Times New Roman"/>
          <w:sz w:val="22"/>
          <w:szCs w:val="22"/>
        </w:rPr>
        <w:t>.89%，实际控制人为龙港市财政局。</w:t>
      </w:r>
    </w:p>
    <w:p>
      <w:pPr>
        <w:adjustRightInd w:val="0"/>
        <w:snapToGrid w:val="0"/>
        <w:spacing w:line="360" w:lineRule="auto"/>
        <w:ind w:firstLine="440" w:firstLineChars="200"/>
        <w:rPr>
          <w:rFonts w:cs="Times New Roman"/>
          <w:sz w:val="22"/>
          <w:szCs w:val="22"/>
        </w:rPr>
      </w:pPr>
      <w:r>
        <w:rPr>
          <w:rFonts w:cs="Times New Roman"/>
          <w:sz w:val="22"/>
          <w:szCs w:val="22"/>
        </w:rPr>
        <w:t>2.公司为</w:t>
      </w:r>
      <w:r>
        <w:rPr>
          <w:rFonts w:cs="Times New Roman"/>
          <w:bCs/>
          <w:sz w:val="22"/>
          <w:szCs w:val="22"/>
        </w:rPr>
        <w:t>龙港市新城片区重要的土地整理及基础设施建设主体，主要承担龙港新城的围垦、吹填、回填、河道开挖、设置隔堤、软基处理和城市基础设施建设任务</w:t>
      </w:r>
      <w:r>
        <w:rPr>
          <w:rFonts w:cs="Times New Roman"/>
          <w:sz w:val="22"/>
          <w:szCs w:val="22"/>
        </w:rPr>
        <w:t>。</w:t>
      </w:r>
    </w:p>
    <w:p>
      <w:pPr>
        <w:adjustRightInd w:val="0"/>
        <w:snapToGrid w:val="0"/>
        <w:spacing w:after="120" w:afterLines="50" w:line="360" w:lineRule="auto"/>
        <w:rPr>
          <w:rFonts w:cs="Times New Roman"/>
          <w:bCs/>
          <w:sz w:val="22"/>
          <w:szCs w:val="22"/>
        </w:rPr>
      </w:pPr>
      <w:r>
        <w:rPr>
          <w:rFonts w:cs="Times New Roman"/>
          <w:sz w:val="22"/>
          <w:szCs w:val="22"/>
        </w:rPr>
        <mc:AlternateContent>
          <mc:Choice Requires="wps">
            <w:drawing>
              <wp:anchor distT="0" distB="0" distL="114300" distR="114300" simplePos="0" relativeHeight="251668480" behindDoc="0" locked="0" layoutInCell="1" allowOverlap="1">
                <wp:simplePos x="0" y="0"/>
                <wp:positionH relativeFrom="column">
                  <wp:posOffset>2721610</wp:posOffset>
                </wp:positionH>
                <wp:positionV relativeFrom="paragraph">
                  <wp:posOffset>78105</wp:posOffset>
                </wp:positionV>
                <wp:extent cx="2877820" cy="264795"/>
                <wp:effectExtent l="0" t="0" r="17780" b="20955"/>
                <wp:wrapNone/>
                <wp:docPr id="14" name="矩形 14"/>
                <wp:cNvGraphicFramePr/>
                <a:graphic xmlns:a="http://schemas.openxmlformats.org/drawingml/2006/main">
                  <a:graphicData uri="http://schemas.microsoft.com/office/word/2010/wordprocessingShape">
                    <wps:wsp>
                      <wps:cNvSpPr/>
                      <wps:spPr>
                        <a:xfrm>
                          <a:off x="0" y="0"/>
                          <a:ext cx="2877820" cy="264795"/>
                        </a:xfrm>
                        <a:prstGeom prst="rect">
                          <a:avLst/>
                        </a:prstGeom>
                        <a:solidFill>
                          <a:srgbClr val="FFFFFF"/>
                        </a:solidFill>
                        <a:ln w="25400" cap="flat" cmpd="sng">
                          <a:solidFill>
                            <a:srgbClr val="4F81BD"/>
                          </a:solidFill>
                          <a:prstDash val="solid"/>
                          <a:miter/>
                          <a:headEnd type="none" w="med" len="med"/>
                          <a:tailEnd type="none" w="med" len="med"/>
                        </a:ln>
                        <a:effectLst/>
                      </wps:spPr>
                      <wps:txbx>
                        <w:txbxContent>
                          <w:p>
                            <w:pPr>
                              <w:spacing w:line="240" w:lineRule="exact"/>
                              <w:jc w:val="center"/>
                            </w:pPr>
                            <w:r>
                              <w:t>浙江省</w:t>
                            </w:r>
                            <w:r>
                              <w:rPr>
                                <w:rFonts w:hint="eastAsia"/>
                              </w:rPr>
                              <w:t>财政厅</w:t>
                            </w:r>
                          </w:p>
                        </w:txbxContent>
                      </wps:txbx>
                      <wps:bodyPr wrap="square" anchor="ctr" anchorCtr="0" upright="1"/>
                    </wps:wsp>
                  </a:graphicData>
                </a:graphic>
              </wp:anchor>
            </w:drawing>
          </mc:Choice>
          <mc:Fallback>
            <w:pict>
              <v:rect id="_x0000_s1026" o:spid="_x0000_s1026" o:spt="1" style="position:absolute;left:0pt;margin-left:214.3pt;margin-top:6.15pt;height:20.85pt;width:226.6pt;z-index:251668480;v-text-anchor:middle;mso-width-relative:page;mso-height-relative:page;" fillcolor="#FFFFFF" filled="t" stroked="t" coordsize="21600,21600" o:gfxdata="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mJOXPX&#10;AAAACQEAAA8AAAAAAAAAAQAgAAAAIgAAAGRycy9kb3ducmV2LnhtbFBLAQIUABQAAAAIAIdO4kAn&#10;/VS9IQIAAGMEAAAOAAAAAAAAAAEAIAAAACYBAABkcnMvZTJvRG9jLnhtbFBLBQYAAAAABgAGAFkB&#10;AAC5BQAAAAA=&#10;">
                <v:fill on="t" focussize="0,0"/>
                <v:stroke weight="2pt" color="#4F81BD" joinstyle="miter"/>
                <v:imagedata o:title=""/>
                <o:lock v:ext="edit" aspectratio="f"/>
                <v:textbox>
                  <w:txbxContent>
                    <w:p>
                      <w:pPr>
                        <w:spacing w:line="240" w:lineRule="exact"/>
                        <w:jc w:val="center"/>
                      </w:pPr>
                      <w:r>
                        <w:t>浙江省</w:t>
                      </w:r>
                      <w:r>
                        <w:rPr>
                          <w:rFonts w:hint="eastAsia"/>
                        </w:rPr>
                        <w:t>财政厅</w:t>
                      </w:r>
                    </w:p>
                  </w:txbxContent>
                </v:textbox>
              </v:rect>
            </w:pict>
          </mc:Fallback>
        </mc:AlternateContent>
      </w:r>
      <w:r>
        <w:rPr>
          <w:rFonts w:cs="Times New Roman"/>
          <w:sz w:val="22"/>
          <w:szCs w:val="22"/>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96520</wp:posOffset>
                </wp:positionV>
                <wp:extent cx="2877820" cy="264795"/>
                <wp:effectExtent l="0" t="0" r="17780" b="20955"/>
                <wp:wrapNone/>
                <wp:docPr id="3" name="矩形 3"/>
                <wp:cNvGraphicFramePr/>
                <a:graphic xmlns:a="http://schemas.openxmlformats.org/drawingml/2006/main">
                  <a:graphicData uri="http://schemas.microsoft.com/office/word/2010/wordprocessingShape">
                    <wps:wsp>
                      <wps:cNvSpPr/>
                      <wps:spPr>
                        <a:xfrm>
                          <a:off x="0" y="0"/>
                          <a:ext cx="2878124" cy="264795"/>
                        </a:xfrm>
                        <a:prstGeom prst="rect">
                          <a:avLst/>
                        </a:prstGeom>
                        <a:solidFill>
                          <a:srgbClr val="FFFFFF"/>
                        </a:solidFill>
                        <a:ln w="25400" cap="flat" cmpd="sng">
                          <a:solidFill>
                            <a:srgbClr val="4F81BD"/>
                          </a:solidFill>
                          <a:prstDash val="solid"/>
                          <a:miter/>
                          <a:headEnd type="none" w="med" len="med"/>
                          <a:tailEnd type="none" w="med" len="med"/>
                        </a:ln>
                        <a:effectLst/>
                      </wps:spPr>
                      <wps:txbx>
                        <w:txbxContent>
                          <w:p>
                            <w:pPr>
                              <w:spacing w:line="240" w:lineRule="exact"/>
                              <w:jc w:val="center"/>
                            </w:pPr>
                            <w:r>
                              <w:rPr>
                                <w:rFonts w:hint="eastAsia"/>
                              </w:rPr>
                              <w:t>龙港市财政局：认缴金额20000万元</w:t>
                            </w:r>
                          </w:p>
                        </w:txbxContent>
                      </wps:txbx>
                      <wps:bodyPr wrap="square" anchor="ctr" anchorCtr="0" upright="1"/>
                    </wps:wsp>
                  </a:graphicData>
                </a:graphic>
              </wp:anchor>
            </w:drawing>
          </mc:Choice>
          <mc:Fallback>
            <w:pict>
              <v:rect id="_x0000_s1026" o:spid="_x0000_s1026" o:spt="1" style="position:absolute;left:0pt;margin-left:-30.4pt;margin-top:7.6pt;height:20.85pt;width:226.6pt;z-index:251659264;v-text-anchor:middle;mso-width-relative:page;mso-height-relative:page;" fillcolor="#FFFFFF" filled="t" stroked="t" coordsize="21600,21600" o:gfxdata="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KHzyD&#10;1wAAAAkBAAAPAAAAAAAAAAEAIAAAACIAAABkcnMvZG93bnJldi54bWxQSwECFAAUAAAACACHTuJA&#10;YOXEwiICAABhBAAADgAAAAAAAAABACAAAAAmAQAAZHJzL2Uyb0RvYy54bWxQSwUGAAAAAAYABgBZ&#10;AQAAugUAAAAA&#10;">
                <v:fill on="t" focussize="0,0"/>
                <v:stroke weight="2pt" color="#4F81BD" joinstyle="miter"/>
                <v:imagedata o:title=""/>
                <o:lock v:ext="edit" aspectratio="f"/>
                <v:textbox>
                  <w:txbxContent>
                    <w:p>
                      <w:pPr>
                        <w:spacing w:line="240" w:lineRule="exact"/>
                        <w:jc w:val="center"/>
                      </w:pPr>
                      <w:r>
                        <w:rPr>
                          <w:rFonts w:hint="eastAsia"/>
                        </w:rPr>
                        <w:t>龙港市财政局：认缴金额20000万元</w:t>
                      </w:r>
                    </w:p>
                  </w:txbxContent>
                </v:textbox>
              </v:rect>
            </w:pict>
          </mc:Fallback>
        </mc:AlternateContent>
      </w:r>
    </w:p>
    <w:p>
      <w:pPr>
        <w:adjustRightInd w:val="0"/>
        <w:snapToGrid w:val="0"/>
        <w:spacing w:after="120" w:afterLines="50" w:line="360" w:lineRule="auto"/>
        <w:ind w:firstLine="440" w:firstLineChars="200"/>
        <w:rPr>
          <w:rFonts w:cs="Times New Roman"/>
          <w:bCs/>
          <w:sz w:val="22"/>
          <w:szCs w:val="22"/>
        </w:rPr>
      </w:pPr>
      <w:r>
        <w:rPr>
          <w:rFonts w:cs="Times New Roman"/>
          <w:sz w:val="22"/>
          <w:szCs w:val="22"/>
        </w:rPr>
        <mc:AlternateContent>
          <mc:Choice Requires="wps">
            <w:drawing>
              <wp:anchor distT="0" distB="0" distL="114300" distR="114300" simplePos="0" relativeHeight="251670528" behindDoc="0" locked="0" layoutInCell="1" allowOverlap="1">
                <wp:simplePos x="0" y="0"/>
                <wp:positionH relativeFrom="column">
                  <wp:posOffset>3726815</wp:posOffset>
                </wp:positionH>
                <wp:positionV relativeFrom="paragraph">
                  <wp:posOffset>50165</wp:posOffset>
                </wp:positionV>
                <wp:extent cx="542925" cy="258445"/>
                <wp:effectExtent l="0" t="0" r="0" b="0"/>
                <wp:wrapNone/>
                <wp:docPr id="16" name="矩形 16"/>
                <wp:cNvGraphicFramePr/>
                <a:graphic xmlns:a="http://schemas.openxmlformats.org/drawingml/2006/main">
                  <a:graphicData uri="http://schemas.microsoft.com/office/word/2010/wordprocessingShape">
                    <wps:wsp>
                      <wps:cNvSpPr/>
                      <wps:spPr>
                        <a:xfrm>
                          <a:off x="0" y="0"/>
                          <a:ext cx="542925" cy="258445"/>
                        </a:xfrm>
                        <a:prstGeom prst="rect">
                          <a:avLst/>
                        </a:prstGeom>
                        <a:noFill/>
                        <a:ln w="9525">
                          <a:noFill/>
                        </a:ln>
                        <a:effectLst/>
                      </wps:spPr>
                      <wps:txbx>
                        <w:txbxContent>
                          <w:p>
                            <w:pPr>
                              <w:jc w:val="center"/>
                              <w:rPr>
                                <w:color w:val="000000"/>
                                <w:sz w:val="20"/>
                                <w:szCs w:val="16"/>
                              </w:rPr>
                            </w:pPr>
                            <w:r>
                              <w:rPr>
                                <w:color w:val="000000"/>
                                <w:sz w:val="20"/>
                                <w:szCs w:val="16"/>
                              </w:rPr>
                              <w:t>100%</w:t>
                            </w:r>
                          </w:p>
                        </w:txbxContent>
                      </wps:txbx>
                      <wps:bodyPr anchor="ctr" anchorCtr="0" upright="1"/>
                    </wps:wsp>
                  </a:graphicData>
                </a:graphic>
              </wp:anchor>
            </w:drawing>
          </mc:Choice>
          <mc:Fallback>
            <w:pict>
              <v:rect id="_x0000_s1026" o:spid="_x0000_s1026" o:spt="1" style="position:absolute;left:0pt;margin-left:293.45pt;margin-top:3.95pt;height:20.35pt;width:42.75pt;z-index:251670528;v-text-anchor:middle;mso-width-relative:page;mso-height-relative:page;" filled="f" stroked="f" coordsize="21600,21600" o:gfxdata="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wywMNUAAAAIAQAADwAAAAAAAAABACAAAAAiAAAAZHJzL2Rvd25yZXYueG1sUEsBAhQA&#10;FAAAAAgAh07iQPrDFke8AQAAdAMAAA4AAAAAAAAAAQAgAAAAJAEAAGRycy9lMm9Eb2MueG1sUEsF&#10;BgAAAAAGAAYAWQEAAFIFAAAAAA==&#10;">
                <v:fill on="f" focussize="0,0"/>
                <v:stroke on="f"/>
                <v:imagedata o:title=""/>
                <o:lock v:ext="edit" aspectratio="f"/>
                <v:textbox>
                  <w:txbxContent>
                    <w:p>
                      <w:pPr>
                        <w:jc w:val="center"/>
                        <w:rPr>
                          <w:color w:val="000000"/>
                          <w:sz w:val="20"/>
                          <w:szCs w:val="16"/>
                        </w:rPr>
                      </w:pPr>
                      <w:r>
                        <w:rPr>
                          <w:color w:val="000000"/>
                          <w:sz w:val="20"/>
                          <w:szCs w:val="16"/>
                        </w:rPr>
                        <w:t>100%</w:t>
                      </w:r>
                    </w:p>
                  </w:txbxContent>
                </v:textbox>
              </v:rect>
            </w:pict>
          </mc:Fallback>
        </mc:AlternateContent>
      </w:r>
      <w:r>
        <w:rPr>
          <w:rFonts w:cs="Times New Roman"/>
          <w:sz w:val="22"/>
          <w:szCs w:val="22"/>
        </w:rPr>
        <mc:AlternateContent>
          <mc:Choice Requires="wps">
            <w:drawing>
              <wp:anchor distT="0" distB="0" distL="114300" distR="114300" simplePos="0" relativeHeight="251669504" behindDoc="0" locked="0" layoutInCell="1" allowOverlap="1">
                <wp:simplePos x="0" y="0"/>
                <wp:positionH relativeFrom="column">
                  <wp:posOffset>4197350</wp:posOffset>
                </wp:positionH>
                <wp:positionV relativeFrom="paragraph">
                  <wp:posOffset>205740</wp:posOffset>
                </wp:positionV>
                <wp:extent cx="348615" cy="635"/>
                <wp:effectExtent l="56515" t="0" r="57150" b="32385"/>
                <wp:wrapNone/>
                <wp:docPr id="15" name="肘形连接符 8"/>
                <wp:cNvGraphicFramePr/>
                <a:graphic xmlns:a="http://schemas.openxmlformats.org/drawingml/2006/main">
                  <a:graphicData uri="http://schemas.microsoft.com/office/word/2010/wordprocessingShape">
                    <wps:wsp>
                      <wps:cNvCnPr/>
                      <wps:spPr>
                        <a:xfrm rot="16200000" flipH="1">
                          <a:off x="0" y="0"/>
                          <a:ext cx="348615" cy="635"/>
                        </a:xfrm>
                        <a:prstGeom prst="bentConnector3">
                          <a:avLst>
                            <a:gd name="adj1" fmla="val 49907"/>
                          </a:avLst>
                        </a:prstGeom>
                        <a:ln w="25400" cap="flat" cmpd="sng">
                          <a:solidFill>
                            <a:srgbClr val="4F81BD"/>
                          </a:solidFill>
                          <a:prstDash val="solid"/>
                          <a:miter/>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肘形连接符 8" o:spid="_x0000_s1026" o:spt="34" type="#_x0000_t34" style="position:absolute;left:0pt;flip:x;margin-left:330.5pt;margin-top:16.2pt;height:0.05pt;width:27.45pt;rotation:5898240f;z-index:251669504;mso-width-relative:page;mso-height-relative:page;" filled="f" stroked="t" coordsize="21600,21600" o:gfxdata="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T3s502QAAAAkBAAAPAAAAAAAAAAEAIAAAACIAAABkcnMvZG93bnJl&#10;di54bWxQSwECFAAUAAAACACHTuJAkWjEom4CAADSBAAADgAAAAAAAAABACAAAAAoAQAAZHJzL2Uy&#10;b0RvYy54bWxQSwUGAAAAAAYABgBZAQAACAYAAAAA&#10;" adj="10780">
                <v:fill on="f" focussize="0,0"/>
                <v:stroke weight="2pt" color="#4F81BD" joinstyle="miter" endarrow="open"/>
                <v:imagedata o:title=""/>
                <o:lock v:ext="edit" aspectratio="f"/>
                <v:shadow on="t" color="#000000" opacity="24903f" offset="0pt,1.5748031496063pt" origin="0f,32768f" matrix="65536f,0f,0f,65536f"/>
              </v:shape>
            </w:pict>
          </mc:Fallback>
        </mc:AlternateContent>
      </w:r>
      <w:r>
        <w:rPr>
          <w:rFonts w:cs="Times New Roman"/>
          <w:sz w:val="22"/>
          <w:szCs w:val="22"/>
        </w:rPr>
        <mc:AlternateContent>
          <mc:Choice Requires="wps">
            <w:drawing>
              <wp:anchor distT="0" distB="0" distL="114300" distR="114300" simplePos="0" relativeHeight="251667456" behindDoc="0" locked="0" layoutInCell="1" allowOverlap="1">
                <wp:simplePos x="0" y="0"/>
                <wp:positionH relativeFrom="column">
                  <wp:posOffset>1089660</wp:posOffset>
                </wp:positionH>
                <wp:positionV relativeFrom="paragraph">
                  <wp:posOffset>224155</wp:posOffset>
                </wp:positionV>
                <wp:extent cx="348615" cy="635"/>
                <wp:effectExtent l="56515" t="0" r="57150" b="32385"/>
                <wp:wrapNone/>
                <wp:docPr id="1" name="肘形连接符 8"/>
                <wp:cNvGraphicFramePr/>
                <a:graphic xmlns:a="http://schemas.openxmlformats.org/drawingml/2006/main">
                  <a:graphicData uri="http://schemas.microsoft.com/office/word/2010/wordprocessingShape">
                    <wps:wsp>
                      <wps:cNvCnPr/>
                      <wps:spPr>
                        <a:xfrm rot="16200000" flipH="1">
                          <a:off x="0" y="0"/>
                          <a:ext cx="348615" cy="635"/>
                        </a:xfrm>
                        <a:prstGeom prst="bentConnector3">
                          <a:avLst>
                            <a:gd name="adj1" fmla="val 49907"/>
                          </a:avLst>
                        </a:prstGeom>
                        <a:ln w="25400" cap="flat" cmpd="sng">
                          <a:solidFill>
                            <a:srgbClr val="4F81BD"/>
                          </a:solidFill>
                          <a:prstDash val="solid"/>
                          <a:miter/>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肘形连接符 8" o:spid="_x0000_s1026" o:spt="34" type="#_x0000_t34" style="position:absolute;left:0pt;flip:x;margin-left:85.8pt;margin-top:17.65pt;height:0.05pt;width:27.45pt;rotation:5898240f;z-index:251667456;mso-width-relative:page;mso-height-relative:page;" filled="f" stroked="t" coordsize="21600,21600" o:gfxdata="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cwO6XYAAAACQEAAA8AAAAAAAAAAQAgAAAAIgAAAGRycy9kb3ducmV2&#10;LnhtbFBLAQIUABQAAAAIAIdO4kCuirwqbgIAANEEAAAOAAAAAAAAAAEAIAAAACcBAABkcnMvZTJv&#10;RG9jLnhtbFBLBQYAAAAABgAGAFkBAAAHBgAAAAA=&#10;" adj="10780">
                <v:fill on="f" focussize="0,0"/>
                <v:stroke weight="2pt" color="#4F81BD" joinstyle="miter" endarrow="open"/>
                <v:imagedata o:title=""/>
                <o:lock v:ext="edit" aspectratio="f"/>
                <v:shadow on="t" color="#000000" opacity="24903f" offset="0pt,1.5748031496063pt" origin="0f,32768f" matrix="65536f,0f,0f,65536f"/>
              </v:shape>
            </w:pict>
          </mc:Fallback>
        </mc:AlternateContent>
      </w:r>
      <w:r>
        <w:rPr>
          <w:rFonts w:cs="Times New Roman"/>
          <w:sz w:val="22"/>
          <w:szCs w:val="22"/>
        </w:rPr>
        <mc:AlternateContent>
          <mc:Choice Requires="wps">
            <w:drawing>
              <wp:anchor distT="0" distB="0" distL="114300" distR="114300" simplePos="0" relativeHeight="251661312" behindDoc="0" locked="0" layoutInCell="1" allowOverlap="1">
                <wp:simplePos x="0" y="0"/>
                <wp:positionH relativeFrom="column">
                  <wp:posOffset>385445</wp:posOffset>
                </wp:positionH>
                <wp:positionV relativeFrom="paragraph">
                  <wp:posOffset>133985</wp:posOffset>
                </wp:positionV>
                <wp:extent cx="542925" cy="258445"/>
                <wp:effectExtent l="0" t="0" r="0" b="0"/>
                <wp:wrapNone/>
                <wp:docPr id="9" name="矩形 9"/>
                <wp:cNvGraphicFramePr/>
                <a:graphic xmlns:a="http://schemas.openxmlformats.org/drawingml/2006/main">
                  <a:graphicData uri="http://schemas.microsoft.com/office/word/2010/wordprocessingShape">
                    <wps:wsp>
                      <wps:cNvSpPr/>
                      <wps:spPr>
                        <a:xfrm>
                          <a:off x="0" y="0"/>
                          <a:ext cx="542925" cy="258445"/>
                        </a:xfrm>
                        <a:prstGeom prst="rect">
                          <a:avLst/>
                        </a:prstGeom>
                        <a:noFill/>
                        <a:ln w="9525">
                          <a:noFill/>
                        </a:ln>
                        <a:effectLst/>
                      </wps:spPr>
                      <wps:txbx>
                        <w:txbxContent>
                          <w:p>
                            <w:pPr>
                              <w:jc w:val="center"/>
                              <w:rPr>
                                <w:color w:val="000000"/>
                                <w:sz w:val="20"/>
                                <w:szCs w:val="16"/>
                              </w:rPr>
                            </w:pPr>
                            <w:r>
                              <w:rPr>
                                <w:color w:val="000000"/>
                                <w:sz w:val="20"/>
                                <w:szCs w:val="16"/>
                              </w:rPr>
                              <w:t>100%</w:t>
                            </w:r>
                          </w:p>
                        </w:txbxContent>
                      </wps:txbx>
                      <wps:bodyPr anchor="ctr" anchorCtr="0" upright="1"/>
                    </wps:wsp>
                  </a:graphicData>
                </a:graphic>
              </wp:anchor>
            </w:drawing>
          </mc:Choice>
          <mc:Fallback>
            <w:pict>
              <v:rect id="_x0000_s1026" o:spid="_x0000_s1026" o:spt="1" style="position:absolute;left:0pt;margin-left:30.35pt;margin-top:10.55pt;height:20.35pt;width:42.75pt;z-index:251661312;v-text-anchor:middle;mso-width-relative:page;mso-height-relative:page;" filled="f" stroked="f" coordsize="21600,21600" o:gfxdata="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2Qu0wAAAAgBAAAPAAAAAAAAAAEAIAAAACIAAABkcnMvZG93bnJldi54bWxQSwECFAAUAAAA&#10;CACHTuJASKzPfLoBAAByAwAADgAAAAAAAAABACAAAAAiAQAAZHJzL2Uyb0RvYy54bWxQSwUGAAAA&#10;AAYABgBZAQAATgUAAAAA&#10;">
                <v:fill on="f" focussize="0,0"/>
                <v:stroke on="f"/>
                <v:imagedata o:title=""/>
                <o:lock v:ext="edit" aspectratio="f"/>
                <v:textbox>
                  <w:txbxContent>
                    <w:p>
                      <w:pPr>
                        <w:jc w:val="center"/>
                        <w:rPr>
                          <w:color w:val="000000"/>
                          <w:sz w:val="20"/>
                          <w:szCs w:val="16"/>
                        </w:rPr>
                      </w:pPr>
                      <w:r>
                        <w:rPr>
                          <w:color w:val="000000"/>
                          <w:sz w:val="20"/>
                          <w:szCs w:val="16"/>
                        </w:rPr>
                        <w:t>100%</w:t>
                      </w:r>
                    </w:p>
                  </w:txbxContent>
                </v:textbox>
              </v:rect>
            </w:pict>
          </mc:Fallback>
        </mc:AlternateContent>
      </w:r>
      <w:r>
        <w:rPr>
          <w:rFonts w:cs="Times New Roman"/>
          <w:sz w:val="22"/>
          <w:szCs w:val="22"/>
        </w:rPr>
        <mc:AlternateContent>
          <mc:Choice Requires="wps">
            <w:drawing>
              <wp:anchor distT="0" distB="0" distL="114300" distR="114300" simplePos="0" relativeHeight="251662336" behindDoc="0" locked="0" layoutInCell="1" allowOverlap="1">
                <wp:simplePos x="0" y="0"/>
                <wp:positionH relativeFrom="column">
                  <wp:posOffset>-391160</wp:posOffset>
                </wp:positionH>
                <wp:positionV relativeFrom="paragraph">
                  <wp:posOffset>396240</wp:posOffset>
                </wp:positionV>
                <wp:extent cx="2885440" cy="264160"/>
                <wp:effectExtent l="0" t="0" r="10160" b="21590"/>
                <wp:wrapNone/>
                <wp:docPr id="11" name="矩形 11"/>
                <wp:cNvGraphicFramePr/>
                <a:graphic xmlns:a="http://schemas.openxmlformats.org/drawingml/2006/main">
                  <a:graphicData uri="http://schemas.microsoft.com/office/word/2010/wordprocessingShape">
                    <wps:wsp>
                      <wps:cNvSpPr/>
                      <wps:spPr>
                        <a:xfrm>
                          <a:off x="0" y="0"/>
                          <a:ext cx="2885703" cy="264160"/>
                        </a:xfrm>
                        <a:prstGeom prst="rect">
                          <a:avLst/>
                        </a:prstGeom>
                        <a:solidFill>
                          <a:srgbClr val="FFFFFF"/>
                        </a:solidFill>
                        <a:ln w="25400" cap="flat" cmpd="sng">
                          <a:solidFill>
                            <a:srgbClr val="4F81BD"/>
                          </a:solidFill>
                          <a:prstDash val="solid"/>
                          <a:miter/>
                          <a:headEnd type="none" w="med" len="med"/>
                          <a:tailEnd type="none" w="med" len="med"/>
                        </a:ln>
                        <a:effectLst/>
                      </wps:spPr>
                      <wps:txbx>
                        <w:txbxContent>
                          <w:p>
                            <w:pPr>
                              <w:spacing w:line="240" w:lineRule="exact"/>
                              <w:jc w:val="center"/>
                              <w:rPr>
                                <w:rFonts w:ascii="仿宋" w:hAnsi="仿宋" w:eastAsia="仿宋" w:cs="Calibri"/>
                                <w:sz w:val="24"/>
                              </w:rPr>
                            </w:pPr>
                            <w:r>
                              <w:rPr>
                                <w:rFonts w:hint="eastAsia" w:ascii="宋体" w:hAnsi="宋体"/>
                                <w:sz w:val="22"/>
                                <w:szCs w:val="22"/>
                              </w:rPr>
                              <w:t>龙港市国有资本运营有限公司</w:t>
                            </w:r>
                          </w:p>
                        </w:txbxContent>
                      </wps:txbx>
                      <wps:bodyPr wrap="square" anchor="ctr" anchorCtr="0" upright="1"/>
                    </wps:wsp>
                  </a:graphicData>
                </a:graphic>
              </wp:anchor>
            </w:drawing>
          </mc:Choice>
          <mc:Fallback>
            <w:pict>
              <v:rect id="_x0000_s1026" o:spid="_x0000_s1026" o:spt="1" style="position:absolute;left:0pt;margin-left:-30.8pt;margin-top:31.2pt;height:20.8pt;width:227.2pt;z-index:251662336;v-text-anchor:middle;mso-width-relative:page;mso-height-relative:page;" fillcolor="#FFFFFF" filled="t" stroked="t" coordsize="21600,21600" o:gfxdata="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KjpjtcAAAAKAQAADwAAAAAAAAABACAAAAAiAAAAZHJzL2Rvd25yZXYueG1sUEsBAhQAFAAAAAgA&#10;h07iQAfogn8mAgAAYwQAAA4AAAAAAAAAAQAgAAAAJgEAAGRycy9lMm9Eb2MueG1sUEsFBgAAAAAG&#10;AAYAWQEAAL4FAAAAAA==&#10;">
                <v:fill on="t" focussize="0,0"/>
                <v:stroke weight="2pt" color="#4F81BD" joinstyle="miter"/>
                <v:imagedata o:title=""/>
                <o:lock v:ext="edit" aspectratio="f"/>
                <v:textbox>
                  <w:txbxContent>
                    <w:p>
                      <w:pPr>
                        <w:spacing w:line="240" w:lineRule="exact"/>
                        <w:jc w:val="center"/>
                        <w:rPr>
                          <w:rFonts w:ascii="仿宋" w:hAnsi="仿宋" w:eastAsia="仿宋" w:cs="Calibri"/>
                          <w:sz w:val="24"/>
                        </w:rPr>
                      </w:pPr>
                      <w:r>
                        <w:rPr>
                          <w:rFonts w:hint="eastAsia" w:ascii="宋体" w:hAnsi="宋体"/>
                          <w:sz w:val="22"/>
                          <w:szCs w:val="22"/>
                        </w:rPr>
                        <w:t>龙港市国有资本运营有限公司</w:t>
                      </w:r>
                    </w:p>
                  </w:txbxContent>
                </v:textbox>
              </v:rect>
            </w:pict>
          </mc:Fallback>
        </mc:AlternateContent>
      </w:r>
    </w:p>
    <w:p>
      <w:pPr>
        <w:adjustRightInd w:val="0"/>
        <w:snapToGrid w:val="0"/>
        <w:spacing w:after="120" w:afterLines="50" w:line="360" w:lineRule="auto"/>
        <w:ind w:firstLine="440" w:firstLineChars="200"/>
        <w:rPr>
          <w:rFonts w:cs="Times New Roman"/>
          <w:bCs/>
          <w:sz w:val="22"/>
          <w:szCs w:val="22"/>
        </w:rPr>
      </w:pPr>
      <w:r>
        <w:rPr>
          <w:rFonts w:cs="Times New Roman"/>
          <w:sz w:val="22"/>
          <w:szCs w:val="22"/>
        </w:rPr>
        <mc:AlternateContent>
          <mc:Choice Requires="wps">
            <w:drawing>
              <wp:anchor distT="0" distB="0" distL="114300" distR="114300" simplePos="0" relativeHeight="251671552" behindDoc="0" locked="0" layoutInCell="1" allowOverlap="1">
                <wp:simplePos x="0" y="0"/>
                <wp:positionH relativeFrom="column">
                  <wp:posOffset>2789555</wp:posOffset>
                </wp:positionH>
                <wp:positionV relativeFrom="paragraph">
                  <wp:posOffset>78105</wp:posOffset>
                </wp:positionV>
                <wp:extent cx="2885440" cy="264160"/>
                <wp:effectExtent l="0" t="0" r="10160" b="21590"/>
                <wp:wrapNone/>
                <wp:docPr id="17" name="矩形 17"/>
                <wp:cNvGraphicFramePr/>
                <a:graphic xmlns:a="http://schemas.openxmlformats.org/drawingml/2006/main">
                  <a:graphicData uri="http://schemas.microsoft.com/office/word/2010/wordprocessingShape">
                    <wps:wsp>
                      <wps:cNvSpPr/>
                      <wps:spPr>
                        <a:xfrm>
                          <a:off x="0" y="0"/>
                          <a:ext cx="2885703" cy="264160"/>
                        </a:xfrm>
                        <a:prstGeom prst="rect">
                          <a:avLst/>
                        </a:prstGeom>
                        <a:solidFill>
                          <a:srgbClr val="FFFFFF"/>
                        </a:solidFill>
                        <a:ln w="25400" cap="flat" cmpd="sng">
                          <a:solidFill>
                            <a:srgbClr val="4F81BD"/>
                          </a:solidFill>
                          <a:prstDash val="solid"/>
                          <a:miter/>
                          <a:headEnd type="none" w="med" len="med"/>
                          <a:tailEnd type="none" w="med" len="med"/>
                        </a:ln>
                        <a:effectLst/>
                      </wps:spPr>
                      <wps:txbx>
                        <w:txbxContent>
                          <w:p>
                            <w:pPr>
                              <w:spacing w:line="240" w:lineRule="exact"/>
                              <w:jc w:val="center"/>
                              <w:rPr>
                                <w:rFonts w:ascii="仿宋" w:hAnsi="仿宋" w:eastAsia="仿宋" w:cs="Calibri"/>
                                <w:sz w:val="24"/>
                              </w:rPr>
                            </w:pPr>
                            <w:r>
                              <w:rPr>
                                <w:rFonts w:hint="eastAsia" w:ascii="宋体" w:hAnsi="宋体"/>
                                <w:sz w:val="22"/>
                                <w:szCs w:val="22"/>
                              </w:rPr>
                              <w:t>浙江省财务开发有限责任公司</w:t>
                            </w:r>
                          </w:p>
                        </w:txbxContent>
                      </wps:txbx>
                      <wps:bodyPr wrap="square" anchor="ctr" anchorCtr="0" upright="1"/>
                    </wps:wsp>
                  </a:graphicData>
                </a:graphic>
              </wp:anchor>
            </w:drawing>
          </mc:Choice>
          <mc:Fallback>
            <w:pict>
              <v:rect id="_x0000_s1026" o:spid="_x0000_s1026" o:spt="1" style="position:absolute;left:0pt;margin-left:219.65pt;margin-top:6.15pt;height:20.8pt;width:227.2pt;z-index:251671552;v-text-anchor:middle;mso-width-relative:page;mso-height-relative:page;" fillcolor="#FFFFFF" filled="t" stroked="t" coordsize="21600,21600" o:gfxdata="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Br0mLYAAAACQEAAA8AAAAAAAAAAQAgAAAAIgAAAGRycy9kb3ducmV2LnhtbFBLAQIUABQAAAAI&#10;AIdO4kAxE4IFJgIAAGMEAAAOAAAAAAAAAAEAIAAAACcBAABkcnMvZTJvRG9jLnhtbFBLBQYAAAAA&#10;BgAGAFkBAAC/BQAAAAA=&#10;">
                <v:fill on="t" focussize="0,0"/>
                <v:stroke weight="2pt" color="#4F81BD" joinstyle="miter"/>
                <v:imagedata o:title=""/>
                <o:lock v:ext="edit" aspectratio="f"/>
                <v:textbox>
                  <w:txbxContent>
                    <w:p>
                      <w:pPr>
                        <w:spacing w:line="240" w:lineRule="exact"/>
                        <w:jc w:val="center"/>
                        <w:rPr>
                          <w:rFonts w:ascii="仿宋" w:hAnsi="仿宋" w:eastAsia="仿宋" w:cs="Calibri"/>
                          <w:sz w:val="24"/>
                        </w:rPr>
                      </w:pPr>
                      <w:r>
                        <w:rPr>
                          <w:rFonts w:hint="eastAsia" w:ascii="宋体" w:hAnsi="宋体"/>
                          <w:sz w:val="22"/>
                          <w:szCs w:val="22"/>
                        </w:rPr>
                        <w:t>浙江省财务开发有限责任公司</w:t>
                      </w:r>
                    </w:p>
                  </w:txbxContent>
                </v:textbox>
              </v:rect>
            </w:pict>
          </mc:Fallback>
        </mc:AlternateContent>
      </w:r>
    </w:p>
    <w:p>
      <w:pPr>
        <w:adjustRightInd w:val="0"/>
        <w:snapToGrid w:val="0"/>
        <w:spacing w:after="120" w:afterLines="50" w:line="360" w:lineRule="auto"/>
        <w:ind w:firstLine="440" w:firstLineChars="200"/>
        <w:rPr>
          <w:rFonts w:cs="Times New Roman"/>
          <w:bCs/>
          <w:sz w:val="22"/>
          <w:szCs w:val="22"/>
        </w:rPr>
      </w:pPr>
      <w:r>
        <w:rPr>
          <w:rFonts w:cs="Times New Roman"/>
          <w:sz w:val="22"/>
          <w:szCs w:val="22"/>
        </w:rPr>
        <mc:AlternateContent>
          <mc:Choice Requires="wps">
            <w:drawing>
              <wp:anchor distT="0" distB="0" distL="114300" distR="114300" simplePos="0" relativeHeight="251672576" behindDoc="0" locked="0" layoutInCell="1" allowOverlap="1">
                <wp:simplePos x="0" y="0"/>
                <wp:positionH relativeFrom="column">
                  <wp:posOffset>3698240</wp:posOffset>
                </wp:positionH>
                <wp:positionV relativeFrom="paragraph">
                  <wp:posOffset>26670</wp:posOffset>
                </wp:positionV>
                <wp:extent cx="672465" cy="258445"/>
                <wp:effectExtent l="0" t="0" r="0" b="0"/>
                <wp:wrapNone/>
                <wp:docPr id="18" name="矩形 18"/>
                <wp:cNvGraphicFramePr/>
                <a:graphic xmlns:a="http://schemas.openxmlformats.org/drawingml/2006/main">
                  <a:graphicData uri="http://schemas.microsoft.com/office/word/2010/wordprocessingShape">
                    <wps:wsp>
                      <wps:cNvSpPr/>
                      <wps:spPr>
                        <a:xfrm>
                          <a:off x="0" y="0"/>
                          <a:ext cx="672321" cy="258445"/>
                        </a:xfrm>
                        <a:prstGeom prst="rect">
                          <a:avLst/>
                        </a:prstGeom>
                        <a:noFill/>
                        <a:ln w="9525">
                          <a:noFill/>
                        </a:ln>
                        <a:effectLst/>
                      </wps:spPr>
                      <wps:txbx>
                        <w:txbxContent>
                          <w:p>
                            <w:pPr>
                              <w:jc w:val="center"/>
                              <w:rPr>
                                <w:color w:val="000000"/>
                                <w:sz w:val="20"/>
                                <w:szCs w:val="16"/>
                              </w:rPr>
                            </w:pPr>
                            <w:r>
                              <w:rPr>
                                <w:color w:val="000000"/>
                                <w:sz w:val="20"/>
                                <w:szCs w:val="16"/>
                              </w:rPr>
                              <w:t>9.89%</w:t>
                            </w:r>
                          </w:p>
                        </w:txbxContent>
                      </wps:txbx>
                      <wps:bodyPr wrap="square" anchor="ctr" anchorCtr="0" upright="1"/>
                    </wps:wsp>
                  </a:graphicData>
                </a:graphic>
              </wp:anchor>
            </w:drawing>
          </mc:Choice>
          <mc:Fallback>
            <w:pict>
              <v:rect id="_x0000_s1026" o:spid="_x0000_s1026" o:spt="1" style="position:absolute;left:0pt;margin-left:291.2pt;margin-top:2.1pt;height:20.35pt;width:52.95pt;z-index:251672576;v-text-anchor:middle;mso-width-relative:page;mso-height-relative:page;" filled="f" stroked="f" coordsize="21600,21600" o:gfxdata="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i9EhPUAAAACAEAAA8AAAAAAAAAAQAgAAAAIgAAAGRycy9kb3ducmV2&#10;LnhtbFBLAQIUABQAAAAIAIdO4kBpgS4KxwEAAIIDAAAOAAAAAAAAAAEAIAAAACMBAABkcnMvZTJv&#10;RG9jLnhtbFBLBQYAAAAABgAGAFkBAABcBQAAAAA=&#10;">
                <v:fill on="f" focussize="0,0"/>
                <v:stroke on="f"/>
                <v:imagedata o:title=""/>
                <o:lock v:ext="edit" aspectratio="f"/>
                <v:textbox>
                  <w:txbxContent>
                    <w:p>
                      <w:pPr>
                        <w:jc w:val="center"/>
                        <w:rPr>
                          <w:color w:val="000000"/>
                          <w:sz w:val="20"/>
                          <w:szCs w:val="16"/>
                        </w:rPr>
                      </w:pPr>
                      <w:r>
                        <w:rPr>
                          <w:color w:val="000000"/>
                          <w:sz w:val="20"/>
                          <w:szCs w:val="16"/>
                        </w:rPr>
                        <w:t>9.89%</w:t>
                      </w:r>
                    </w:p>
                  </w:txbxContent>
                </v:textbox>
              </v:rect>
            </w:pict>
          </mc:Fallback>
        </mc:AlternateContent>
      </w:r>
      <w:r>
        <w:rPr>
          <w:rFonts w:cs="Times New Roman"/>
          <w:sz w:val="22"/>
          <w:szCs w:val="22"/>
        </w:rPr>
        <mc:AlternateContent>
          <mc:Choice Requires="wps">
            <w:drawing>
              <wp:anchor distT="0" distB="0" distL="114300" distR="114300" simplePos="0" relativeHeight="251673600" behindDoc="0" locked="0" layoutInCell="1" allowOverlap="1">
                <wp:simplePos x="0" y="0"/>
                <wp:positionH relativeFrom="column">
                  <wp:posOffset>4201160</wp:posOffset>
                </wp:positionH>
                <wp:positionV relativeFrom="paragraph">
                  <wp:posOffset>195580</wp:posOffset>
                </wp:positionV>
                <wp:extent cx="348615" cy="635"/>
                <wp:effectExtent l="56515" t="0" r="57150" b="32385"/>
                <wp:wrapNone/>
                <wp:docPr id="21" name="肘形连接符 8"/>
                <wp:cNvGraphicFramePr/>
                <a:graphic xmlns:a="http://schemas.openxmlformats.org/drawingml/2006/main">
                  <a:graphicData uri="http://schemas.microsoft.com/office/word/2010/wordprocessingShape">
                    <wps:wsp>
                      <wps:cNvCnPr/>
                      <wps:spPr>
                        <a:xfrm rot="16200000" flipH="1">
                          <a:off x="0" y="0"/>
                          <a:ext cx="348615" cy="635"/>
                        </a:xfrm>
                        <a:prstGeom prst="bentConnector3">
                          <a:avLst>
                            <a:gd name="adj1" fmla="val 49907"/>
                          </a:avLst>
                        </a:prstGeom>
                        <a:ln w="25400" cap="flat" cmpd="sng">
                          <a:solidFill>
                            <a:srgbClr val="4F81BD"/>
                          </a:solidFill>
                          <a:prstDash val="solid"/>
                          <a:miter/>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肘形连接符 8" o:spid="_x0000_s1026" o:spt="34" type="#_x0000_t34" style="position:absolute;left:0pt;flip:x;margin-left:330.8pt;margin-top:15.4pt;height:0.05pt;width:27.45pt;rotation:5898240f;z-index:251673600;mso-width-relative:page;mso-height-relative:page;" filled="f" stroked="t" coordsize="21600,21600" o:gfxdata="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pSRZHXAAAACQEAAA8AAAAAAAAAAQAgAAAAIgAAAGRycy9kb3ducmV2&#10;LnhtbFBLAQIUABQAAAAIAIdO4kBvkWB2bwIAANIEAAAOAAAAAAAAAAEAIAAAACYBAABkcnMvZTJv&#10;RG9jLnhtbFBLBQYAAAAABgAGAFkBAAAHBgAAAAA=&#10;" adj="10780">
                <v:fill on="f" focussize="0,0"/>
                <v:stroke weight="2pt" color="#4F81BD" joinstyle="miter" endarrow="open"/>
                <v:imagedata o:title=""/>
                <o:lock v:ext="edit" aspectratio="f"/>
                <v:shadow on="t" color="#000000" opacity="24903f" offset="0pt,1.5748031496063pt" origin="0f,32768f" matrix="65536f,0f,0f,65536f"/>
              </v:shape>
            </w:pict>
          </mc:Fallback>
        </mc:AlternateContent>
      </w:r>
      <w:r>
        <w:rPr>
          <w:rFonts w:cs="Times New Roman"/>
          <w:sz w:val="22"/>
          <w:szCs w:val="22"/>
        </w:rPr>
        <mc:AlternateContent>
          <mc:Choice Requires="wps">
            <w:drawing>
              <wp:anchor distT="0" distB="0" distL="114300" distR="114300" simplePos="0" relativeHeight="251666432" behindDoc="0" locked="0" layoutInCell="1" allowOverlap="1">
                <wp:simplePos x="0" y="0"/>
                <wp:positionH relativeFrom="column">
                  <wp:posOffset>315595</wp:posOffset>
                </wp:positionH>
                <wp:positionV relativeFrom="paragraph">
                  <wp:posOffset>31115</wp:posOffset>
                </wp:positionV>
                <wp:extent cx="672465" cy="258445"/>
                <wp:effectExtent l="0" t="0" r="0" b="0"/>
                <wp:wrapNone/>
                <wp:docPr id="13" name="矩形 13"/>
                <wp:cNvGraphicFramePr/>
                <a:graphic xmlns:a="http://schemas.openxmlformats.org/drawingml/2006/main">
                  <a:graphicData uri="http://schemas.microsoft.com/office/word/2010/wordprocessingShape">
                    <wps:wsp>
                      <wps:cNvSpPr/>
                      <wps:spPr>
                        <a:xfrm>
                          <a:off x="0" y="0"/>
                          <a:ext cx="672321" cy="258445"/>
                        </a:xfrm>
                        <a:prstGeom prst="rect">
                          <a:avLst/>
                        </a:prstGeom>
                        <a:noFill/>
                        <a:ln w="9525">
                          <a:noFill/>
                        </a:ln>
                        <a:effectLst/>
                      </wps:spPr>
                      <wps:txbx>
                        <w:txbxContent>
                          <w:p>
                            <w:pPr>
                              <w:jc w:val="center"/>
                              <w:rPr>
                                <w:color w:val="000000"/>
                                <w:sz w:val="20"/>
                                <w:szCs w:val="16"/>
                              </w:rPr>
                            </w:pPr>
                            <w:r>
                              <w:rPr>
                                <w:color w:val="000000"/>
                                <w:sz w:val="20"/>
                                <w:szCs w:val="16"/>
                              </w:rPr>
                              <w:t>90.11%</w:t>
                            </w:r>
                          </w:p>
                        </w:txbxContent>
                      </wps:txbx>
                      <wps:bodyPr wrap="square" anchor="ctr" anchorCtr="0" upright="1"/>
                    </wps:wsp>
                  </a:graphicData>
                </a:graphic>
              </wp:anchor>
            </w:drawing>
          </mc:Choice>
          <mc:Fallback>
            <w:pict>
              <v:rect id="_x0000_s1026" o:spid="_x0000_s1026" o:spt="1" style="position:absolute;left:0pt;margin-left:24.85pt;margin-top:2.45pt;height:20.35pt;width:52.95pt;z-index:251666432;v-text-anchor:middle;mso-width-relative:page;mso-height-relative:page;" filled="f" stroked="f" coordsize="21600,21600" o:gfxdata="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0s0WNAAAAAHAQAADwAAAAAAAAABACAAAAAiAAAAZHJzL2Rvd25yZXYueG1s&#10;UEsBAhQAFAAAAAgAh07iQGYO3VfHAQAAggMAAA4AAAAAAAAAAQAgAAAAHwEAAGRycy9lMm9Eb2Mu&#10;eG1sUEsFBgAAAAAGAAYAWQEAAFgFAAAAAA==&#10;">
                <v:fill on="f" focussize="0,0"/>
                <v:stroke on="f"/>
                <v:imagedata o:title=""/>
                <o:lock v:ext="edit" aspectratio="f"/>
                <v:textbox>
                  <w:txbxContent>
                    <w:p>
                      <w:pPr>
                        <w:jc w:val="center"/>
                        <w:rPr>
                          <w:color w:val="000000"/>
                          <w:sz w:val="20"/>
                          <w:szCs w:val="16"/>
                        </w:rPr>
                      </w:pPr>
                      <w:r>
                        <w:rPr>
                          <w:color w:val="000000"/>
                          <w:sz w:val="20"/>
                          <w:szCs w:val="16"/>
                        </w:rPr>
                        <w:t>90.11%</w:t>
                      </w:r>
                    </w:p>
                  </w:txbxContent>
                </v:textbox>
              </v:rect>
            </w:pict>
          </mc:Fallback>
        </mc:AlternateContent>
      </w:r>
      <w:r>
        <w:rPr>
          <w:rFonts w:cs="Times New Roman"/>
          <w:sz w:val="22"/>
          <w:szCs w:val="22"/>
        </w:rPr>
        <mc:AlternateContent>
          <mc:Choice Requires="wps">
            <w:drawing>
              <wp:anchor distT="0" distB="0" distL="114300" distR="114300" simplePos="0" relativeHeight="251665408" behindDoc="0" locked="0" layoutInCell="1" allowOverlap="1">
                <wp:simplePos x="0" y="0"/>
                <wp:positionH relativeFrom="column">
                  <wp:posOffset>1090295</wp:posOffset>
                </wp:positionH>
                <wp:positionV relativeFrom="paragraph">
                  <wp:posOffset>198755</wp:posOffset>
                </wp:positionV>
                <wp:extent cx="348615" cy="635"/>
                <wp:effectExtent l="56515" t="0" r="57150" b="32385"/>
                <wp:wrapNone/>
                <wp:docPr id="12" name="肘形连接符 8"/>
                <wp:cNvGraphicFramePr/>
                <a:graphic xmlns:a="http://schemas.openxmlformats.org/drawingml/2006/main">
                  <a:graphicData uri="http://schemas.microsoft.com/office/word/2010/wordprocessingShape">
                    <wps:wsp>
                      <wps:cNvCnPr/>
                      <wps:spPr>
                        <a:xfrm rot="16200000" flipH="1">
                          <a:off x="0" y="0"/>
                          <a:ext cx="348615" cy="635"/>
                        </a:xfrm>
                        <a:prstGeom prst="bentConnector3">
                          <a:avLst>
                            <a:gd name="adj1" fmla="val 49907"/>
                          </a:avLst>
                        </a:prstGeom>
                        <a:ln w="25400" cap="flat" cmpd="sng">
                          <a:solidFill>
                            <a:srgbClr val="4F81BD"/>
                          </a:solidFill>
                          <a:prstDash val="solid"/>
                          <a:miter/>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肘形连接符 8" o:spid="_x0000_s1026" o:spt="34" type="#_x0000_t34" style="position:absolute;left:0pt;flip:x;margin-left:85.85pt;margin-top:15.65pt;height:0.05pt;width:27.45pt;rotation:5898240f;z-index:251665408;mso-width-relative:page;mso-height-relative:page;" filled="f" stroked="t" coordsize="21600,21600" o:gfxdata="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gmDkc1wAAAAkBAAAPAAAAAAAAAAEAIAAAACIAAABkcnMvZG93bnJl&#10;di54bWxQSwECFAAUAAAACACHTuJAMDzCUXACAADSBAAADgAAAAAAAAABACAAAAAmAQAAZHJzL2Uy&#10;b0RvYy54bWxQSwUGAAAAAAYABgBZAQAACAYAAAAA&#10;" adj="10780">
                <v:fill on="f" focussize="0,0"/>
                <v:stroke weight="2pt" color="#4F81BD" joinstyle="miter" endarrow="open"/>
                <v:imagedata o:title=""/>
                <o:lock v:ext="edit" aspectratio="f"/>
                <v:shadow on="t" color="#000000" opacity="24903f" offset="0pt,1.5748031496063pt" origin="0f,32768f" matrix="65536f,0f,0f,65536f"/>
              </v:shape>
            </w:pict>
          </mc:Fallback>
        </mc:AlternateContent>
      </w:r>
    </w:p>
    <w:p>
      <w:pPr>
        <w:adjustRightInd w:val="0"/>
        <w:snapToGrid w:val="0"/>
        <w:spacing w:after="120" w:afterLines="50" w:line="360" w:lineRule="auto"/>
        <w:ind w:firstLine="440" w:firstLineChars="200"/>
        <w:rPr>
          <w:rFonts w:cs="Times New Roman"/>
          <w:bCs/>
          <w:sz w:val="22"/>
          <w:szCs w:val="22"/>
        </w:rPr>
      </w:pPr>
      <w:r>
        <w:rPr>
          <w:rFonts w:cs="Times New Roman"/>
          <w:sz w:val="22"/>
          <w:szCs w:val="22"/>
        </w:rPr>
        <mc:AlternateContent>
          <mc:Choice Requires="wps">
            <w:drawing>
              <wp:anchor distT="0" distB="0" distL="114300" distR="114300" simplePos="0" relativeHeight="251660288" behindDoc="0" locked="0" layoutInCell="1" allowOverlap="1">
                <wp:simplePos x="0" y="0"/>
                <wp:positionH relativeFrom="column">
                  <wp:posOffset>1125220</wp:posOffset>
                </wp:positionH>
                <wp:positionV relativeFrom="paragraph">
                  <wp:posOffset>53975</wp:posOffset>
                </wp:positionV>
                <wp:extent cx="4158615" cy="264160"/>
                <wp:effectExtent l="12700" t="12700" r="19685" b="27940"/>
                <wp:wrapNone/>
                <wp:docPr id="7" name="矩形 7"/>
                <wp:cNvGraphicFramePr/>
                <a:graphic xmlns:a="http://schemas.openxmlformats.org/drawingml/2006/main">
                  <a:graphicData uri="http://schemas.microsoft.com/office/word/2010/wordprocessingShape">
                    <wps:wsp>
                      <wps:cNvSpPr/>
                      <wps:spPr>
                        <a:xfrm>
                          <a:off x="0" y="0"/>
                          <a:ext cx="4158615" cy="264160"/>
                        </a:xfrm>
                        <a:prstGeom prst="rect">
                          <a:avLst/>
                        </a:prstGeom>
                        <a:solidFill>
                          <a:srgbClr val="FFFFFF"/>
                        </a:solidFill>
                        <a:ln w="25400" cap="flat" cmpd="sng">
                          <a:solidFill>
                            <a:srgbClr val="4F81BD"/>
                          </a:solidFill>
                          <a:prstDash val="solid"/>
                          <a:miter/>
                          <a:headEnd type="none" w="med" len="med"/>
                          <a:tailEnd type="none" w="med" len="med"/>
                        </a:ln>
                        <a:effectLst/>
                      </wps:spPr>
                      <wps:txbx>
                        <w:txbxContent>
                          <w:p>
                            <w:pPr>
                              <w:spacing w:line="240" w:lineRule="exact"/>
                              <w:ind w:firstLine="1540" w:firstLineChars="700"/>
                              <w:rPr>
                                <w:rFonts w:ascii="仿宋" w:hAnsi="仿宋" w:eastAsia="仿宋" w:cs="Calibri"/>
                                <w:sz w:val="24"/>
                              </w:rPr>
                            </w:pPr>
                            <w:r>
                              <w:rPr>
                                <w:rStyle w:val="27"/>
                                <w:rFonts w:hint="eastAsia" w:ascii="宋体" w:hAnsi="宋体"/>
                                <w:sz w:val="22"/>
                                <w:szCs w:val="22"/>
                              </w:rPr>
                              <w:t>龙港市新城建设发展有限公司</w:t>
                            </w:r>
                          </w:p>
                        </w:txbxContent>
                      </wps:txbx>
                      <wps:bodyPr anchor="ctr" anchorCtr="0" upright="1"/>
                    </wps:wsp>
                  </a:graphicData>
                </a:graphic>
              </wp:anchor>
            </w:drawing>
          </mc:Choice>
          <mc:Fallback>
            <w:pict>
              <v:rect id="_x0000_s1026" o:spid="_x0000_s1026" o:spt="1" style="position:absolute;left:0pt;margin-left:88.6pt;margin-top:4.25pt;height:20.8pt;width:327.45pt;z-index:251660288;v-text-anchor:middle;mso-width-relative:page;mso-height-relative:page;" fillcolor="#FFFFFF" filled="t" stroked="t" coordsize="21600,21600" o:gfxdata="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3sGY+1QAAAAgBAAAP&#10;AAAAAAAAAAEAIAAAACIAAABkcnMvZG93bnJldi54bWxQSwECFAAUAAAACACHTuJAk1uF3RsCAABT&#10;BAAADgAAAAAAAAABACAAAAAkAQAAZHJzL2Uyb0RvYy54bWxQSwUGAAAAAAYABgBZAQAAsQUAAAAA&#10;">
                <v:fill on="t" focussize="0,0"/>
                <v:stroke weight="2pt" color="#4F81BD" joinstyle="miter"/>
                <v:imagedata o:title=""/>
                <o:lock v:ext="edit" aspectratio="f"/>
                <v:textbox>
                  <w:txbxContent>
                    <w:p>
                      <w:pPr>
                        <w:spacing w:line="240" w:lineRule="exact"/>
                        <w:ind w:firstLine="1540" w:firstLineChars="700"/>
                        <w:rPr>
                          <w:rFonts w:ascii="仿宋" w:hAnsi="仿宋" w:eastAsia="仿宋" w:cs="Calibri"/>
                          <w:sz w:val="24"/>
                        </w:rPr>
                      </w:pPr>
                      <w:r>
                        <w:rPr>
                          <w:rStyle w:val="27"/>
                          <w:rFonts w:hint="eastAsia" w:ascii="宋体" w:hAnsi="宋体"/>
                          <w:sz w:val="22"/>
                          <w:szCs w:val="22"/>
                        </w:rPr>
                        <w:t>龙港市新城建设发展有限公司</w:t>
                      </w:r>
                    </w:p>
                  </w:txbxContent>
                </v:textbox>
              </v:rect>
            </w:pict>
          </mc:Fallback>
        </mc:AlternateContent>
      </w:r>
    </w:p>
    <w:p>
      <w:pPr>
        <w:snapToGrid w:val="0"/>
        <w:spacing w:line="360" w:lineRule="auto"/>
        <w:rPr>
          <w:rFonts w:cs="Times New Roman"/>
          <w:sz w:val="22"/>
          <w:szCs w:val="22"/>
        </w:rPr>
      </w:pPr>
    </w:p>
    <w:p>
      <w:pPr>
        <w:snapToGrid w:val="0"/>
        <w:spacing w:line="348" w:lineRule="auto"/>
        <w:ind w:firstLine="442" w:firstLineChars="200"/>
        <w:rPr>
          <w:rFonts w:cs="Times New Roman"/>
          <w:b/>
          <w:sz w:val="22"/>
          <w:szCs w:val="22"/>
        </w:rPr>
      </w:pPr>
      <w:r>
        <w:rPr>
          <w:rFonts w:cs="Times New Roman"/>
          <w:b/>
          <w:sz w:val="22"/>
          <w:szCs w:val="22"/>
        </w:rPr>
        <w:t>（二）服务要求、质量和标准</w:t>
      </w:r>
    </w:p>
    <w:p>
      <w:pPr>
        <w:snapToGrid w:val="0"/>
        <w:spacing w:line="348" w:lineRule="auto"/>
        <w:ind w:firstLine="440" w:firstLineChars="200"/>
        <w:rPr>
          <w:rFonts w:cs="Times New Roman"/>
          <w:sz w:val="22"/>
          <w:szCs w:val="22"/>
        </w:rPr>
      </w:pPr>
      <w:r>
        <w:rPr>
          <w:rFonts w:cs="Times New Roman"/>
          <w:sz w:val="22"/>
          <w:szCs w:val="22"/>
        </w:rPr>
        <w:t>1.前期阶段</w:t>
      </w:r>
    </w:p>
    <w:p>
      <w:pPr>
        <w:snapToGrid w:val="0"/>
        <w:spacing w:line="348" w:lineRule="auto"/>
        <w:ind w:firstLine="440" w:firstLineChars="200"/>
        <w:rPr>
          <w:rFonts w:cs="Times New Roman"/>
          <w:sz w:val="22"/>
          <w:szCs w:val="22"/>
        </w:rPr>
      </w:pPr>
      <w:r>
        <w:rPr>
          <w:rFonts w:cs="Times New Roman"/>
          <w:sz w:val="22"/>
          <w:szCs w:val="22"/>
        </w:rPr>
        <w:t>承销商应按相关规定进行充分尽职调查，收集公司资料，设计详尽的公司债券发行方案，包括但不限于发行期限、保障措施、发行时间安排、募投项目设计、发行建议等，并负责协调各中介机构制定完善的公司债券申报材料。</w:t>
      </w:r>
    </w:p>
    <w:p>
      <w:pPr>
        <w:snapToGrid w:val="0"/>
        <w:spacing w:line="348" w:lineRule="auto"/>
        <w:ind w:firstLine="440" w:firstLineChars="200"/>
        <w:rPr>
          <w:rFonts w:cs="Times New Roman"/>
          <w:sz w:val="22"/>
          <w:szCs w:val="22"/>
        </w:rPr>
      </w:pPr>
      <w:r>
        <w:rPr>
          <w:rFonts w:cs="Times New Roman"/>
          <w:sz w:val="22"/>
          <w:szCs w:val="22"/>
        </w:rPr>
        <w:t>2.材料申报阶段</w:t>
      </w:r>
    </w:p>
    <w:p>
      <w:pPr>
        <w:snapToGrid w:val="0"/>
        <w:spacing w:line="348" w:lineRule="auto"/>
        <w:ind w:firstLine="440" w:firstLineChars="200"/>
        <w:rPr>
          <w:rFonts w:cs="Times New Roman"/>
          <w:sz w:val="22"/>
          <w:szCs w:val="22"/>
        </w:rPr>
      </w:pPr>
      <w:r>
        <w:rPr>
          <w:rFonts w:cs="Times New Roman"/>
          <w:sz w:val="22"/>
          <w:szCs w:val="22"/>
        </w:rPr>
        <w:t>承销商负责公司债券申请交易所批复。</w:t>
      </w:r>
    </w:p>
    <w:p>
      <w:pPr>
        <w:snapToGrid w:val="0"/>
        <w:spacing w:line="348" w:lineRule="auto"/>
        <w:ind w:firstLine="440" w:firstLineChars="200"/>
        <w:rPr>
          <w:rFonts w:cs="Times New Roman"/>
          <w:sz w:val="22"/>
          <w:szCs w:val="22"/>
        </w:rPr>
      </w:pPr>
      <w:r>
        <w:rPr>
          <w:rFonts w:cs="Times New Roman"/>
          <w:sz w:val="22"/>
          <w:szCs w:val="22"/>
        </w:rPr>
        <w:t>3.发行阶段</w:t>
      </w:r>
    </w:p>
    <w:p>
      <w:pPr>
        <w:snapToGrid w:val="0"/>
        <w:spacing w:line="348" w:lineRule="auto"/>
        <w:ind w:firstLine="440" w:firstLineChars="200"/>
        <w:rPr>
          <w:rFonts w:cs="Times New Roman"/>
          <w:sz w:val="22"/>
          <w:szCs w:val="22"/>
        </w:rPr>
      </w:pPr>
      <w:r>
        <w:rPr>
          <w:rFonts w:cs="Times New Roman"/>
          <w:sz w:val="22"/>
          <w:szCs w:val="22"/>
        </w:rPr>
        <w:t>承销商需与龙港市新城建设发展有限公司签订余额包销协议，按照规定的发行方案、发行额及发行条件，积极寻找合格投资者，在约定期限内完成当期债券销售工作。</w:t>
      </w:r>
    </w:p>
    <w:p>
      <w:pPr>
        <w:snapToGrid w:val="0"/>
        <w:spacing w:line="348" w:lineRule="auto"/>
        <w:ind w:firstLine="440" w:firstLineChars="200"/>
        <w:rPr>
          <w:rFonts w:cs="Times New Roman"/>
          <w:sz w:val="22"/>
          <w:szCs w:val="22"/>
        </w:rPr>
      </w:pPr>
      <w:r>
        <w:rPr>
          <w:rFonts w:cs="Times New Roman"/>
          <w:sz w:val="22"/>
          <w:szCs w:val="22"/>
        </w:rPr>
        <w:t>4.发行完毕后，承销商负责协助公司及时完成备案及后续管理工作。</w:t>
      </w:r>
    </w:p>
    <w:p>
      <w:pPr>
        <w:snapToGrid w:val="0"/>
        <w:spacing w:line="348" w:lineRule="auto"/>
        <w:ind w:firstLine="440" w:firstLineChars="200"/>
        <w:rPr>
          <w:rFonts w:cs="Times New Roman"/>
          <w:sz w:val="22"/>
          <w:szCs w:val="22"/>
        </w:rPr>
      </w:pPr>
      <w:r>
        <w:rPr>
          <w:rFonts w:cs="Times New Roman"/>
          <w:sz w:val="22"/>
          <w:szCs w:val="22"/>
        </w:rPr>
        <w:t>5.其他工作。与公司债券发行、发行后存续期内相关的其他专业服务。</w:t>
      </w:r>
    </w:p>
    <w:p>
      <w:pPr>
        <w:snapToGrid w:val="0"/>
        <w:spacing w:line="348" w:lineRule="auto"/>
        <w:ind w:firstLine="440" w:firstLineChars="200"/>
        <w:rPr>
          <w:rFonts w:cs="Times New Roman"/>
          <w:sz w:val="22"/>
          <w:szCs w:val="22"/>
        </w:rPr>
      </w:pPr>
      <w:r>
        <w:rPr>
          <w:rFonts w:cs="Times New Roman"/>
          <w:sz w:val="22"/>
          <w:szCs w:val="22"/>
        </w:rPr>
        <w:t>6.时间要求</w:t>
      </w:r>
    </w:p>
    <w:p>
      <w:pPr>
        <w:snapToGrid w:val="0"/>
        <w:spacing w:line="348" w:lineRule="auto"/>
        <w:ind w:firstLine="440" w:firstLineChars="200"/>
        <w:rPr>
          <w:rFonts w:cs="Times New Roman"/>
          <w:sz w:val="22"/>
          <w:szCs w:val="22"/>
        </w:rPr>
      </w:pPr>
      <w:r>
        <w:rPr>
          <w:rFonts w:cs="Times New Roman"/>
          <w:sz w:val="22"/>
          <w:szCs w:val="22"/>
        </w:rPr>
        <w:t>（1）承销商应按照同发行人、相关中介机构确定的工作时间表时限要求，科学合理安排材料准备、材料申报事项，及时取得交易所批复；</w:t>
      </w:r>
    </w:p>
    <w:p>
      <w:pPr>
        <w:snapToGrid w:val="0"/>
        <w:spacing w:line="348" w:lineRule="auto"/>
        <w:ind w:firstLine="440" w:firstLineChars="200"/>
        <w:rPr>
          <w:rFonts w:cs="Times New Roman"/>
          <w:sz w:val="22"/>
          <w:szCs w:val="22"/>
        </w:rPr>
      </w:pPr>
      <w:r>
        <w:rPr>
          <w:rFonts w:cs="Times New Roman"/>
          <w:sz w:val="22"/>
          <w:szCs w:val="22"/>
        </w:rPr>
        <w:t>（2）根据发行人的需求及市场情况，及时启动债券发行和销售工作。</w:t>
      </w:r>
    </w:p>
    <w:p>
      <w:pPr>
        <w:snapToGrid w:val="0"/>
        <w:spacing w:line="348" w:lineRule="auto"/>
        <w:ind w:firstLine="442" w:firstLineChars="200"/>
        <w:rPr>
          <w:rFonts w:cs="Times New Roman"/>
          <w:b/>
          <w:sz w:val="22"/>
          <w:szCs w:val="22"/>
        </w:rPr>
      </w:pPr>
      <w:r>
        <w:rPr>
          <w:rFonts w:cs="Times New Roman"/>
          <w:b/>
          <w:sz w:val="22"/>
          <w:szCs w:val="22"/>
        </w:rPr>
        <w:t>（三）服务内容</w:t>
      </w:r>
    </w:p>
    <w:p>
      <w:pPr>
        <w:snapToGrid w:val="0"/>
        <w:spacing w:line="348" w:lineRule="auto"/>
        <w:ind w:firstLine="440" w:firstLineChars="200"/>
        <w:rPr>
          <w:rFonts w:cs="Times New Roman"/>
          <w:sz w:val="22"/>
          <w:szCs w:val="22"/>
        </w:rPr>
      </w:pPr>
      <w:r>
        <w:rPr>
          <w:rFonts w:cs="Times New Roman"/>
          <w:sz w:val="22"/>
          <w:szCs w:val="22"/>
        </w:rPr>
        <w:t>承销商应完成本次债券发行须完成的全部工作，主要包括但不限于以下内容：</w:t>
      </w:r>
    </w:p>
    <w:p>
      <w:pPr>
        <w:snapToGrid w:val="0"/>
        <w:spacing w:line="348" w:lineRule="auto"/>
        <w:ind w:firstLine="440" w:firstLineChars="200"/>
        <w:rPr>
          <w:rFonts w:cs="Times New Roman"/>
          <w:sz w:val="22"/>
          <w:szCs w:val="22"/>
        </w:rPr>
      </w:pPr>
      <w:r>
        <w:rPr>
          <w:rFonts w:cs="Times New Roman"/>
          <w:sz w:val="22"/>
          <w:szCs w:val="22"/>
        </w:rPr>
        <w:t>1.根据发行人提出的目标，设计融资方案并协调会计师事务所、律师事务所等中介机构的相关工作。</w:t>
      </w:r>
    </w:p>
    <w:p>
      <w:pPr>
        <w:snapToGrid w:val="0"/>
        <w:spacing w:line="348" w:lineRule="auto"/>
        <w:ind w:firstLine="440" w:firstLineChars="200"/>
        <w:rPr>
          <w:rFonts w:cs="Times New Roman"/>
          <w:sz w:val="22"/>
          <w:szCs w:val="22"/>
        </w:rPr>
      </w:pPr>
      <w:r>
        <w:rPr>
          <w:rFonts w:cs="Times New Roman"/>
          <w:sz w:val="22"/>
          <w:szCs w:val="22"/>
        </w:rPr>
        <w:t>2.协助发行人完成全部债券发行申报文件及有关审批程序，包括但不限于主管机关要求申报的文件、债券销售推介材料以及交易流通申请材料。</w:t>
      </w:r>
    </w:p>
    <w:p>
      <w:pPr>
        <w:snapToGrid w:val="0"/>
        <w:spacing w:line="348" w:lineRule="auto"/>
        <w:ind w:firstLine="440" w:firstLineChars="200"/>
        <w:rPr>
          <w:rFonts w:cs="Times New Roman"/>
          <w:sz w:val="22"/>
          <w:szCs w:val="22"/>
        </w:rPr>
      </w:pPr>
      <w:r>
        <w:rPr>
          <w:rFonts w:cs="Times New Roman"/>
          <w:sz w:val="22"/>
          <w:szCs w:val="22"/>
        </w:rPr>
        <w:t>3.通过询价及预销售工作促使发行人获得合理的发行利率。</w:t>
      </w:r>
    </w:p>
    <w:p>
      <w:pPr>
        <w:snapToGrid w:val="0"/>
        <w:spacing w:line="348" w:lineRule="auto"/>
        <w:ind w:firstLine="440" w:firstLineChars="200"/>
        <w:rPr>
          <w:rFonts w:cs="Times New Roman"/>
          <w:sz w:val="22"/>
          <w:szCs w:val="22"/>
        </w:rPr>
      </w:pPr>
      <w:r>
        <w:rPr>
          <w:rFonts w:cs="Times New Roman"/>
          <w:sz w:val="22"/>
          <w:szCs w:val="22"/>
        </w:rPr>
        <w:t>4.债券存续期内协助发行人完成信息披露和本息偿付工作。</w:t>
      </w:r>
    </w:p>
    <w:p>
      <w:pPr>
        <w:snapToGrid w:val="0"/>
        <w:spacing w:line="348" w:lineRule="auto"/>
        <w:ind w:firstLine="440" w:firstLineChars="200"/>
        <w:rPr>
          <w:rFonts w:cs="Times New Roman"/>
          <w:sz w:val="24"/>
        </w:rPr>
      </w:pPr>
      <w:r>
        <w:rPr>
          <w:rFonts w:cs="Times New Roman"/>
          <w:sz w:val="22"/>
          <w:szCs w:val="22"/>
        </w:rPr>
        <w:t>5.其他与本次债券发行相关的工作。</w:t>
      </w:r>
    </w:p>
    <w:p>
      <w:pPr>
        <w:snapToGrid w:val="0"/>
        <w:spacing w:line="348" w:lineRule="auto"/>
        <w:ind w:firstLine="442" w:firstLineChars="200"/>
        <w:rPr>
          <w:rFonts w:cs="Times New Roman"/>
          <w:b/>
          <w:sz w:val="22"/>
          <w:szCs w:val="22"/>
        </w:rPr>
      </w:pPr>
      <w:r>
        <w:rPr>
          <w:rFonts w:cs="Times New Roman"/>
          <w:b/>
          <w:sz w:val="22"/>
          <w:szCs w:val="22"/>
        </w:rPr>
        <w:t>（四）项目要素</w:t>
      </w:r>
    </w:p>
    <w:p>
      <w:pPr>
        <w:snapToGrid w:val="0"/>
        <w:spacing w:line="348" w:lineRule="auto"/>
        <w:ind w:firstLine="440" w:firstLineChars="200"/>
        <w:rPr>
          <w:rFonts w:cs="Times New Roman"/>
          <w:sz w:val="22"/>
          <w:szCs w:val="22"/>
        </w:rPr>
      </w:pPr>
      <w:r>
        <w:rPr>
          <w:rFonts w:cs="Times New Roman"/>
          <w:sz w:val="22"/>
          <w:szCs w:val="22"/>
        </w:rPr>
        <w:t>1.发行主体：龙港市新城建设发展有限公司；</w:t>
      </w:r>
    </w:p>
    <w:p>
      <w:pPr>
        <w:snapToGrid w:val="0"/>
        <w:spacing w:line="348" w:lineRule="auto"/>
        <w:ind w:firstLine="440" w:firstLineChars="200"/>
        <w:rPr>
          <w:rFonts w:cs="Times New Roman"/>
          <w:sz w:val="22"/>
          <w:szCs w:val="22"/>
        </w:rPr>
      </w:pPr>
      <w:r>
        <w:rPr>
          <w:rFonts w:cs="Times New Roman"/>
          <w:sz w:val="22"/>
          <w:szCs w:val="22"/>
        </w:rPr>
        <w:t>2.债券品种：非公开</w:t>
      </w:r>
      <w:r>
        <w:rPr>
          <w:rFonts w:hint="eastAsia" w:cs="Times New Roman"/>
          <w:sz w:val="22"/>
          <w:szCs w:val="22"/>
        </w:rPr>
        <w:t>发行公司债券</w:t>
      </w:r>
      <w:r>
        <w:rPr>
          <w:rFonts w:cs="Times New Roman"/>
          <w:sz w:val="22"/>
          <w:szCs w:val="22"/>
        </w:rPr>
        <w:t>；</w:t>
      </w:r>
    </w:p>
    <w:p>
      <w:pPr>
        <w:snapToGrid w:val="0"/>
        <w:spacing w:line="348" w:lineRule="auto"/>
        <w:ind w:firstLine="440" w:firstLineChars="200"/>
        <w:rPr>
          <w:rFonts w:cs="Times New Roman"/>
          <w:sz w:val="22"/>
          <w:szCs w:val="22"/>
        </w:rPr>
      </w:pPr>
      <w:r>
        <w:rPr>
          <w:rFonts w:cs="Times New Roman"/>
          <w:sz w:val="22"/>
          <w:szCs w:val="22"/>
        </w:rPr>
        <w:t>3.发行规模：不超过人民币25亿元（含25亿元），一次或分批发行；</w:t>
      </w:r>
    </w:p>
    <w:p>
      <w:pPr>
        <w:snapToGrid w:val="0"/>
        <w:spacing w:line="348" w:lineRule="auto"/>
        <w:ind w:firstLine="440" w:firstLineChars="200"/>
        <w:rPr>
          <w:rFonts w:cs="Times New Roman"/>
          <w:sz w:val="22"/>
          <w:szCs w:val="22"/>
        </w:rPr>
      </w:pPr>
      <w:r>
        <w:rPr>
          <w:rFonts w:cs="Times New Roman"/>
          <w:sz w:val="22"/>
          <w:szCs w:val="22"/>
        </w:rPr>
        <w:t>4.债券发行期限：不超过3年期（含3年期），按年付息，到期一次还本；</w:t>
      </w:r>
    </w:p>
    <w:p>
      <w:pPr>
        <w:snapToGrid w:val="0"/>
        <w:spacing w:line="348" w:lineRule="auto"/>
        <w:ind w:firstLine="440" w:firstLineChars="200"/>
        <w:rPr>
          <w:rFonts w:cs="Times New Roman"/>
          <w:sz w:val="22"/>
          <w:szCs w:val="22"/>
        </w:rPr>
      </w:pPr>
      <w:r>
        <w:rPr>
          <w:rFonts w:cs="Times New Roman"/>
          <w:sz w:val="22"/>
          <w:szCs w:val="22"/>
        </w:rPr>
        <w:t>4.发行方式：非公开发行；</w:t>
      </w:r>
    </w:p>
    <w:p>
      <w:pPr>
        <w:snapToGrid w:val="0"/>
        <w:spacing w:line="348" w:lineRule="auto"/>
        <w:ind w:firstLine="440" w:firstLineChars="200"/>
        <w:rPr>
          <w:rFonts w:cs="Times New Roman"/>
          <w:sz w:val="22"/>
          <w:szCs w:val="22"/>
        </w:rPr>
      </w:pPr>
      <w:r>
        <w:rPr>
          <w:rFonts w:cs="Times New Roman"/>
          <w:sz w:val="22"/>
          <w:szCs w:val="22"/>
        </w:rPr>
        <w:t>5.募集资金用途：主要用于龙港市新城建设发展有限公司偿还公司有息债务</w:t>
      </w:r>
      <w:r>
        <w:rPr>
          <w:rFonts w:hint="eastAsia" w:cs="Times New Roman"/>
          <w:sz w:val="22"/>
          <w:szCs w:val="22"/>
        </w:rPr>
        <w:t>和/或补充流动资金</w:t>
      </w:r>
      <w:r>
        <w:rPr>
          <w:rFonts w:cs="Times New Roman"/>
          <w:sz w:val="22"/>
          <w:szCs w:val="22"/>
        </w:rPr>
        <w:t>；</w:t>
      </w:r>
    </w:p>
    <w:p>
      <w:pPr>
        <w:snapToGrid w:val="0"/>
        <w:spacing w:line="348" w:lineRule="auto"/>
        <w:ind w:firstLine="440" w:firstLineChars="200"/>
        <w:rPr>
          <w:rFonts w:cs="Times New Roman"/>
          <w:sz w:val="22"/>
          <w:szCs w:val="22"/>
        </w:rPr>
      </w:pPr>
      <w:r>
        <w:rPr>
          <w:rFonts w:cs="Times New Roman"/>
          <w:sz w:val="22"/>
          <w:szCs w:val="22"/>
        </w:rPr>
        <w:t>6、年承销费费率：</w:t>
      </w:r>
      <w:r>
        <w:rPr>
          <w:rFonts w:cs="Times New Roman"/>
          <w:b/>
          <w:bCs/>
          <w:sz w:val="22"/>
          <w:szCs w:val="22"/>
        </w:rPr>
        <w:t>≤</w:t>
      </w:r>
      <w:r>
        <w:rPr>
          <w:rFonts w:cs="Times New Roman"/>
          <w:bCs/>
        </w:rPr>
        <w:t>0.1%；</w:t>
      </w:r>
    </w:p>
    <w:p>
      <w:pPr>
        <w:spacing w:line="360" w:lineRule="auto"/>
        <w:ind w:firstLine="440" w:firstLineChars="200"/>
        <w:rPr>
          <w:rFonts w:cs="Times New Roman"/>
          <w:lang w:val="zh-CN"/>
        </w:rPr>
      </w:pPr>
      <w:r>
        <w:rPr>
          <w:rFonts w:cs="Times New Roman"/>
          <w:bCs/>
          <w:sz w:val="22"/>
          <w:szCs w:val="22"/>
        </w:rPr>
        <w:t>7、</w:t>
      </w:r>
      <w:r>
        <w:rPr>
          <w:rFonts w:cs="Times New Roman"/>
          <w:sz w:val="22"/>
          <w:szCs w:val="22"/>
        </w:rPr>
        <w:t>承销方式：采取余额包销的方式承销；</w:t>
      </w:r>
    </w:p>
    <w:p>
      <w:pPr>
        <w:pStyle w:val="6"/>
        <w:ind w:firstLine="323"/>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三、投标报价</w:t>
      </w:r>
    </w:p>
    <w:p>
      <w:pPr>
        <w:tabs>
          <w:tab w:val="left" w:pos="284"/>
          <w:tab w:val="left" w:pos="535"/>
        </w:tabs>
        <w:snapToGrid w:val="0"/>
        <w:spacing w:line="460" w:lineRule="exact"/>
        <w:ind w:firstLine="440" w:firstLineChars="200"/>
        <w:rPr>
          <w:rStyle w:val="27"/>
          <w:rFonts w:cs="Times New Roman"/>
          <w:sz w:val="22"/>
          <w:szCs w:val="22"/>
        </w:rPr>
      </w:pPr>
      <w:r>
        <w:rPr>
          <w:rStyle w:val="27"/>
          <w:rFonts w:cs="Times New Roman"/>
          <w:sz w:val="22"/>
          <w:szCs w:val="22"/>
        </w:rPr>
        <w:t>1、本项目要求竞选单位年承销费率进行报价，年承销费率在合同执行过程中是不变的；</w:t>
      </w:r>
      <w:r>
        <w:rPr>
          <w:rStyle w:val="27"/>
          <w:rFonts w:cs="Times New Roman"/>
          <w:bCs/>
          <w:sz w:val="22"/>
          <w:szCs w:val="22"/>
        </w:rPr>
        <w:t xml:space="preserve"> </w:t>
      </w:r>
    </w:p>
    <w:p>
      <w:pPr>
        <w:tabs>
          <w:tab w:val="left" w:pos="284"/>
          <w:tab w:val="left" w:pos="535"/>
        </w:tabs>
        <w:snapToGrid w:val="0"/>
        <w:spacing w:line="460" w:lineRule="exact"/>
        <w:ind w:firstLine="440" w:firstLineChars="200"/>
        <w:rPr>
          <w:rStyle w:val="27"/>
          <w:rFonts w:cs="Times New Roman"/>
          <w:sz w:val="22"/>
          <w:szCs w:val="22"/>
        </w:rPr>
      </w:pPr>
      <w:r>
        <w:rPr>
          <w:rStyle w:val="27"/>
          <w:rFonts w:cs="Times New Roman"/>
          <w:sz w:val="22"/>
          <w:szCs w:val="22"/>
        </w:rPr>
        <w:t>2、承销费用为</w:t>
      </w:r>
      <w:r>
        <w:rPr>
          <w:rStyle w:val="27"/>
          <w:rFonts w:cs="Times New Roman"/>
          <w:b/>
          <w:bCs/>
          <w:sz w:val="22"/>
          <w:szCs w:val="22"/>
          <w:u w:val="single" w:color="000000"/>
        </w:rPr>
        <w:t>承销费=</w:t>
      </w:r>
      <w:r>
        <w:rPr>
          <w:rStyle w:val="27"/>
          <w:rFonts w:hint="eastAsia" w:cs="Times New Roman"/>
          <w:b/>
          <w:bCs/>
          <w:sz w:val="22"/>
          <w:szCs w:val="22"/>
          <w:u w:val="single" w:color="000000"/>
        </w:rPr>
        <w:t>实际发行规模×中标承销费费率×发行期限计算</w:t>
      </w:r>
      <w:r>
        <w:rPr>
          <w:rStyle w:val="27"/>
          <w:rFonts w:cs="Times New Roman"/>
          <w:sz w:val="22"/>
          <w:szCs w:val="22"/>
        </w:rPr>
        <w:t>，按实际发行额结算，费用包括服务所需的完成发债准备工作、制作申报材料并上报、与主管部门的沟通、完成债券的成功发行与销售、后期的支持与服务等以及因此产生的税费、服务费、利润及完成合同所需的所有除不可抗力之外的风险、责任等全部费用；</w:t>
      </w:r>
    </w:p>
    <w:p>
      <w:pPr>
        <w:snapToGrid w:val="0"/>
        <w:spacing w:line="460" w:lineRule="exact"/>
        <w:ind w:left="142" w:firstLine="220" w:firstLineChars="100"/>
        <w:rPr>
          <w:rStyle w:val="27"/>
          <w:rFonts w:cs="Times New Roman"/>
          <w:sz w:val="22"/>
          <w:szCs w:val="22"/>
        </w:rPr>
      </w:pPr>
      <w:r>
        <w:rPr>
          <w:rStyle w:val="27"/>
          <w:rFonts w:cs="Times New Roman"/>
          <w:sz w:val="22"/>
          <w:szCs w:val="22"/>
        </w:rPr>
        <w:t>3、竞选年承销费率需</w:t>
      </w:r>
      <w:r>
        <w:rPr>
          <w:rFonts w:cs="Times New Roman"/>
          <w:b/>
          <w:bCs/>
          <w:sz w:val="22"/>
          <w:szCs w:val="22"/>
        </w:rPr>
        <w:t>≤</w:t>
      </w:r>
      <w:r>
        <w:rPr>
          <w:rFonts w:cs="Times New Roman"/>
          <w:bCs/>
        </w:rPr>
        <w:t>0.1%</w:t>
      </w:r>
      <w:r>
        <w:rPr>
          <w:rStyle w:val="27"/>
          <w:rFonts w:cs="Times New Roman"/>
          <w:sz w:val="22"/>
          <w:szCs w:val="22"/>
        </w:rPr>
        <w:t>，否则竞选报价无效；</w:t>
      </w:r>
    </w:p>
    <w:p>
      <w:pPr>
        <w:snapToGrid w:val="0"/>
        <w:spacing w:line="460" w:lineRule="exact"/>
        <w:ind w:left="142" w:firstLine="220" w:firstLineChars="100"/>
        <w:rPr>
          <w:rStyle w:val="27"/>
          <w:rFonts w:cs="Times New Roman"/>
          <w:sz w:val="22"/>
          <w:szCs w:val="22"/>
        </w:rPr>
      </w:pPr>
      <w:r>
        <w:rPr>
          <w:rStyle w:val="27"/>
          <w:rFonts w:cs="Times New Roman"/>
          <w:sz w:val="22"/>
          <w:szCs w:val="22"/>
        </w:rPr>
        <w:t>4、竞选单位必须按第三部分附件的开标一览表（统一格式）的内容填写，并由法定代表人（法定负责人）或授权代表签字或盖章。</w:t>
      </w:r>
    </w:p>
    <w:p>
      <w:pPr>
        <w:snapToGrid w:val="0"/>
        <w:spacing w:line="460" w:lineRule="exact"/>
        <w:ind w:left="142" w:firstLine="220" w:firstLineChars="100"/>
        <w:rPr>
          <w:rStyle w:val="27"/>
          <w:rFonts w:cs="Times New Roman"/>
          <w:sz w:val="22"/>
          <w:szCs w:val="22"/>
        </w:rPr>
      </w:pPr>
      <w:r>
        <w:rPr>
          <w:rStyle w:val="27"/>
          <w:rFonts w:cs="Times New Roman"/>
          <w:sz w:val="22"/>
          <w:szCs w:val="22"/>
        </w:rPr>
        <w:t>5、招标人不接受任何选择报价，只允许一个报价。</w:t>
      </w:r>
    </w:p>
    <w:p>
      <w:pPr>
        <w:snapToGrid w:val="0"/>
        <w:spacing w:line="460" w:lineRule="exact"/>
        <w:rPr>
          <w:rStyle w:val="27"/>
          <w:rFonts w:cs="Times New Roman"/>
          <w:sz w:val="22"/>
          <w:szCs w:val="22"/>
        </w:rPr>
      </w:pPr>
    </w:p>
    <w:p>
      <w:pPr>
        <w:jc w:val="center"/>
        <w:rPr>
          <w:rFonts w:cs="Times New Roman"/>
          <w:b/>
          <w:bCs/>
          <w:sz w:val="36"/>
          <w:szCs w:val="36"/>
        </w:rPr>
      </w:pPr>
    </w:p>
    <w:p>
      <w:pPr>
        <w:jc w:val="center"/>
        <w:rPr>
          <w:rFonts w:cs="Times New Roman"/>
          <w:b/>
          <w:bCs/>
          <w:sz w:val="36"/>
          <w:szCs w:val="36"/>
        </w:rPr>
      </w:pPr>
    </w:p>
    <w:p>
      <w:pPr>
        <w:jc w:val="center"/>
        <w:rPr>
          <w:rFonts w:cs="Times New Roman"/>
          <w:b/>
          <w:bCs/>
          <w:sz w:val="36"/>
          <w:szCs w:val="36"/>
        </w:rPr>
      </w:pPr>
    </w:p>
    <w:p>
      <w:pPr>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p>
    <w:p>
      <w:pPr>
        <w:ind w:firstLine="2530" w:firstLineChars="700"/>
        <w:rPr>
          <w:rFonts w:cs="Times New Roman"/>
          <w:b/>
          <w:bCs/>
          <w:sz w:val="36"/>
          <w:szCs w:val="36"/>
        </w:rPr>
      </w:pPr>
      <w:r>
        <w:rPr>
          <w:rFonts w:cs="Times New Roman"/>
          <w:b/>
          <w:bCs/>
          <w:sz w:val="36"/>
          <w:szCs w:val="36"/>
        </w:rPr>
        <w:t>第三部分  供应商须知</w:t>
      </w:r>
    </w:p>
    <w:p>
      <w:pPr>
        <w:jc w:val="center"/>
        <w:rPr>
          <w:rFonts w:cs="Times New Roman"/>
          <w:b/>
          <w:bCs/>
          <w:sz w:val="36"/>
          <w:szCs w:val="36"/>
        </w:rPr>
      </w:pPr>
    </w:p>
    <w:p>
      <w:pPr>
        <w:spacing w:line="440" w:lineRule="exact"/>
        <w:rPr>
          <w:rFonts w:cs="Times New Roman"/>
          <w:b/>
          <w:bCs/>
          <w:sz w:val="24"/>
          <w:szCs w:val="24"/>
        </w:rPr>
      </w:pPr>
      <w:r>
        <w:rPr>
          <w:rFonts w:cs="Times New Roman"/>
          <w:b/>
          <w:bCs/>
          <w:sz w:val="24"/>
          <w:szCs w:val="24"/>
        </w:rPr>
        <w:t>一、说明</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1、</w:t>
      </w:r>
      <w:r>
        <w:rPr>
          <w:rFonts w:hint="eastAsia" w:cs="Times New Roman"/>
          <w:sz w:val="24"/>
          <w:szCs w:val="24"/>
        </w:rPr>
        <w:t>本项目为国企采购，参照相关规定执行，如与相关规定不一致以本采购文件为准。</w:t>
      </w:r>
    </w:p>
    <w:p>
      <w:pPr>
        <w:snapToGrid w:val="0"/>
        <w:spacing w:line="440" w:lineRule="exact"/>
        <w:ind w:firstLine="470" w:firstLineChars="196"/>
        <w:jc w:val="left"/>
        <w:rPr>
          <w:rFonts w:cs="Times New Roman"/>
          <w:sz w:val="24"/>
          <w:szCs w:val="24"/>
        </w:rPr>
      </w:pPr>
      <w:r>
        <w:rPr>
          <w:rFonts w:cs="Times New Roman"/>
          <w:sz w:val="24"/>
          <w:szCs w:val="24"/>
        </w:rPr>
        <w:t>2、无论投标过程中的作法和结果如何，供应商自行承担投标活动中所发生的全部费用。</w:t>
      </w:r>
    </w:p>
    <w:p>
      <w:pPr>
        <w:autoSpaceDE w:val="0"/>
        <w:autoSpaceDN w:val="0"/>
        <w:adjustRightInd w:val="0"/>
        <w:snapToGrid w:val="0"/>
        <w:spacing w:line="440" w:lineRule="exact"/>
        <w:ind w:firstLine="470" w:firstLineChars="196"/>
        <w:jc w:val="left"/>
        <w:textAlignment w:val="bottom"/>
        <w:rPr>
          <w:rFonts w:cs="Times New Roman"/>
          <w:sz w:val="24"/>
          <w:szCs w:val="24"/>
        </w:rPr>
      </w:pPr>
      <w:r>
        <w:rPr>
          <w:rFonts w:cs="Times New Roman"/>
          <w:sz w:val="24"/>
          <w:szCs w:val="24"/>
        </w:rPr>
        <w:t>3、</w:t>
      </w:r>
      <w:r>
        <w:rPr>
          <w:rFonts w:cs="Times New Roman"/>
          <w:b/>
          <w:sz w:val="24"/>
          <w:szCs w:val="24"/>
          <w:u w:val="single"/>
        </w:rPr>
        <w:t>供应商必须对全部内容进行报价，只对部分内容进行报价的供应商将视为其费用已包含在投标总价中。</w:t>
      </w:r>
    </w:p>
    <w:p>
      <w:pPr>
        <w:autoSpaceDE w:val="0"/>
        <w:autoSpaceDN w:val="0"/>
        <w:adjustRightInd w:val="0"/>
        <w:snapToGrid w:val="0"/>
        <w:spacing w:line="440" w:lineRule="exact"/>
        <w:ind w:firstLine="487" w:firstLineChars="203"/>
        <w:textAlignment w:val="bottom"/>
        <w:rPr>
          <w:rFonts w:cs="Times New Roman"/>
          <w:sz w:val="24"/>
          <w:szCs w:val="24"/>
        </w:rPr>
      </w:pPr>
      <w:r>
        <w:rPr>
          <w:rFonts w:cs="Times New Roman"/>
          <w:sz w:val="24"/>
          <w:szCs w:val="24"/>
        </w:rPr>
        <w:t>4、本次采购商务报价文件与技术资信文件分别评审，评标委员会首先评审供应商技术资信部分，技术资信部分无效的供应商不进入商务报价评审。</w:t>
      </w:r>
      <w:r>
        <w:rPr>
          <w:rFonts w:cs="Times New Roman"/>
          <w:b/>
          <w:sz w:val="24"/>
          <w:szCs w:val="24"/>
          <w:u w:val="single"/>
        </w:rPr>
        <w:t>要求供应商技术资信部分的投标文件（含资信与服务）中不得含产品报价，否则做无效投标处理。</w:t>
      </w:r>
    </w:p>
    <w:p>
      <w:pPr>
        <w:autoSpaceDE w:val="0"/>
        <w:autoSpaceDN w:val="0"/>
        <w:adjustRightInd w:val="0"/>
        <w:snapToGrid w:val="0"/>
        <w:spacing w:line="440" w:lineRule="exact"/>
        <w:ind w:firstLine="458" w:firstLineChars="190"/>
        <w:textAlignment w:val="bottom"/>
        <w:rPr>
          <w:rFonts w:cs="Times New Roman"/>
          <w:b/>
          <w:sz w:val="24"/>
          <w:szCs w:val="24"/>
          <w:u w:val="single"/>
        </w:rPr>
      </w:pPr>
      <w:r>
        <w:rPr>
          <w:rFonts w:cs="Times New Roman"/>
          <w:b/>
          <w:sz w:val="24"/>
          <w:szCs w:val="24"/>
        </w:rPr>
        <w:t>5、供应商须自行现场勘察，以求得准确的报价依据。供应商须自行考虑投标报价的风险。</w:t>
      </w:r>
    </w:p>
    <w:p>
      <w:pPr>
        <w:autoSpaceDE w:val="0"/>
        <w:autoSpaceDN w:val="0"/>
        <w:adjustRightInd w:val="0"/>
        <w:snapToGrid w:val="0"/>
        <w:spacing w:line="440" w:lineRule="exact"/>
        <w:ind w:firstLine="458" w:firstLineChars="190"/>
        <w:textAlignment w:val="bottom"/>
        <w:rPr>
          <w:rFonts w:cs="Times New Roman"/>
          <w:b/>
          <w:bCs/>
          <w:sz w:val="24"/>
          <w:szCs w:val="24"/>
        </w:rPr>
      </w:pPr>
      <w:r>
        <w:rPr>
          <w:rFonts w:cs="Times New Roman"/>
          <w:b/>
          <w:sz w:val="24"/>
          <w:szCs w:val="24"/>
        </w:rPr>
        <w:t>▲6、本项目采购预算（最高限价）为年承销费率不高于发行额的0.1%，供应商任意项目的投标报价超出该采购的最高投标限价，该供应商按无效投标处理。</w:t>
      </w:r>
    </w:p>
    <w:p>
      <w:pPr>
        <w:snapToGrid w:val="0"/>
        <w:spacing w:line="440" w:lineRule="exact"/>
        <w:ind w:firstLine="458" w:firstLineChars="190"/>
        <w:jc w:val="left"/>
        <w:rPr>
          <w:rFonts w:cs="Times New Roman"/>
          <w:b/>
          <w:sz w:val="24"/>
          <w:szCs w:val="24"/>
          <w:highlight w:val="yellow"/>
          <w:u w:val="single"/>
        </w:rPr>
      </w:pPr>
      <w:r>
        <w:rPr>
          <w:rFonts w:cs="Times New Roman"/>
          <w:b/>
          <w:sz w:val="24"/>
          <w:szCs w:val="24"/>
        </w:rPr>
        <w:t>▲</w:t>
      </w:r>
      <w:r>
        <w:rPr>
          <w:rFonts w:hint="eastAsia" w:cs="Times New Roman"/>
          <w:b/>
          <w:sz w:val="24"/>
          <w:szCs w:val="24"/>
          <w:u w:val="single"/>
        </w:rPr>
        <w:t>7</w:t>
      </w:r>
      <w:r>
        <w:rPr>
          <w:rFonts w:cs="Times New Roman"/>
          <w:b/>
          <w:sz w:val="24"/>
          <w:szCs w:val="24"/>
          <w:u w:val="single"/>
        </w:rPr>
        <w:t>、若供应商接到采购人派遣通知后，不能按期保质保量完成服务的，除承担相关责任外，</w:t>
      </w:r>
      <w:r>
        <w:rPr>
          <w:rFonts w:hint="eastAsia" w:cs="Times New Roman"/>
          <w:b/>
          <w:sz w:val="24"/>
          <w:szCs w:val="24"/>
          <w:u w:val="single"/>
        </w:rPr>
        <w:t>并补偿相应经济损失</w:t>
      </w:r>
      <w:r>
        <w:rPr>
          <w:rFonts w:cs="Times New Roman"/>
          <w:b/>
          <w:sz w:val="24"/>
          <w:szCs w:val="24"/>
          <w:u w:val="single"/>
        </w:rPr>
        <w:t>。</w:t>
      </w:r>
    </w:p>
    <w:p>
      <w:pPr>
        <w:spacing w:line="440" w:lineRule="exact"/>
        <w:rPr>
          <w:rFonts w:cs="Times New Roman"/>
          <w:b/>
          <w:bCs/>
          <w:sz w:val="24"/>
          <w:szCs w:val="24"/>
        </w:rPr>
      </w:pPr>
    </w:p>
    <w:p>
      <w:pPr>
        <w:spacing w:line="440" w:lineRule="exact"/>
        <w:rPr>
          <w:rFonts w:cs="Times New Roman"/>
          <w:b/>
          <w:bCs/>
          <w:sz w:val="24"/>
          <w:szCs w:val="24"/>
        </w:rPr>
      </w:pPr>
      <w:r>
        <w:rPr>
          <w:rFonts w:cs="Times New Roman"/>
          <w:b/>
          <w:bCs/>
          <w:sz w:val="24"/>
          <w:szCs w:val="24"/>
        </w:rPr>
        <w:t>二、供应商资格要求</w:t>
      </w:r>
    </w:p>
    <w:p>
      <w:pPr>
        <w:autoSpaceDE w:val="0"/>
        <w:autoSpaceDN w:val="0"/>
        <w:adjustRightInd w:val="0"/>
        <w:snapToGrid w:val="0"/>
        <w:spacing w:line="440" w:lineRule="exact"/>
        <w:ind w:firstLine="590" w:firstLineChars="246"/>
        <w:textAlignment w:val="bottom"/>
        <w:rPr>
          <w:rFonts w:cs="Times New Roman"/>
          <w:sz w:val="24"/>
          <w:szCs w:val="24"/>
        </w:rPr>
      </w:pPr>
      <w:r>
        <w:rPr>
          <w:rFonts w:cs="Times New Roman"/>
          <w:sz w:val="24"/>
          <w:szCs w:val="24"/>
        </w:rPr>
        <w:t>按招标公告要求</w:t>
      </w:r>
    </w:p>
    <w:p>
      <w:pPr>
        <w:spacing w:line="440" w:lineRule="exact"/>
        <w:rPr>
          <w:rFonts w:cs="Times New Roman"/>
          <w:b/>
          <w:bCs/>
          <w:sz w:val="24"/>
          <w:szCs w:val="24"/>
        </w:rPr>
      </w:pPr>
      <w:r>
        <w:rPr>
          <w:rFonts w:cs="Times New Roman"/>
          <w:b/>
          <w:bCs/>
          <w:sz w:val="24"/>
          <w:szCs w:val="24"/>
        </w:rPr>
        <w:t>三、招标文件</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1、招标文件</w:t>
      </w:r>
    </w:p>
    <w:p>
      <w:pPr>
        <w:autoSpaceDE w:val="0"/>
        <w:autoSpaceDN w:val="0"/>
        <w:adjustRightInd w:val="0"/>
        <w:snapToGrid w:val="0"/>
        <w:spacing w:line="440" w:lineRule="exact"/>
        <w:ind w:firstLine="470" w:firstLineChars="196"/>
        <w:textAlignment w:val="bottom"/>
        <w:rPr>
          <w:rFonts w:cs="Times New Roman"/>
          <w:color w:val="000000"/>
          <w:sz w:val="24"/>
          <w:szCs w:val="24"/>
        </w:rPr>
      </w:pPr>
      <w:r>
        <w:rPr>
          <w:rFonts w:cs="Times New Roman"/>
          <w:color w:val="000000"/>
          <w:sz w:val="24"/>
          <w:szCs w:val="24"/>
        </w:rPr>
        <w:t>（1）招标文件约束力</w:t>
      </w:r>
    </w:p>
    <w:p>
      <w:pPr>
        <w:autoSpaceDE w:val="0"/>
        <w:autoSpaceDN w:val="0"/>
        <w:adjustRightInd w:val="0"/>
        <w:snapToGrid w:val="0"/>
        <w:spacing w:line="440" w:lineRule="exact"/>
        <w:ind w:right="-160" w:rightChars="-76" w:firstLine="472" w:firstLineChars="196"/>
        <w:textAlignment w:val="bottom"/>
        <w:rPr>
          <w:rFonts w:cs="Times New Roman"/>
          <w:b/>
          <w:color w:val="000000"/>
          <w:sz w:val="24"/>
          <w:szCs w:val="24"/>
          <w:u w:val="single"/>
        </w:rPr>
      </w:pPr>
      <w:r>
        <w:rPr>
          <w:rFonts w:cs="Times New Roman"/>
          <w:b/>
          <w:sz w:val="24"/>
          <w:szCs w:val="24"/>
        </w:rPr>
        <w:t>▲</w:t>
      </w:r>
      <w:r>
        <w:rPr>
          <w:rFonts w:cs="Times New Roman"/>
          <w:b/>
          <w:color w:val="000000"/>
          <w:sz w:val="24"/>
          <w:szCs w:val="24"/>
          <w:u w:val="single"/>
        </w:rPr>
        <w:t>供应商一旦获取了本招标文件并参加投标，即被认为接受了本招标文件中所有条款和规定。</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（2）招标文件的组成</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招标文件由招标文件总目录所列内容及补充资料等组成。</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2、招标文件的澄清</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供应商对招标文件如有疑点要求澄清，或认为有必要与采购人进行技术交流，可用书面形式（包括信函、传真，下同）通知</w:t>
      </w:r>
      <w:r>
        <w:rPr>
          <w:rFonts w:cs="Times New Roman"/>
          <w:sz w:val="24"/>
          <w:szCs w:val="24"/>
          <w:u w:val="single"/>
        </w:rPr>
        <w:t>招标代理机构</w:t>
      </w:r>
      <w:r>
        <w:rPr>
          <w:rFonts w:cs="Times New Roman"/>
          <w:sz w:val="24"/>
          <w:szCs w:val="24"/>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3、招标文件的修改</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（1）在投标截止时间前，招标人或代理机构有权修改招标文件，并以书面形式通知供应商。补充文件作为招标文件的补充和组成部分，对所有供应商均有约束力。</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（2）为使供应商有足够的时间按招标文件要求修正投标文件，招标人可酌情推迟投标截止时间和开标时间，并将此变更通知供应商。</w:t>
      </w:r>
    </w:p>
    <w:p>
      <w:pPr>
        <w:spacing w:line="440" w:lineRule="exact"/>
        <w:rPr>
          <w:rFonts w:cs="Times New Roman"/>
          <w:b/>
          <w:bCs/>
          <w:sz w:val="24"/>
          <w:szCs w:val="24"/>
        </w:rPr>
      </w:pPr>
      <w:r>
        <w:rPr>
          <w:rFonts w:cs="Times New Roman"/>
          <w:b/>
          <w:bCs/>
          <w:sz w:val="24"/>
          <w:szCs w:val="24"/>
        </w:rPr>
        <w:t>四、投标文件</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1、投标文件</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lang w:val="zh-CN"/>
        </w:rPr>
        <w:t>（</w:t>
      </w:r>
      <w:r>
        <w:rPr>
          <w:rFonts w:cs="Times New Roman"/>
          <w:sz w:val="24"/>
          <w:szCs w:val="24"/>
        </w:rPr>
        <w:t>1</w:t>
      </w:r>
      <w:r>
        <w:rPr>
          <w:rFonts w:cs="Times New Roman"/>
          <w:sz w:val="24"/>
          <w:szCs w:val="24"/>
          <w:lang w:val="zh-CN"/>
        </w:rPr>
        <w:t>）</w:t>
      </w:r>
      <w:r>
        <w:rPr>
          <w:rFonts w:cs="Times New Roman"/>
          <w:sz w:val="24"/>
          <w:szCs w:val="24"/>
        </w:rPr>
        <w:t>供应商应仔细阅读招标文件中的所有内容，按照招标文件及招标设备技术规格要求，详细编制投标文件。并对招标文件的要求做出实质上响应。实质上响应的投标应该是与招标文件要求的条款没有重大偏离的投标。未实质上响应的投标文件将被拒绝，但允许投标设备在基本满足招标设备技术要求的前提下出现的微小差异。</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lang w:val="zh-CN"/>
        </w:rPr>
        <w:t>（</w:t>
      </w:r>
      <w:r>
        <w:rPr>
          <w:rFonts w:cs="Times New Roman"/>
          <w:sz w:val="24"/>
          <w:szCs w:val="24"/>
        </w:rPr>
        <w:t>2</w:t>
      </w:r>
      <w:r>
        <w:rPr>
          <w:rFonts w:cs="Times New Roman"/>
          <w:sz w:val="24"/>
          <w:szCs w:val="24"/>
          <w:lang w:val="zh-CN"/>
        </w:rPr>
        <w:t>）</w:t>
      </w:r>
      <w:r>
        <w:rPr>
          <w:rFonts w:cs="Times New Roman"/>
          <w:sz w:val="24"/>
          <w:szCs w:val="24"/>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lang w:val="zh-CN"/>
        </w:rPr>
        <w:t>（</w:t>
      </w:r>
      <w:r>
        <w:rPr>
          <w:rFonts w:cs="Times New Roman"/>
          <w:sz w:val="24"/>
          <w:szCs w:val="24"/>
        </w:rPr>
        <w:t>3</w:t>
      </w:r>
      <w:r>
        <w:rPr>
          <w:rFonts w:cs="Times New Roman"/>
          <w:sz w:val="24"/>
          <w:szCs w:val="24"/>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40" w:lineRule="exact"/>
        <w:ind w:firstLine="482" w:firstLineChars="200"/>
        <w:rPr>
          <w:rFonts w:cs="Times New Roman"/>
          <w:b/>
          <w:sz w:val="24"/>
          <w:szCs w:val="24"/>
          <w:lang w:val="zh-CN"/>
        </w:rPr>
      </w:pPr>
      <w:r>
        <w:rPr>
          <w:rFonts w:cs="Times New Roman"/>
          <w:b/>
          <w:sz w:val="24"/>
          <w:szCs w:val="24"/>
          <w:lang w:val="zh-CN"/>
        </w:rPr>
        <w:t>2、投标文件的组成</w:t>
      </w:r>
    </w:p>
    <w:p>
      <w:pPr>
        <w:autoSpaceDE w:val="0"/>
        <w:autoSpaceDN w:val="0"/>
        <w:adjustRightInd w:val="0"/>
        <w:snapToGrid w:val="0"/>
        <w:spacing w:line="440" w:lineRule="exact"/>
        <w:ind w:firstLine="482" w:firstLineChars="200"/>
        <w:rPr>
          <w:rFonts w:cs="Times New Roman"/>
          <w:b/>
          <w:bCs/>
          <w:sz w:val="24"/>
          <w:szCs w:val="24"/>
          <w:u w:val="single"/>
        </w:rPr>
      </w:pPr>
      <w:r>
        <w:rPr>
          <w:rFonts w:cs="Times New Roman"/>
          <w:b/>
          <w:sz w:val="24"/>
          <w:szCs w:val="24"/>
        </w:rPr>
        <w:t>▲</w:t>
      </w:r>
      <w:r>
        <w:rPr>
          <w:rFonts w:cs="Times New Roman"/>
          <w:b/>
          <w:sz w:val="24"/>
          <w:szCs w:val="24"/>
          <w:u w:val="single"/>
        </w:rPr>
        <w:t>投标文件由商务报价部分、技术资信部分</w:t>
      </w:r>
      <w:r>
        <w:rPr>
          <w:rFonts w:hint="eastAsia" w:cs="Times New Roman"/>
          <w:b/>
          <w:sz w:val="24"/>
          <w:szCs w:val="24"/>
          <w:u w:val="single"/>
        </w:rPr>
        <w:t>二</w:t>
      </w:r>
      <w:r>
        <w:rPr>
          <w:rFonts w:cs="Times New Roman"/>
          <w:b/>
          <w:sz w:val="24"/>
          <w:szCs w:val="24"/>
          <w:u w:val="single"/>
        </w:rPr>
        <w:t>部分组成，须分别装订成册，分别密封。技术资信部分（含资信与服务）不得含报价，否则投标将被拒绝。</w:t>
      </w:r>
    </w:p>
    <w:p>
      <w:pPr>
        <w:autoSpaceDE w:val="0"/>
        <w:autoSpaceDN w:val="0"/>
        <w:adjustRightInd w:val="0"/>
        <w:snapToGrid w:val="0"/>
        <w:spacing w:line="440" w:lineRule="exact"/>
        <w:ind w:firstLine="240" w:firstLineChars="100"/>
        <w:rPr>
          <w:rFonts w:cs="Times New Roman"/>
          <w:sz w:val="24"/>
          <w:szCs w:val="24"/>
          <w:lang w:val="zh-CN"/>
        </w:rPr>
      </w:pPr>
      <w:r>
        <w:rPr>
          <w:rFonts w:cs="Times New Roman"/>
          <w:sz w:val="24"/>
          <w:szCs w:val="24"/>
          <w:lang w:val="zh-CN"/>
        </w:rPr>
        <w:t>（</w:t>
      </w:r>
      <w:r>
        <w:rPr>
          <w:rFonts w:cs="Times New Roman"/>
          <w:sz w:val="24"/>
          <w:szCs w:val="24"/>
        </w:rPr>
        <w:t>1</w:t>
      </w:r>
      <w:r>
        <w:rPr>
          <w:rFonts w:cs="Times New Roman"/>
          <w:sz w:val="24"/>
          <w:szCs w:val="24"/>
          <w:lang w:val="zh-CN"/>
        </w:rPr>
        <w:t>）</w:t>
      </w:r>
      <w:r>
        <w:rPr>
          <w:rFonts w:cs="Times New Roman"/>
          <w:bCs/>
          <w:sz w:val="24"/>
          <w:szCs w:val="24"/>
          <w:u w:val="single"/>
        </w:rPr>
        <w:t>商务报价部分</w:t>
      </w:r>
      <w:r>
        <w:rPr>
          <w:rFonts w:cs="Times New Roman"/>
          <w:sz w:val="24"/>
          <w:szCs w:val="24"/>
          <w:u w:val="single"/>
          <w:lang w:val="zh-CN"/>
        </w:rPr>
        <w:t>组成</w:t>
      </w:r>
      <w:r>
        <w:rPr>
          <w:rFonts w:cs="Times New Roman"/>
          <w:b/>
          <w:bCs/>
          <w:sz w:val="24"/>
          <w:szCs w:val="24"/>
          <w:u w:val="single"/>
          <w:lang w:val="zh-CN"/>
        </w:rPr>
        <w:t>（一正</w:t>
      </w:r>
      <w:r>
        <w:rPr>
          <w:rFonts w:cs="Times New Roman"/>
          <w:b/>
          <w:bCs/>
          <w:sz w:val="24"/>
          <w:szCs w:val="24"/>
          <w:u w:val="single"/>
        </w:rPr>
        <w:t>六</w:t>
      </w:r>
      <w:r>
        <w:rPr>
          <w:rFonts w:cs="Times New Roman"/>
          <w:b/>
          <w:bCs/>
          <w:sz w:val="24"/>
          <w:szCs w:val="24"/>
          <w:u w:val="single"/>
          <w:lang w:val="zh-CN"/>
        </w:rPr>
        <w:t>副，建议采用双面打印）</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1）封面（参考采购文件格式）</w:t>
      </w:r>
    </w:p>
    <w:p>
      <w:pPr>
        <w:autoSpaceDE w:val="0"/>
        <w:autoSpaceDN w:val="0"/>
        <w:adjustRightInd w:val="0"/>
        <w:snapToGrid w:val="0"/>
        <w:spacing w:line="440" w:lineRule="exact"/>
        <w:ind w:firstLine="480" w:firstLineChars="200"/>
        <w:rPr>
          <w:rFonts w:cs="Times New Roman"/>
          <w:sz w:val="24"/>
          <w:szCs w:val="24"/>
        </w:rPr>
      </w:pPr>
      <w:r>
        <w:rPr>
          <w:rFonts w:cs="Times New Roman"/>
          <w:sz w:val="24"/>
          <w:szCs w:val="24"/>
        </w:rPr>
        <w:t>2）目录（格式自拟）</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3）开标一览表（附件二（一））</w:t>
      </w:r>
    </w:p>
    <w:p>
      <w:pPr>
        <w:autoSpaceDE w:val="0"/>
        <w:autoSpaceDN w:val="0"/>
        <w:adjustRightInd w:val="0"/>
        <w:snapToGrid w:val="0"/>
        <w:spacing w:line="440" w:lineRule="exact"/>
        <w:ind w:firstLine="240" w:firstLineChars="100"/>
        <w:rPr>
          <w:rFonts w:cs="Times New Roman"/>
          <w:sz w:val="24"/>
          <w:szCs w:val="24"/>
          <w:lang w:val="zh-CN"/>
        </w:rPr>
      </w:pPr>
      <w:r>
        <w:rPr>
          <w:rFonts w:cs="Times New Roman"/>
          <w:sz w:val="24"/>
          <w:szCs w:val="24"/>
        </w:rPr>
        <w:t>（2）</w:t>
      </w:r>
      <w:r>
        <w:rPr>
          <w:rFonts w:cs="Times New Roman"/>
          <w:b/>
          <w:bCs/>
          <w:sz w:val="24"/>
          <w:szCs w:val="24"/>
          <w:u w:val="single"/>
        </w:rPr>
        <w:t xml:space="preserve">技术资信部分组成  </w:t>
      </w:r>
      <w:r>
        <w:rPr>
          <w:rFonts w:cs="Times New Roman"/>
          <w:b/>
          <w:bCs/>
          <w:color w:val="FF0000"/>
          <w:sz w:val="24"/>
          <w:szCs w:val="24"/>
          <w:u w:val="single"/>
          <w:lang w:val="zh-CN"/>
        </w:rPr>
        <w:t>（一正</w:t>
      </w:r>
      <w:r>
        <w:rPr>
          <w:rFonts w:cs="Times New Roman"/>
          <w:b/>
          <w:bCs/>
          <w:color w:val="FF0000"/>
          <w:sz w:val="24"/>
          <w:szCs w:val="24"/>
          <w:u w:val="single"/>
        </w:rPr>
        <w:t>六</w:t>
      </w:r>
      <w:r>
        <w:rPr>
          <w:rFonts w:cs="Times New Roman"/>
          <w:b/>
          <w:bCs/>
          <w:color w:val="FF0000"/>
          <w:sz w:val="24"/>
          <w:szCs w:val="24"/>
          <w:u w:val="single"/>
          <w:lang w:val="zh-CN"/>
        </w:rPr>
        <w:t>副，建议采用双面打印；不限于以下内容，须结合评标办法得分要求编制）</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 封面（参考采购文件格式）</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2）目录或评分索引（格式自拟）</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3）投标函（附件一）；</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4）法定代表人授权书（附件五）；</w:t>
      </w:r>
    </w:p>
    <w:p>
      <w:pPr>
        <w:autoSpaceDE w:val="0"/>
        <w:autoSpaceDN w:val="0"/>
        <w:adjustRightInd w:val="0"/>
        <w:snapToGrid w:val="0"/>
        <w:spacing w:line="440" w:lineRule="exact"/>
        <w:ind w:firstLine="480" w:firstLineChars="200"/>
        <w:textAlignment w:val="bottom"/>
        <w:rPr>
          <w:rFonts w:cs="Times New Roman"/>
          <w:sz w:val="24"/>
          <w:szCs w:val="24"/>
        </w:rPr>
      </w:pPr>
      <w:bookmarkStart w:id="0" w:name="_Hlk132140049"/>
      <w:r>
        <w:rPr>
          <w:rFonts w:cs="Times New Roman"/>
          <w:sz w:val="24"/>
          <w:szCs w:val="24"/>
        </w:rPr>
        <w:t>5）公司债券承销资格的证明文件，如投标人为金融、保险、通讯等特定行业的全国性企业所设立的区域性分支机构的，则提交总公司的证明文件；</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6）如投标人为全国性企业所设立的区域性分支机构的，需提供总公司（总机构）授权文件或提供省级机构（一级机构）授权文件（如无明显确定为省级机构（一级机构）需提供证明）</w:t>
      </w:r>
    </w:p>
    <w:bookmarkEnd w:id="0"/>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7）投标供应商情况声明（附件六）；</w:t>
      </w:r>
    </w:p>
    <w:p>
      <w:pPr>
        <w:autoSpaceDE w:val="0"/>
        <w:autoSpaceDN w:val="0"/>
        <w:adjustRightInd w:val="0"/>
        <w:snapToGrid w:val="0"/>
        <w:spacing w:line="440" w:lineRule="exact"/>
        <w:ind w:firstLine="480" w:firstLineChars="200"/>
        <w:textAlignment w:val="bottom"/>
        <w:rPr>
          <w:rFonts w:cs="Times New Roman"/>
          <w:sz w:val="24"/>
          <w:szCs w:val="24"/>
        </w:rPr>
      </w:pPr>
      <w:bookmarkStart w:id="1" w:name="_Hlk132140031"/>
      <w:r>
        <w:rPr>
          <w:rFonts w:cs="Times New Roman"/>
          <w:sz w:val="24"/>
          <w:szCs w:val="24"/>
        </w:rPr>
        <w:t>8）供应商营业执照、税务登记证或三（五）证合一营业执照（复印件加盖有效公章）；</w:t>
      </w:r>
    </w:p>
    <w:bookmarkEnd w:id="1"/>
    <w:p>
      <w:pPr>
        <w:autoSpaceDE w:val="0"/>
        <w:autoSpaceDN w:val="0"/>
        <w:adjustRightInd w:val="0"/>
        <w:snapToGrid w:val="0"/>
        <w:spacing w:line="440" w:lineRule="exact"/>
        <w:ind w:firstLine="480" w:firstLineChars="200"/>
        <w:textAlignment w:val="bottom"/>
        <w:rPr>
          <w:rFonts w:cs="Times New Roman"/>
          <w:sz w:val="24"/>
          <w:szCs w:val="24"/>
        </w:rPr>
      </w:pPr>
      <w:bookmarkStart w:id="2" w:name="_Hlk132140036"/>
      <w:r>
        <w:rPr>
          <w:rFonts w:cs="Times New Roman"/>
          <w:sz w:val="24"/>
          <w:szCs w:val="24"/>
        </w:rPr>
        <w:t>9)供应商相关资质、资信或信用证书（如有则提供，复印件加盖有效公章）；</w:t>
      </w:r>
    </w:p>
    <w:bookmarkEnd w:id="2"/>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10）近三年内在经营活动中没有重大违法记录的书面声明；（附件七）</w:t>
      </w:r>
    </w:p>
    <w:p>
      <w:pPr>
        <w:autoSpaceDE w:val="0"/>
        <w:autoSpaceDN w:val="0"/>
        <w:adjustRightInd w:val="0"/>
        <w:snapToGrid w:val="0"/>
        <w:spacing w:line="440" w:lineRule="exact"/>
        <w:ind w:firstLine="480" w:firstLineChars="200"/>
        <w:textAlignment w:val="bottom"/>
        <w:rPr>
          <w:rFonts w:cs="Times New Roman"/>
          <w:sz w:val="24"/>
          <w:szCs w:val="24"/>
        </w:rPr>
      </w:pPr>
      <w:bookmarkStart w:id="3" w:name="_Hlk132138093"/>
      <w:r>
        <w:rPr>
          <w:rFonts w:hint="eastAsia" w:cs="Times New Roman"/>
          <w:sz w:val="24"/>
          <w:szCs w:val="24"/>
        </w:rPr>
        <w:t>1</w:t>
      </w:r>
      <w:r>
        <w:rPr>
          <w:rFonts w:cs="Times New Roman"/>
          <w:sz w:val="24"/>
          <w:szCs w:val="24"/>
        </w:rPr>
        <w:t>1）供应商于2020年1月1日-2022年12月31日作为主承销商在浙江省范围内公司债承销金额情况；</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12）供应商于2020年1月1日-2022年12月31日作为主承销商在全国范围内发行成功公司债发行成功率情况；</w:t>
      </w:r>
    </w:p>
    <w:p>
      <w:pPr>
        <w:autoSpaceDE w:val="0"/>
        <w:autoSpaceDN w:val="0"/>
        <w:adjustRightInd w:val="0"/>
        <w:snapToGrid w:val="0"/>
        <w:spacing w:line="440" w:lineRule="exact"/>
        <w:ind w:firstLine="480" w:firstLineChars="200"/>
        <w:textAlignment w:val="bottom"/>
        <w:rPr>
          <w:rFonts w:hint="eastAsia" w:cs="Times New Roman"/>
          <w:sz w:val="24"/>
          <w:szCs w:val="24"/>
        </w:rPr>
      </w:pPr>
      <w:r>
        <w:rPr>
          <w:rFonts w:cs="Times New Roman"/>
          <w:sz w:val="24"/>
          <w:szCs w:val="24"/>
        </w:rPr>
        <w:t>13）供应商于2022年度作为主承销商在浙江省范围内承销的主体评级为AA、无增信措施、3年期及以上的公司债发行时票面利率最低的3只平均票面利率情况；</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w:t>
      </w:r>
      <w:r>
        <w:rPr>
          <w:rFonts w:hint="eastAsia" w:cs="Times New Roman"/>
          <w:sz w:val="24"/>
          <w:szCs w:val="24"/>
        </w:rPr>
        <w:t>4</w:t>
      </w:r>
      <w:r>
        <w:rPr>
          <w:rFonts w:cs="Times New Roman"/>
          <w:sz w:val="24"/>
          <w:szCs w:val="24"/>
        </w:rPr>
        <w:t>）</w:t>
      </w:r>
      <w:r>
        <w:rPr>
          <w:rFonts w:hint="eastAsia" w:cs="Times New Roman"/>
          <w:sz w:val="24"/>
          <w:szCs w:val="24"/>
        </w:rPr>
        <w:t>供应商于2022年度作为主承销商在全国范围内承销的主体评级为AA的公司债承销规模占该供应商同期公司债总承销规模的比例情况；</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15</w:t>
      </w:r>
      <w:r>
        <w:rPr>
          <w:rFonts w:hint="eastAsia" w:cs="Times New Roman"/>
          <w:sz w:val="24"/>
          <w:szCs w:val="24"/>
        </w:rPr>
        <w:t>）</w:t>
      </w:r>
      <w:r>
        <w:rPr>
          <w:rFonts w:cs="Times New Roman"/>
          <w:sz w:val="24"/>
          <w:szCs w:val="24"/>
        </w:rPr>
        <w:t>供应商提供的债券投资机构对本次债券出具拟投资的认购意向函；</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16）供应商对本次债券设计的完备的发行方案（附件八）</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17）供应商对本次债券派出的项目团队情况；</w:t>
      </w:r>
    </w:p>
    <w:bookmarkEnd w:id="3"/>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18）根据招标文件中的采购内容与技术要求及评审办法等编写及需要提供的其它文件和资料；</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19) 供应商认为需要提供的文件和资料。</w:t>
      </w:r>
    </w:p>
    <w:p>
      <w:pPr>
        <w:autoSpaceDE w:val="0"/>
        <w:autoSpaceDN w:val="0"/>
        <w:adjustRightInd w:val="0"/>
        <w:snapToGrid w:val="0"/>
        <w:spacing w:line="440" w:lineRule="exact"/>
        <w:textAlignment w:val="bottom"/>
        <w:rPr>
          <w:rFonts w:cs="Times New Roman"/>
          <w:sz w:val="24"/>
          <w:szCs w:val="24"/>
        </w:rPr>
      </w:pPr>
      <w:bookmarkStart w:id="4" w:name="_Toc132125151"/>
      <w:bookmarkStart w:id="5" w:name="_Toc132122119"/>
      <w:bookmarkStart w:id="6" w:name="_Toc132124594"/>
      <w:bookmarkStart w:id="7" w:name="_Toc132123838"/>
      <w:bookmarkStart w:id="8" w:name="_Toc132125983"/>
      <w:bookmarkStart w:id="9" w:name="_Toc132126154"/>
      <w:bookmarkStart w:id="10" w:name="_Toc132125037"/>
      <w:bookmarkStart w:id="11" w:name="_Toc132125095"/>
      <w:bookmarkStart w:id="12" w:name="_Toc132123634"/>
      <w:bookmarkStart w:id="13" w:name="_Toc132122416"/>
      <w:bookmarkStart w:id="14" w:name="_Toc132123439"/>
      <w:bookmarkStart w:id="15" w:name="_Toc132123547"/>
      <w:bookmarkStart w:id="16" w:name="_Toc132125574"/>
      <w:bookmarkStart w:id="17" w:name="_Toc132123881"/>
      <w:bookmarkStart w:id="18" w:name="_Toc132655776"/>
      <w:r>
        <w:rPr>
          <w:rFonts w:cs="Times New Roman"/>
          <w:sz w:val="24"/>
          <w:szCs w:val="24"/>
        </w:rPr>
        <w:t>3、投标内容填写说明</w:t>
      </w:r>
    </w:p>
    <w:p>
      <w:pPr>
        <w:autoSpaceDE w:val="0"/>
        <w:autoSpaceDN w:val="0"/>
        <w:adjustRightInd w:val="0"/>
        <w:snapToGrid w:val="0"/>
        <w:spacing w:line="440" w:lineRule="exact"/>
        <w:ind w:firstLine="240" w:firstLineChars="100"/>
        <w:textAlignment w:val="bottom"/>
        <w:rPr>
          <w:rFonts w:cs="Times New Roman"/>
          <w:sz w:val="24"/>
          <w:szCs w:val="24"/>
        </w:rPr>
      </w:pPr>
      <w:r>
        <w:rPr>
          <w:rFonts w:cs="Times New Roman"/>
          <w:sz w:val="24"/>
          <w:szCs w:val="24"/>
        </w:rPr>
        <w:t>（1）投标文件格式</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供应商应按照第2条所列出的内容及格式</w:t>
      </w:r>
      <w:r>
        <w:rPr>
          <w:rFonts w:cs="Times New Roman"/>
          <w:bCs/>
          <w:sz w:val="24"/>
          <w:szCs w:val="24"/>
          <w:u w:val="thick"/>
        </w:rPr>
        <w:t>逐一按顺序</w:t>
      </w:r>
      <w:r>
        <w:rPr>
          <w:rFonts w:cs="Times New Roman"/>
          <w:sz w:val="24"/>
          <w:szCs w:val="24"/>
        </w:rPr>
        <w:t>组成投标文件并装订成册</w:t>
      </w:r>
      <w:r>
        <w:rPr>
          <w:rFonts w:cs="Times New Roman"/>
          <w:b/>
          <w:sz w:val="24"/>
          <w:szCs w:val="24"/>
        </w:rPr>
        <w:t>（商务报价部分投标文件与技术资信部分投标文件分开装订）</w:t>
      </w:r>
      <w:r>
        <w:rPr>
          <w:rFonts w:cs="Times New Roman"/>
          <w:sz w:val="24"/>
          <w:szCs w:val="24"/>
        </w:rPr>
        <w:t>。</w:t>
      </w:r>
    </w:p>
    <w:p>
      <w:pPr>
        <w:autoSpaceDE w:val="0"/>
        <w:autoSpaceDN w:val="0"/>
        <w:adjustRightInd w:val="0"/>
        <w:snapToGrid w:val="0"/>
        <w:spacing w:line="440" w:lineRule="exact"/>
        <w:ind w:firstLine="240" w:firstLineChars="100"/>
        <w:textAlignment w:val="bottom"/>
        <w:rPr>
          <w:rFonts w:cs="Times New Roman"/>
          <w:sz w:val="24"/>
          <w:szCs w:val="24"/>
        </w:rPr>
      </w:pPr>
      <w:r>
        <w:rPr>
          <w:rFonts w:cs="Times New Roman"/>
          <w:sz w:val="24"/>
          <w:szCs w:val="24"/>
        </w:rPr>
        <w:t>（2）《开标一览表》为商务标开标仪式上唱标的内容，供应商需按格式填写，统一规格，不得自行增减内容。</w:t>
      </w:r>
    </w:p>
    <w:p>
      <w:pPr>
        <w:autoSpaceDE w:val="0"/>
        <w:autoSpaceDN w:val="0"/>
        <w:adjustRightInd w:val="0"/>
        <w:snapToGrid w:val="0"/>
        <w:spacing w:line="440" w:lineRule="exact"/>
        <w:textAlignment w:val="bottom"/>
        <w:rPr>
          <w:rFonts w:cs="Times New Roman"/>
          <w:sz w:val="24"/>
          <w:szCs w:val="24"/>
        </w:rPr>
      </w:pPr>
      <w:bookmarkStart w:id="19" w:name="_Toc132122115"/>
      <w:bookmarkStart w:id="20" w:name="_Toc132122412"/>
      <w:r>
        <w:rPr>
          <w:rFonts w:cs="Times New Roman"/>
          <w:sz w:val="24"/>
          <w:szCs w:val="24"/>
        </w:rPr>
        <w:t>4、投标报价</w:t>
      </w:r>
      <w:bookmarkEnd w:id="19"/>
      <w:bookmarkEnd w:id="20"/>
    </w:p>
    <w:p>
      <w:pPr>
        <w:autoSpaceDE w:val="0"/>
        <w:autoSpaceDN w:val="0"/>
        <w:adjustRightInd w:val="0"/>
        <w:snapToGrid w:val="0"/>
        <w:spacing w:line="440" w:lineRule="exact"/>
        <w:ind w:firstLine="480" w:firstLineChars="200"/>
        <w:textAlignment w:val="bottom"/>
        <w:rPr>
          <w:rFonts w:cs="Times New Roman"/>
          <w:bCs/>
          <w:sz w:val="24"/>
          <w:szCs w:val="24"/>
        </w:rPr>
      </w:pPr>
      <w:r>
        <w:rPr>
          <w:rFonts w:cs="Times New Roman"/>
          <w:bCs/>
          <w:sz w:val="24"/>
          <w:szCs w:val="24"/>
        </w:rPr>
        <w:t>（1）本项目要求竞选单位承销费率进行报价，承销费率在合同执行过程中不作调整。投标报价是指乙方在正确地完全履行合同义务后甲方应支付给乙方所有的服务价款，本项目承销方式为</w:t>
      </w:r>
      <w:r>
        <w:rPr>
          <w:rFonts w:hint="eastAsia" w:cs="Times New Roman"/>
          <w:bCs/>
          <w:sz w:val="24"/>
          <w:szCs w:val="24"/>
        </w:rPr>
        <w:t>余额</w:t>
      </w:r>
      <w:r>
        <w:rPr>
          <w:rFonts w:cs="Times New Roman"/>
          <w:bCs/>
          <w:sz w:val="24"/>
          <w:szCs w:val="24"/>
        </w:rPr>
        <w:t>包销，承销佣金除应支付给会计师、律师、评级机构三家单位外的其他各项费用之和。</w:t>
      </w:r>
    </w:p>
    <w:p>
      <w:pPr>
        <w:autoSpaceDE w:val="0"/>
        <w:autoSpaceDN w:val="0"/>
        <w:adjustRightInd w:val="0"/>
        <w:snapToGrid w:val="0"/>
        <w:spacing w:line="440" w:lineRule="exact"/>
        <w:ind w:firstLine="480" w:firstLineChars="200"/>
        <w:textAlignment w:val="bottom"/>
        <w:rPr>
          <w:rFonts w:cs="Times New Roman"/>
          <w:bCs/>
          <w:sz w:val="24"/>
          <w:szCs w:val="24"/>
        </w:rPr>
      </w:pPr>
      <w:r>
        <w:rPr>
          <w:rFonts w:cs="Times New Roman"/>
          <w:sz w:val="24"/>
          <w:szCs w:val="24"/>
        </w:rPr>
        <w:t>（2）</w:t>
      </w:r>
      <w:r>
        <w:rPr>
          <w:rFonts w:cs="Times New Roman"/>
          <w:bCs/>
          <w:sz w:val="24"/>
          <w:szCs w:val="24"/>
        </w:rPr>
        <w:t>供应商必须按第五部分附件的开标一览表（统一格式）、投标分项报价表（统一格式）的内容填写投标单价、合计总单价及其他事项，并由法定代表人或授权代表签署或盖章。</w:t>
      </w:r>
    </w:p>
    <w:p>
      <w:pPr>
        <w:autoSpaceDE w:val="0"/>
        <w:autoSpaceDN w:val="0"/>
        <w:adjustRightInd w:val="0"/>
        <w:snapToGrid w:val="0"/>
        <w:spacing w:line="440" w:lineRule="exact"/>
        <w:ind w:firstLine="480" w:firstLineChars="200"/>
        <w:textAlignment w:val="bottom"/>
        <w:rPr>
          <w:rFonts w:cs="Times New Roman"/>
        </w:rPr>
      </w:pPr>
      <w:r>
        <w:rPr>
          <w:rFonts w:cs="Times New Roman"/>
          <w:bCs/>
          <w:sz w:val="24"/>
          <w:szCs w:val="24"/>
        </w:rPr>
        <w:t>（3）承销费用为</w:t>
      </w:r>
      <w:r>
        <w:rPr>
          <w:rFonts w:cs="Times New Roman"/>
          <w:b/>
          <w:sz w:val="24"/>
          <w:szCs w:val="24"/>
          <w:u w:val="single"/>
        </w:rPr>
        <w:t>承销费=</w:t>
      </w:r>
      <w:r>
        <w:rPr>
          <w:rFonts w:hint="eastAsia" w:cs="Times New Roman"/>
          <w:b/>
          <w:sz w:val="24"/>
          <w:szCs w:val="24"/>
          <w:u w:val="single"/>
        </w:rPr>
        <w:t>实际发行规模×中标承销费费率×发行期限计算</w:t>
      </w:r>
      <w:r>
        <w:rPr>
          <w:rFonts w:cs="Times New Roman"/>
          <w:bCs/>
          <w:sz w:val="24"/>
          <w:szCs w:val="24"/>
        </w:rPr>
        <w:t>，按实际发行额结算，费用包括服务所需的完成发债准备工作、制作申报材料并上报、与主管部门的沟通、完成债券的成功发行与销售、后期的支持与服务等以及因此产生的税费、服务费、利润及完成合同所需的所有除不可抗力之外的风险、责任等全部费用；</w:t>
      </w:r>
    </w:p>
    <w:p>
      <w:pPr>
        <w:autoSpaceDE w:val="0"/>
        <w:autoSpaceDN w:val="0"/>
        <w:adjustRightInd w:val="0"/>
        <w:snapToGrid w:val="0"/>
        <w:spacing w:line="440" w:lineRule="exact"/>
        <w:ind w:firstLine="480" w:firstLineChars="200"/>
        <w:textAlignment w:val="bottom"/>
        <w:rPr>
          <w:rFonts w:cs="Times New Roman"/>
          <w:bCs/>
          <w:sz w:val="24"/>
          <w:szCs w:val="24"/>
        </w:rPr>
      </w:pPr>
      <w:r>
        <w:rPr>
          <w:rFonts w:cs="Times New Roman"/>
          <w:bCs/>
          <w:sz w:val="24"/>
          <w:szCs w:val="24"/>
        </w:rPr>
        <w:t>（4）▲承销费率不得大于0.1%，否则投标报价无效。</w:t>
      </w:r>
    </w:p>
    <w:p>
      <w:pPr>
        <w:autoSpaceDE w:val="0"/>
        <w:autoSpaceDN w:val="0"/>
        <w:adjustRightInd w:val="0"/>
        <w:snapToGrid w:val="0"/>
        <w:spacing w:line="440" w:lineRule="exact"/>
        <w:ind w:firstLine="480" w:firstLineChars="200"/>
        <w:textAlignment w:val="bottom"/>
        <w:rPr>
          <w:rFonts w:cs="Times New Roman"/>
          <w:sz w:val="24"/>
          <w:szCs w:val="24"/>
          <w:u w:val="single"/>
        </w:rPr>
      </w:pPr>
      <w:r>
        <w:rPr>
          <w:rFonts w:cs="Times New Roman"/>
          <w:bCs/>
          <w:sz w:val="24"/>
          <w:szCs w:val="24"/>
        </w:rPr>
        <w:t>（5）</w:t>
      </w:r>
      <w:r>
        <w:rPr>
          <w:rFonts w:cs="Times New Roman"/>
          <w:b/>
          <w:sz w:val="24"/>
          <w:szCs w:val="24"/>
          <w:u w:val="single"/>
        </w:rPr>
        <w:t>▲报价要求百分比后小数点后保留两位以内（例如0.09%）</w:t>
      </w:r>
      <w:r>
        <w:rPr>
          <w:rFonts w:cs="Times New Roman"/>
          <w:bCs/>
          <w:sz w:val="24"/>
          <w:szCs w:val="24"/>
        </w:rPr>
        <w:t>。</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（6）采购人要求分类报价是为了方便评标，但在任何情况下不限制采购人以其认为最合适的条款、条件签订合同的权利。</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（7）供应商所报的投标价在合同执行过程中是固定不变的，不得以任何理由予以变更。任何包含价格调整的要求，将被认为是非实质性响应投标而予以拒绝。</w:t>
      </w:r>
    </w:p>
    <w:p>
      <w:pPr>
        <w:autoSpaceDE w:val="0"/>
        <w:autoSpaceDN w:val="0"/>
        <w:adjustRightInd w:val="0"/>
        <w:snapToGrid w:val="0"/>
        <w:spacing w:line="440" w:lineRule="exact"/>
        <w:ind w:firstLine="470" w:firstLineChars="196"/>
        <w:textAlignment w:val="bottom"/>
        <w:rPr>
          <w:rFonts w:cs="Times New Roman"/>
          <w:sz w:val="24"/>
          <w:szCs w:val="24"/>
        </w:rPr>
      </w:pPr>
      <w:r>
        <w:rPr>
          <w:rFonts w:cs="Times New Roman"/>
          <w:sz w:val="24"/>
          <w:szCs w:val="24"/>
        </w:rPr>
        <w:t>（8）最低报价不能作为中标的保证。</w:t>
      </w:r>
    </w:p>
    <w:p>
      <w:pPr>
        <w:pStyle w:val="11"/>
        <w:ind w:firstLine="240"/>
        <w:rPr>
          <w:rFonts w:cs="Times New Roman"/>
          <w:sz w:val="24"/>
          <w:szCs w:val="24"/>
        </w:rPr>
      </w:pPr>
      <w:r>
        <w:rPr>
          <w:rFonts w:cs="Times New Roman"/>
          <w:sz w:val="24"/>
          <w:szCs w:val="24"/>
        </w:rPr>
        <w:t xml:space="preserve">  （9）本项目只允许唯一报价，如出现有选择性报价，作无效标处理。</w:t>
      </w:r>
    </w:p>
    <w:p>
      <w:pPr>
        <w:autoSpaceDE w:val="0"/>
        <w:autoSpaceDN w:val="0"/>
        <w:adjustRightInd w:val="0"/>
        <w:snapToGrid w:val="0"/>
        <w:spacing w:line="440" w:lineRule="exact"/>
        <w:ind w:firstLine="482" w:firstLineChars="200"/>
        <w:textAlignment w:val="bottom"/>
        <w:rPr>
          <w:rFonts w:cs="Times New Roman"/>
          <w:b/>
          <w:sz w:val="24"/>
          <w:szCs w:val="24"/>
        </w:rPr>
      </w:pPr>
      <w:r>
        <w:rPr>
          <w:rFonts w:cs="Times New Roman"/>
          <w:b/>
          <w:sz w:val="24"/>
          <w:szCs w:val="24"/>
        </w:rPr>
        <w:t>5、 发生下列情况之一，将上报相关监督部门。</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（1）供应商在投标有效期内撤回投标文件。</w:t>
      </w:r>
    </w:p>
    <w:p>
      <w:pPr>
        <w:autoSpaceDE w:val="0"/>
        <w:autoSpaceDN w:val="0"/>
        <w:adjustRightInd w:val="0"/>
        <w:snapToGrid w:val="0"/>
        <w:spacing w:line="440" w:lineRule="exact"/>
        <w:ind w:firstLine="480"/>
        <w:textAlignment w:val="bottom"/>
        <w:rPr>
          <w:rFonts w:cs="Times New Roman"/>
          <w:sz w:val="24"/>
          <w:szCs w:val="24"/>
        </w:rPr>
      </w:pPr>
      <w:r>
        <w:rPr>
          <w:rFonts w:cs="Times New Roman"/>
          <w:sz w:val="24"/>
          <w:szCs w:val="24"/>
        </w:rPr>
        <w:t>（2）中标供应商未按中标通知书中规定的时间、地点与采购人签订合同。</w:t>
      </w:r>
    </w:p>
    <w:p>
      <w:pPr>
        <w:autoSpaceDE w:val="0"/>
        <w:autoSpaceDN w:val="0"/>
        <w:adjustRightInd w:val="0"/>
        <w:snapToGrid w:val="0"/>
        <w:spacing w:line="440" w:lineRule="exact"/>
        <w:ind w:firstLine="480"/>
        <w:textAlignment w:val="bottom"/>
        <w:rPr>
          <w:rFonts w:cs="Times New Roman"/>
          <w:sz w:val="24"/>
          <w:szCs w:val="24"/>
        </w:rPr>
      </w:pPr>
      <w:r>
        <w:rPr>
          <w:rFonts w:cs="Times New Roman"/>
          <w:sz w:val="24"/>
          <w:szCs w:val="24"/>
        </w:rPr>
        <w:t>（3）未支付招标代理服务费。</w:t>
      </w:r>
    </w:p>
    <w:p>
      <w:pPr>
        <w:autoSpaceDE w:val="0"/>
        <w:autoSpaceDN w:val="0"/>
        <w:adjustRightInd w:val="0"/>
        <w:snapToGrid w:val="0"/>
        <w:spacing w:line="440" w:lineRule="exact"/>
        <w:ind w:firstLine="480"/>
        <w:textAlignment w:val="bottom"/>
        <w:rPr>
          <w:rFonts w:cs="Times New Roman"/>
          <w:sz w:val="24"/>
          <w:szCs w:val="24"/>
        </w:rPr>
      </w:pPr>
      <w:r>
        <w:rPr>
          <w:rFonts w:cs="Times New Roman"/>
          <w:sz w:val="24"/>
          <w:szCs w:val="24"/>
        </w:rPr>
        <w:t>（4）经采购监督管理部门审查认定投标人有违反《中华人民共和国政府采购法》等有关法律法规的行为。</w:t>
      </w:r>
    </w:p>
    <w:p>
      <w:pPr>
        <w:pStyle w:val="13"/>
        <w:adjustRightInd w:val="0"/>
        <w:snapToGrid w:val="0"/>
        <w:spacing w:line="440" w:lineRule="exact"/>
        <w:ind w:firstLine="480" w:firstLineChars="200"/>
        <w:rPr>
          <w:rFonts w:ascii="Times New Roman" w:hAnsi="Times New Roman" w:cs="Times New Roman"/>
          <w:sz w:val="24"/>
          <w:szCs w:val="24"/>
        </w:rPr>
      </w:pPr>
      <w:bookmarkStart w:id="21" w:name="_Toc132122117"/>
      <w:bookmarkStart w:id="22" w:name="_Toc132122414"/>
      <w:r>
        <w:rPr>
          <w:rFonts w:ascii="Times New Roman" w:hAnsi="Times New Roman" w:cs="Times New Roman"/>
          <w:sz w:val="24"/>
          <w:szCs w:val="24"/>
        </w:rPr>
        <w:t>6、投标文件的有效期</w:t>
      </w:r>
      <w:bookmarkEnd w:id="21"/>
      <w:bookmarkEnd w:id="22"/>
    </w:p>
    <w:p>
      <w:pPr>
        <w:pStyle w:val="13"/>
        <w:adjustRightInd w:val="0"/>
        <w:snapToGrid w:val="0"/>
        <w:spacing w:line="440" w:lineRule="exact"/>
        <w:ind w:right="-160" w:rightChars="-76" w:firstLine="480" w:firstLineChars="200"/>
        <w:rPr>
          <w:rFonts w:ascii="Times New Roman" w:hAnsi="Times New Roman" w:cs="Times New Roman"/>
          <w:sz w:val="24"/>
          <w:szCs w:val="24"/>
        </w:rPr>
      </w:pPr>
      <w:r>
        <w:rPr>
          <w:rFonts w:ascii="Times New Roman" w:hAnsi="Times New Roman" w:cs="Times New Roman"/>
          <w:sz w:val="24"/>
          <w:szCs w:val="24"/>
        </w:rPr>
        <w:t>（1）自开标日起90天内，投标文件应保持有效。有效期短于这个规定期限的投标将被拒绝。</w:t>
      </w:r>
    </w:p>
    <w:p>
      <w:pPr>
        <w:pStyle w:val="13"/>
        <w:adjustRightInd w:val="0"/>
        <w:snapToGri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（2）在特殊情况下，采购人可与供应商协商延长投标文件的有效期，这种要求和答复均应以书面形式进行。</w:t>
      </w:r>
    </w:p>
    <w:p>
      <w:pPr>
        <w:pStyle w:val="13"/>
        <w:adjustRightInd w:val="0"/>
        <w:snapToGri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（3）同意延长有效期的供应商不能修改投标文件。</w:t>
      </w:r>
    </w:p>
    <w:p>
      <w:pPr>
        <w:pStyle w:val="13"/>
        <w:adjustRightInd w:val="0"/>
        <w:snapToGri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（4）当正本与副本不一致时，均以正本为准。当供应商投标文件未注明正本与副本且出现不一致时，评标委员会可以认定供应商出现选择性投标而对其投标予以废标。</w:t>
      </w:r>
    </w:p>
    <w:p>
      <w:pPr>
        <w:pStyle w:val="13"/>
        <w:adjustRightInd w:val="0"/>
        <w:snapToGrid w:val="0"/>
        <w:spacing w:line="440" w:lineRule="exact"/>
        <w:outlineLvl w:val="0"/>
        <w:rPr>
          <w:rFonts w:ascii="Times New Roman" w:hAnsi="Times New Roman" w:cs="Times New Roman"/>
          <w:sz w:val="24"/>
          <w:szCs w:val="24"/>
        </w:rPr>
      </w:pPr>
      <w:bookmarkStart w:id="23" w:name="_Toc132122415"/>
      <w:bookmarkStart w:id="24" w:name="_Toc132122118"/>
      <w:r>
        <w:rPr>
          <w:rFonts w:ascii="Times New Roman" w:hAnsi="Times New Roman" w:cs="Times New Roman"/>
          <w:sz w:val="24"/>
          <w:szCs w:val="24"/>
        </w:rPr>
        <w:t>7、投标文件的签署和份数</w:t>
      </w:r>
      <w:bookmarkEnd w:id="23"/>
      <w:bookmarkEnd w:id="24"/>
    </w:p>
    <w:p>
      <w:pPr>
        <w:pStyle w:val="13"/>
        <w:adjustRightInd w:val="0"/>
        <w:snapToGrid w:val="0"/>
        <w:spacing w:line="440" w:lineRule="exact"/>
        <w:ind w:firstLine="480"/>
        <w:rPr>
          <w:rFonts w:ascii="Times New Roman" w:hAnsi="Times New Roman" w:cs="Times New Roman"/>
          <w:sz w:val="24"/>
          <w:szCs w:val="24"/>
        </w:rPr>
      </w:pPr>
      <w:r>
        <w:rPr>
          <w:rFonts w:ascii="Times New Roman" w:hAnsi="Times New Roman" w:cs="Times New Roman"/>
          <w:sz w:val="24"/>
          <w:szCs w:val="24"/>
        </w:rPr>
        <w:t>（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pPr>
        <w:pStyle w:val="13"/>
        <w:adjustRightInd w:val="0"/>
        <w:snapToGrid w:val="0"/>
        <w:spacing w:line="440" w:lineRule="exact"/>
        <w:ind w:right="-265" w:rightChars="-126"/>
        <w:rPr>
          <w:rFonts w:ascii="Times New Roman" w:hAnsi="Times New Roman" w:cs="Times New Roman"/>
          <w:sz w:val="24"/>
          <w:szCs w:val="24"/>
        </w:rPr>
      </w:pPr>
      <w:r>
        <w:rPr>
          <w:rFonts w:ascii="Times New Roman" w:hAnsi="Times New Roman" w:cs="Times New Roman"/>
          <w:sz w:val="24"/>
          <w:szCs w:val="24"/>
        </w:rPr>
        <w:t>（2）投标文件规定签字盖章须由供应商盖章并由法定代表人或法定代表人授权代表签署，供应商应写全称。</w:t>
      </w:r>
    </w:p>
    <w:p>
      <w:pPr>
        <w:snapToGrid w:val="0"/>
        <w:spacing w:line="440" w:lineRule="exact"/>
        <w:ind w:firstLine="482" w:firstLineChars="200"/>
        <w:rPr>
          <w:rFonts w:cs="Times New Roman"/>
          <w:sz w:val="24"/>
          <w:szCs w:val="24"/>
        </w:rPr>
      </w:pPr>
      <w:r>
        <w:rPr>
          <w:rFonts w:cs="Times New Roman"/>
          <w:b/>
          <w:sz w:val="24"/>
          <w:szCs w:val="24"/>
          <w:u w:val="single"/>
        </w:rPr>
        <w:t>（3）投标文件的份数：按招标文件第三部分第四条第2款要求提供的各种文件，商务报价部分投标文件、技术资信部分投标文件均提供一式七份，其中正本一份，副本六份。(商务报价部分投标文件、技术资信部分投标文件均分开装订，分别密封)。</w:t>
      </w:r>
    </w:p>
    <w:p>
      <w:pPr>
        <w:snapToGrid w:val="0"/>
        <w:spacing w:line="440" w:lineRule="exact"/>
        <w:outlineLvl w:val="0"/>
        <w:rPr>
          <w:rFonts w:cs="Times New Roman"/>
          <w:b/>
          <w:sz w:val="24"/>
          <w:szCs w:val="24"/>
        </w:rPr>
      </w:pPr>
      <w:r>
        <w:rPr>
          <w:rFonts w:cs="Times New Roman"/>
          <w:b/>
          <w:sz w:val="24"/>
          <w:szCs w:val="24"/>
        </w:rPr>
        <w:t>五、投标文件的密封与递交</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snapToGrid w:val="0"/>
        <w:spacing w:line="440" w:lineRule="exact"/>
        <w:ind w:firstLine="527"/>
        <w:rPr>
          <w:rFonts w:cs="Times New Roman"/>
          <w:b/>
          <w:sz w:val="24"/>
          <w:szCs w:val="24"/>
        </w:rPr>
      </w:pPr>
      <w:r>
        <w:rPr>
          <w:rFonts w:cs="Times New Roman"/>
          <w:b/>
          <w:sz w:val="24"/>
          <w:szCs w:val="24"/>
        </w:rPr>
        <w:t>1、投标文件的密封及标记</w:t>
      </w:r>
    </w:p>
    <w:p>
      <w:pPr>
        <w:snapToGrid w:val="0"/>
        <w:spacing w:line="440" w:lineRule="exact"/>
        <w:ind w:firstLine="527"/>
        <w:rPr>
          <w:rFonts w:cs="Times New Roman"/>
          <w:b/>
          <w:sz w:val="24"/>
          <w:szCs w:val="24"/>
        </w:rPr>
      </w:pPr>
      <w:r>
        <w:rPr>
          <w:rFonts w:cs="Times New Roman"/>
          <w:b/>
          <w:sz w:val="24"/>
          <w:szCs w:val="24"/>
        </w:rPr>
        <w:t>（1）投标文件应按以下方法装袋密封</w:t>
      </w:r>
    </w:p>
    <w:p>
      <w:pPr>
        <w:snapToGrid w:val="0"/>
        <w:spacing w:line="440" w:lineRule="exact"/>
        <w:ind w:firstLine="527"/>
        <w:rPr>
          <w:rFonts w:cs="Times New Roman"/>
          <w:sz w:val="24"/>
          <w:szCs w:val="24"/>
        </w:rPr>
      </w:pPr>
      <w:r>
        <w:rPr>
          <w:rFonts w:cs="Times New Roman"/>
          <w:sz w:val="24"/>
          <w:szCs w:val="24"/>
        </w:rPr>
        <w:t>▲</w:t>
      </w:r>
      <w:r>
        <w:rPr>
          <w:rFonts w:cs="Times New Roman"/>
          <w:sz w:val="24"/>
          <w:szCs w:val="24"/>
          <w:u w:val="single"/>
        </w:rPr>
        <w:t>商务部分正本</w:t>
      </w:r>
      <w:r>
        <w:rPr>
          <w:rFonts w:hint="eastAsia" w:cs="Times New Roman"/>
          <w:sz w:val="24"/>
          <w:szCs w:val="24"/>
          <w:u w:val="single"/>
        </w:rPr>
        <w:t>与</w:t>
      </w:r>
      <w:r>
        <w:rPr>
          <w:rFonts w:cs="Times New Roman"/>
          <w:sz w:val="24"/>
          <w:szCs w:val="24"/>
          <w:u w:val="single"/>
        </w:rPr>
        <w:t>副本一起密封；技术资信部分正本与副本一起密封。</w:t>
      </w:r>
      <w:r>
        <w:rPr>
          <w:rFonts w:cs="Times New Roman"/>
          <w:sz w:val="24"/>
          <w:szCs w:val="24"/>
        </w:rPr>
        <w:t>所有投标文件资料</w:t>
      </w:r>
      <w:r>
        <w:rPr>
          <w:rFonts w:cs="Times New Roman"/>
          <w:sz w:val="24"/>
          <w:szCs w:val="24"/>
          <w:u w:val="single"/>
        </w:rPr>
        <w:t>按招标文件要求</w:t>
      </w:r>
      <w:r>
        <w:rPr>
          <w:rFonts w:cs="Times New Roman"/>
          <w:sz w:val="24"/>
          <w:szCs w:val="24"/>
        </w:rPr>
        <w:t>装订成册，并注明正、副本字样后装入密封袋内，密封袋上应有供应商公章及投标授权代表签字。封皮上写明</w:t>
      </w:r>
      <w:r>
        <w:rPr>
          <w:rFonts w:cs="Times New Roman"/>
          <w:bCs/>
          <w:sz w:val="24"/>
          <w:szCs w:val="24"/>
          <w:u w:val="single"/>
        </w:rPr>
        <w:t>采购人名称，招标编号、招标项目名称、供应商名称</w:t>
      </w:r>
      <w:r>
        <w:rPr>
          <w:rFonts w:cs="Times New Roman"/>
          <w:sz w:val="24"/>
          <w:szCs w:val="24"/>
        </w:rPr>
        <w:t>。</w:t>
      </w:r>
      <w:r>
        <w:rPr>
          <w:rFonts w:cs="Times New Roman"/>
          <w:sz w:val="24"/>
          <w:szCs w:val="24"/>
          <w:u w:val="single"/>
        </w:rPr>
        <w:t>并分别注明“商务报价投标文件”、“技术资信投标文件”、“开标时启封”字样。</w:t>
      </w:r>
    </w:p>
    <w:p>
      <w:pPr>
        <w:snapToGrid w:val="0"/>
        <w:spacing w:line="440" w:lineRule="exact"/>
        <w:ind w:firstLine="527"/>
        <w:rPr>
          <w:rFonts w:cs="Times New Roman"/>
          <w:b/>
          <w:sz w:val="24"/>
          <w:szCs w:val="24"/>
        </w:rPr>
      </w:pPr>
      <w:r>
        <w:rPr>
          <w:rFonts w:cs="Times New Roman"/>
          <w:sz w:val="24"/>
          <w:szCs w:val="24"/>
        </w:rPr>
        <w:t>（2）如果供应商未按上述要求密封及加写标记，投标文件将可能导致被拒绝接受，由此引起的后果由供应商负责。</w:t>
      </w:r>
    </w:p>
    <w:p>
      <w:pPr>
        <w:snapToGrid w:val="0"/>
        <w:spacing w:line="440" w:lineRule="exact"/>
        <w:ind w:firstLine="527"/>
        <w:rPr>
          <w:rFonts w:cs="Times New Roman"/>
          <w:b/>
          <w:sz w:val="24"/>
          <w:szCs w:val="24"/>
        </w:rPr>
      </w:pPr>
      <w:r>
        <w:rPr>
          <w:rFonts w:cs="Times New Roman"/>
          <w:b/>
          <w:sz w:val="24"/>
          <w:szCs w:val="24"/>
        </w:rPr>
        <w:t>2、投标截止时间</w:t>
      </w:r>
    </w:p>
    <w:p>
      <w:pPr>
        <w:snapToGrid w:val="0"/>
        <w:spacing w:line="440" w:lineRule="exact"/>
        <w:ind w:firstLine="527"/>
        <w:rPr>
          <w:rFonts w:cs="Times New Roman"/>
          <w:sz w:val="24"/>
          <w:szCs w:val="24"/>
        </w:rPr>
      </w:pPr>
      <w:r>
        <w:rPr>
          <w:rFonts w:cs="Times New Roman"/>
          <w:sz w:val="24"/>
          <w:szCs w:val="24"/>
        </w:rPr>
        <w:t>（1）投标文件必须在投标文件递交截止时间前送达指定的投标地点。</w:t>
      </w:r>
    </w:p>
    <w:p>
      <w:pPr>
        <w:snapToGrid w:val="0"/>
        <w:spacing w:line="440" w:lineRule="exact"/>
        <w:ind w:firstLine="527"/>
        <w:rPr>
          <w:rFonts w:cs="Times New Roman"/>
          <w:b/>
          <w:sz w:val="24"/>
          <w:szCs w:val="24"/>
          <w:u w:val="single"/>
        </w:rPr>
      </w:pPr>
      <w:r>
        <w:rPr>
          <w:rFonts w:cs="Times New Roman"/>
          <w:b/>
          <w:sz w:val="24"/>
          <w:szCs w:val="24"/>
          <w:u w:val="single"/>
        </w:rPr>
        <w:t>（2）采购机构如因故推迟投标截止时间，应以书面形式通知所有供应商。在这种情况下，供应商的权利和义务将受到新的截止时间的约束。</w:t>
      </w:r>
    </w:p>
    <w:p>
      <w:pPr>
        <w:snapToGrid w:val="0"/>
        <w:spacing w:line="440" w:lineRule="exact"/>
        <w:ind w:firstLine="527"/>
        <w:rPr>
          <w:rFonts w:cs="Times New Roman"/>
          <w:sz w:val="24"/>
          <w:szCs w:val="24"/>
        </w:rPr>
      </w:pPr>
      <w:r>
        <w:rPr>
          <w:rFonts w:cs="Times New Roman"/>
          <w:sz w:val="24"/>
          <w:szCs w:val="24"/>
        </w:rPr>
        <w:t>3、投标文件的修改和撤回</w:t>
      </w:r>
    </w:p>
    <w:p>
      <w:pPr>
        <w:snapToGrid w:val="0"/>
        <w:spacing w:line="440" w:lineRule="exact"/>
        <w:ind w:firstLine="527"/>
        <w:rPr>
          <w:rFonts w:cs="Times New Roman"/>
          <w:sz w:val="24"/>
          <w:szCs w:val="24"/>
        </w:rPr>
      </w:pPr>
      <w:r>
        <w:rPr>
          <w:rFonts w:cs="Times New Roman"/>
          <w:sz w:val="24"/>
          <w:szCs w:val="24"/>
        </w:rPr>
        <w:t>（1）供应商在投标文件送达以后如必须修改或撤回投标文件，必须在投标截止时间以前将书面的投标修改文件或撤标通知送达采购机构处。</w:t>
      </w:r>
    </w:p>
    <w:p>
      <w:pPr>
        <w:snapToGrid w:val="0"/>
        <w:spacing w:line="440" w:lineRule="exact"/>
        <w:ind w:firstLine="527"/>
        <w:rPr>
          <w:rFonts w:cs="Times New Roman"/>
          <w:sz w:val="24"/>
          <w:szCs w:val="24"/>
        </w:rPr>
      </w:pPr>
      <w:r>
        <w:rPr>
          <w:rFonts w:cs="Times New Roman"/>
          <w:sz w:val="24"/>
          <w:szCs w:val="24"/>
        </w:rPr>
        <w:t>（2）修改投标文件必须密封完整。</w:t>
      </w:r>
    </w:p>
    <w:p>
      <w:pPr>
        <w:snapToGrid w:val="0"/>
        <w:spacing w:line="440" w:lineRule="exact"/>
        <w:ind w:firstLine="527"/>
        <w:rPr>
          <w:rFonts w:cs="Times New Roman"/>
          <w:sz w:val="24"/>
          <w:szCs w:val="24"/>
        </w:rPr>
      </w:pPr>
      <w:r>
        <w:rPr>
          <w:rFonts w:cs="Times New Roman"/>
          <w:sz w:val="24"/>
          <w:szCs w:val="24"/>
        </w:rPr>
        <w:t>（3）供应商在投标截止时间以前以传真形式通知采购机构撤标时，必须在投标截止时间以前补充有法定代表人或法定代表人授权代表签署的正式文件。</w:t>
      </w:r>
    </w:p>
    <w:p>
      <w:pPr>
        <w:snapToGrid w:val="0"/>
        <w:spacing w:line="440" w:lineRule="exact"/>
        <w:ind w:firstLine="527"/>
        <w:rPr>
          <w:rFonts w:cs="Times New Roman"/>
          <w:sz w:val="24"/>
          <w:szCs w:val="24"/>
        </w:rPr>
      </w:pPr>
      <w:r>
        <w:rPr>
          <w:rFonts w:cs="Times New Roman"/>
          <w:sz w:val="24"/>
          <w:szCs w:val="24"/>
        </w:rPr>
        <w:t>4、投标文件的递交</w:t>
      </w:r>
    </w:p>
    <w:p>
      <w:pPr>
        <w:snapToGrid w:val="0"/>
        <w:spacing w:line="440" w:lineRule="exact"/>
        <w:ind w:firstLine="527"/>
        <w:rPr>
          <w:rFonts w:cs="Times New Roman"/>
          <w:sz w:val="24"/>
          <w:szCs w:val="24"/>
        </w:rPr>
      </w:pPr>
      <w:r>
        <w:rPr>
          <w:rFonts w:cs="Times New Roman"/>
          <w:b/>
          <w:bCs/>
          <w:sz w:val="24"/>
          <w:szCs w:val="24"/>
          <w:u w:val="single"/>
        </w:rPr>
        <w:t>投标文件必须在规定的投标截止时间前送达到指定的收标地点，并同时递交法定代表人授权书原件（法定代表人委托书原件密封在投标文件中的也有效）。</w:t>
      </w:r>
    </w:p>
    <w:p>
      <w:pPr>
        <w:snapToGrid w:val="0"/>
        <w:spacing w:line="440" w:lineRule="exact"/>
        <w:ind w:firstLine="527"/>
        <w:rPr>
          <w:rFonts w:cs="Times New Roman"/>
          <w:sz w:val="24"/>
          <w:szCs w:val="24"/>
        </w:rPr>
      </w:pPr>
      <w:r>
        <w:rPr>
          <w:rFonts w:cs="Times New Roman"/>
          <w:sz w:val="24"/>
          <w:szCs w:val="24"/>
        </w:rPr>
        <w:t>▲</w:t>
      </w:r>
      <w:r>
        <w:rPr>
          <w:rFonts w:cs="Times New Roman"/>
          <w:b/>
          <w:sz w:val="24"/>
          <w:szCs w:val="24"/>
        </w:rPr>
        <w:t>有下列情形之一的投标文件将被拒绝接受：</w:t>
      </w:r>
    </w:p>
    <w:p>
      <w:pPr>
        <w:snapToGrid w:val="0"/>
        <w:spacing w:line="440" w:lineRule="exact"/>
        <w:ind w:firstLine="527"/>
        <w:rPr>
          <w:rFonts w:cs="Times New Roman"/>
          <w:sz w:val="24"/>
          <w:szCs w:val="24"/>
        </w:rPr>
      </w:pPr>
      <w:r>
        <w:rPr>
          <w:rFonts w:cs="Times New Roman"/>
          <w:sz w:val="24"/>
          <w:szCs w:val="24"/>
        </w:rPr>
        <w:t>（1）在投标截止时间以后送达的投标文件；</w:t>
      </w:r>
    </w:p>
    <w:p>
      <w:pPr>
        <w:snapToGrid w:val="0"/>
        <w:spacing w:line="440" w:lineRule="exact"/>
        <w:ind w:firstLine="527"/>
        <w:rPr>
          <w:rFonts w:cs="Times New Roman"/>
          <w:sz w:val="24"/>
          <w:szCs w:val="24"/>
        </w:rPr>
      </w:pPr>
      <w:r>
        <w:rPr>
          <w:rFonts w:cs="Times New Roman"/>
          <w:sz w:val="24"/>
          <w:szCs w:val="24"/>
        </w:rPr>
        <w:t>（2）未按招标文件规定密封与包装的投标文件；</w:t>
      </w:r>
    </w:p>
    <w:p>
      <w:pPr>
        <w:snapToGrid w:val="0"/>
        <w:spacing w:line="440" w:lineRule="exact"/>
        <w:ind w:firstLine="527"/>
        <w:rPr>
          <w:rFonts w:cs="Times New Roman"/>
          <w:sz w:val="24"/>
          <w:szCs w:val="24"/>
        </w:rPr>
      </w:pPr>
      <w:r>
        <w:rPr>
          <w:rFonts w:cs="Times New Roman"/>
          <w:sz w:val="24"/>
          <w:szCs w:val="24"/>
        </w:rPr>
        <w:t>（3）由于包装不妥在途中严重破损或失散的投标文件；</w:t>
      </w:r>
    </w:p>
    <w:p>
      <w:pPr>
        <w:snapToGrid w:val="0"/>
        <w:spacing w:line="440" w:lineRule="exact"/>
        <w:ind w:firstLine="527"/>
        <w:rPr>
          <w:rFonts w:cs="Times New Roman"/>
          <w:sz w:val="24"/>
          <w:szCs w:val="24"/>
        </w:rPr>
      </w:pPr>
      <w:r>
        <w:rPr>
          <w:rFonts w:cs="Times New Roman"/>
          <w:sz w:val="24"/>
          <w:szCs w:val="24"/>
        </w:rPr>
        <w:t>（4）未正式获取招标文件的供应商。</w:t>
      </w:r>
    </w:p>
    <w:p>
      <w:pPr>
        <w:snapToGrid w:val="0"/>
        <w:spacing w:line="440" w:lineRule="exact"/>
        <w:outlineLvl w:val="0"/>
        <w:rPr>
          <w:rFonts w:cs="Times New Roman"/>
          <w:sz w:val="24"/>
          <w:szCs w:val="24"/>
        </w:rPr>
      </w:pPr>
      <w:r>
        <w:rPr>
          <w:rFonts w:cs="Times New Roman"/>
          <w:sz w:val="24"/>
          <w:szCs w:val="24"/>
        </w:rPr>
        <w:t>六、开标和评标</w:t>
      </w:r>
    </w:p>
    <w:p>
      <w:pPr>
        <w:snapToGrid w:val="0"/>
        <w:spacing w:line="440" w:lineRule="exact"/>
        <w:ind w:firstLine="240" w:firstLineChars="100"/>
        <w:outlineLvl w:val="0"/>
        <w:rPr>
          <w:rFonts w:cs="Times New Roman"/>
          <w:sz w:val="24"/>
          <w:szCs w:val="24"/>
        </w:rPr>
      </w:pPr>
      <w:r>
        <w:rPr>
          <w:rFonts w:cs="Times New Roman"/>
          <w:sz w:val="24"/>
          <w:szCs w:val="24"/>
        </w:rPr>
        <w:t>1、开标</w:t>
      </w:r>
    </w:p>
    <w:p>
      <w:pPr>
        <w:snapToGrid w:val="0"/>
        <w:spacing w:line="440" w:lineRule="exact"/>
        <w:ind w:firstLine="240" w:firstLineChars="100"/>
        <w:outlineLvl w:val="0"/>
        <w:rPr>
          <w:rFonts w:cs="Times New Roman"/>
          <w:sz w:val="24"/>
          <w:szCs w:val="24"/>
        </w:rPr>
      </w:pPr>
      <w:r>
        <w:rPr>
          <w:rFonts w:cs="Times New Roman"/>
          <w:sz w:val="24"/>
          <w:szCs w:val="24"/>
        </w:rPr>
        <w:t>（1）招标机构按招标文件规定的时间、地点开标。</w:t>
      </w:r>
    </w:p>
    <w:p>
      <w:pPr>
        <w:snapToGrid w:val="0"/>
        <w:spacing w:line="440" w:lineRule="exact"/>
        <w:ind w:firstLine="240" w:firstLineChars="100"/>
        <w:outlineLvl w:val="0"/>
        <w:rPr>
          <w:rFonts w:cs="Times New Roman"/>
          <w:sz w:val="24"/>
          <w:szCs w:val="24"/>
        </w:rPr>
      </w:pPr>
      <w:r>
        <w:rPr>
          <w:rFonts w:cs="Times New Roman"/>
          <w:sz w:val="24"/>
          <w:szCs w:val="24"/>
        </w:rPr>
        <w:t>（2）供应商法定代表人（或其授权代表）出席开标会议。</w:t>
      </w:r>
    </w:p>
    <w:p>
      <w:pPr>
        <w:snapToGrid w:val="0"/>
        <w:spacing w:line="440" w:lineRule="exact"/>
        <w:ind w:firstLine="240" w:firstLineChars="100"/>
        <w:outlineLvl w:val="0"/>
        <w:rPr>
          <w:rFonts w:cs="Times New Roman"/>
          <w:sz w:val="24"/>
          <w:szCs w:val="24"/>
        </w:rPr>
      </w:pPr>
      <w:r>
        <w:rPr>
          <w:rFonts w:cs="Times New Roman"/>
          <w:sz w:val="24"/>
          <w:szCs w:val="24"/>
        </w:rPr>
        <w:t>（3）开标程序</w:t>
      </w:r>
    </w:p>
    <w:p>
      <w:pPr>
        <w:snapToGrid w:val="0"/>
        <w:spacing w:line="440" w:lineRule="exact"/>
        <w:ind w:firstLine="527"/>
        <w:outlineLvl w:val="0"/>
        <w:rPr>
          <w:rFonts w:cs="Times New Roman"/>
          <w:sz w:val="24"/>
          <w:szCs w:val="24"/>
        </w:rPr>
      </w:pPr>
      <w:r>
        <w:rPr>
          <w:rFonts w:cs="Times New Roman"/>
          <w:sz w:val="24"/>
          <w:szCs w:val="24"/>
        </w:rPr>
        <w:t>1）开标会议由招标代理机构主持，宣布开标会议开始；</w:t>
      </w:r>
    </w:p>
    <w:p>
      <w:pPr>
        <w:snapToGrid w:val="0"/>
        <w:spacing w:line="440" w:lineRule="exact"/>
        <w:ind w:firstLine="527"/>
        <w:outlineLvl w:val="0"/>
        <w:rPr>
          <w:rFonts w:cs="Times New Roman"/>
          <w:sz w:val="24"/>
          <w:szCs w:val="24"/>
        </w:rPr>
      </w:pPr>
      <w:r>
        <w:rPr>
          <w:rFonts w:cs="Times New Roman"/>
          <w:sz w:val="24"/>
          <w:szCs w:val="24"/>
        </w:rPr>
        <w:t>2）请相关人员检查投标文件密封情况；</w:t>
      </w:r>
    </w:p>
    <w:p>
      <w:pPr>
        <w:snapToGrid w:val="0"/>
        <w:spacing w:line="440" w:lineRule="exact"/>
        <w:ind w:firstLine="527"/>
        <w:outlineLvl w:val="0"/>
        <w:rPr>
          <w:rFonts w:cs="Times New Roman"/>
          <w:sz w:val="24"/>
          <w:szCs w:val="24"/>
        </w:rPr>
      </w:pPr>
      <w:r>
        <w:rPr>
          <w:rFonts w:cs="Times New Roman"/>
          <w:sz w:val="24"/>
          <w:szCs w:val="24"/>
        </w:rPr>
        <w:t>3）按后到先开的顺序，依次打开各投标人的“技术资信标”，并清点数量，符合要求的送评标室进行技术资信标部分的评审；</w:t>
      </w:r>
    </w:p>
    <w:p>
      <w:pPr>
        <w:snapToGrid w:val="0"/>
        <w:spacing w:line="440" w:lineRule="exact"/>
        <w:ind w:firstLine="527"/>
        <w:outlineLvl w:val="0"/>
        <w:rPr>
          <w:rFonts w:cs="Times New Roman"/>
          <w:sz w:val="24"/>
          <w:szCs w:val="24"/>
        </w:rPr>
      </w:pPr>
      <w:r>
        <w:rPr>
          <w:rFonts w:cs="Times New Roman"/>
          <w:sz w:val="24"/>
          <w:szCs w:val="24"/>
        </w:rPr>
        <w:t>4）技术资信标部分评审结束后公布各投标人的技术资信部分得分情况；</w:t>
      </w:r>
    </w:p>
    <w:p>
      <w:pPr>
        <w:snapToGrid w:val="0"/>
        <w:spacing w:line="440" w:lineRule="exact"/>
        <w:ind w:firstLine="527"/>
        <w:outlineLvl w:val="0"/>
        <w:rPr>
          <w:rFonts w:cs="Times New Roman"/>
          <w:sz w:val="24"/>
          <w:szCs w:val="24"/>
        </w:rPr>
      </w:pPr>
      <w:r>
        <w:rPr>
          <w:rFonts w:cs="Times New Roman"/>
          <w:sz w:val="24"/>
          <w:szCs w:val="24"/>
        </w:rPr>
        <w:t>5）开启技术资信评审合格的投标人的商务报价标，宣读各投标人报价等信息，并由记录人进行记录。</w:t>
      </w:r>
    </w:p>
    <w:p>
      <w:pPr>
        <w:snapToGrid w:val="0"/>
        <w:spacing w:line="440" w:lineRule="exact"/>
        <w:ind w:firstLine="527"/>
        <w:outlineLvl w:val="0"/>
        <w:rPr>
          <w:rFonts w:cs="Times New Roman"/>
          <w:sz w:val="24"/>
          <w:szCs w:val="24"/>
        </w:rPr>
      </w:pPr>
      <w:r>
        <w:rPr>
          <w:rFonts w:cs="Times New Roman"/>
          <w:sz w:val="24"/>
          <w:szCs w:val="24"/>
        </w:rPr>
        <w:t>6）商务标报价标唱标结束后，投标人代表应对唱读内容及记录结果当场进行校核和签字确认，如有异议应当场提出，否则视为默许同意。同时由记录人、监督人当场签字确认。</w:t>
      </w:r>
    </w:p>
    <w:p>
      <w:pPr>
        <w:snapToGrid w:val="0"/>
        <w:spacing w:line="440" w:lineRule="exact"/>
        <w:ind w:firstLine="527"/>
        <w:outlineLvl w:val="0"/>
        <w:rPr>
          <w:rFonts w:cs="Times New Roman"/>
          <w:sz w:val="24"/>
          <w:szCs w:val="24"/>
        </w:rPr>
      </w:pPr>
      <w:r>
        <w:rPr>
          <w:rFonts w:cs="Times New Roman"/>
          <w:sz w:val="24"/>
          <w:szCs w:val="24"/>
        </w:rPr>
        <w:t>7）开标会议结束。</w:t>
      </w:r>
    </w:p>
    <w:p>
      <w:pPr>
        <w:pStyle w:val="13"/>
        <w:adjustRightInd w:val="0"/>
        <w:snapToGri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（4）开启商务标时，投标文件中《开标一览表》(报价表)内容与投标文件中明细表内容不一致的，以开标一览表(报价表)为准。</w:t>
      </w:r>
    </w:p>
    <w:p>
      <w:pPr>
        <w:snapToGrid w:val="0"/>
        <w:spacing w:line="440" w:lineRule="exact"/>
        <w:ind w:firstLine="527"/>
        <w:rPr>
          <w:rFonts w:cs="Times New Roman"/>
          <w:sz w:val="24"/>
          <w:szCs w:val="24"/>
        </w:rPr>
      </w:pPr>
      <w:r>
        <w:rPr>
          <w:rFonts w:cs="Times New Roman"/>
          <w:sz w:val="24"/>
          <w:szCs w:val="24"/>
        </w:rPr>
        <w:t>投标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投标文件的解释发生异议的，以中文文本为准。</w:t>
      </w:r>
    </w:p>
    <w:p>
      <w:pPr>
        <w:snapToGrid w:val="0"/>
        <w:spacing w:line="440" w:lineRule="exact"/>
        <w:ind w:firstLine="241" w:firstLineChars="100"/>
        <w:rPr>
          <w:rFonts w:cs="Times New Roman"/>
          <w:sz w:val="24"/>
          <w:szCs w:val="24"/>
        </w:rPr>
      </w:pPr>
      <w:r>
        <w:rPr>
          <w:rFonts w:cs="Times New Roman"/>
          <w:b/>
          <w:sz w:val="24"/>
          <w:szCs w:val="24"/>
          <w:u w:val="single"/>
        </w:rPr>
        <w:t>（5） 供应商法定代表人或其授权代表人出席开标会议，并对开标记录予以签字确认。供应商采用邮寄的通过邮件形式予以确认。</w:t>
      </w:r>
    </w:p>
    <w:p>
      <w:pPr>
        <w:snapToGrid w:val="0"/>
        <w:spacing w:line="440" w:lineRule="exact"/>
        <w:ind w:firstLine="240" w:firstLineChars="100"/>
        <w:rPr>
          <w:rFonts w:cs="Times New Roman"/>
          <w:sz w:val="24"/>
          <w:szCs w:val="24"/>
        </w:rPr>
      </w:pPr>
      <w:r>
        <w:rPr>
          <w:rFonts w:cs="Times New Roman"/>
          <w:sz w:val="24"/>
          <w:szCs w:val="24"/>
        </w:rPr>
        <w:t>2、评标</w:t>
      </w:r>
    </w:p>
    <w:p>
      <w:pPr>
        <w:snapToGrid w:val="0"/>
        <w:spacing w:line="440" w:lineRule="exact"/>
        <w:ind w:firstLine="240" w:firstLineChars="100"/>
        <w:rPr>
          <w:rFonts w:cs="Times New Roman"/>
          <w:sz w:val="24"/>
          <w:szCs w:val="24"/>
        </w:rPr>
      </w:pPr>
      <w:r>
        <w:rPr>
          <w:rFonts w:cs="Times New Roman"/>
          <w:sz w:val="24"/>
          <w:szCs w:val="24"/>
        </w:rPr>
        <w:t>（1）评标由采购人依法组建的评标委员会负责，并独立履行下列职责：</w:t>
      </w:r>
    </w:p>
    <w:p>
      <w:pPr>
        <w:snapToGrid w:val="0"/>
        <w:spacing w:line="440" w:lineRule="exact"/>
        <w:ind w:firstLine="527"/>
        <w:rPr>
          <w:rFonts w:cs="Times New Roman"/>
          <w:sz w:val="24"/>
          <w:szCs w:val="24"/>
        </w:rPr>
      </w:pPr>
      <w:r>
        <w:rPr>
          <w:rFonts w:cs="Times New Roman"/>
          <w:sz w:val="24"/>
          <w:szCs w:val="24"/>
        </w:rPr>
        <w:t>1）审查投标文件是否符合招标文件要求，并作出评价；</w:t>
      </w:r>
    </w:p>
    <w:p>
      <w:pPr>
        <w:snapToGrid w:val="0"/>
        <w:spacing w:line="440" w:lineRule="exact"/>
        <w:ind w:firstLine="527"/>
        <w:rPr>
          <w:rFonts w:cs="Times New Roman"/>
          <w:sz w:val="24"/>
          <w:szCs w:val="24"/>
        </w:rPr>
      </w:pPr>
      <w:r>
        <w:rPr>
          <w:rFonts w:cs="Times New Roman"/>
          <w:sz w:val="24"/>
          <w:szCs w:val="24"/>
        </w:rPr>
        <w:t>2）要求投标供应商对投标文件有关事项作出解释或者澄清；</w:t>
      </w:r>
    </w:p>
    <w:p>
      <w:pPr>
        <w:snapToGrid w:val="0"/>
        <w:spacing w:line="440" w:lineRule="exact"/>
        <w:ind w:firstLine="527"/>
        <w:rPr>
          <w:rFonts w:cs="Times New Roman"/>
          <w:sz w:val="24"/>
          <w:szCs w:val="24"/>
        </w:rPr>
      </w:pPr>
      <w:r>
        <w:rPr>
          <w:rFonts w:cs="Times New Roman"/>
          <w:sz w:val="24"/>
          <w:szCs w:val="24"/>
        </w:rPr>
        <w:t>3）按照招标文件规定的评标办法确定中标供应商名单；</w:t>
      </w:r>
    </w:p>
    <w:p>
      <w:pPr>
        <w:snapToGrid w:val="0"/>
        <w:spacing w:line="440" w:lineRule="exact"/>
        <w:ind w:firstLine="527"/>
        <w:rPr>
          <w:rFonts w:cs="Times New Roman"/>
          <w:sz w:val="24"/>
          <w:szCs w:val="24"/>
        </w:rPr>
      </w:pPr>
      <w:r>
        <w:rPr>
          <w:rFonts w:cs="Times New Roman"/>
          <w:sz w:val="24"/>
          <w:szCs w:val="24"/>
        </w:rPr>
        <w:t>4）向采购机构或者有关部门报告非法干预评标工作的行为。</w:t>
      </w:r>
    </w:p>
    <w:p>
      <w:pPr>
        <w:snapToGrid w:val="0"/>
        <w:spacing w:line="440" w:lineRule="exact"/>
        <w:ind w:firstLine="240" w:firstLineChars="100"/>
        <w:rPr>
          <w:rFonts w:cs="Times New Roman"/>
          <w:sz w:val="24"/>
          <w:szCs w:val="24"/>
        </w:rPr>
      </w:pPr>
      <w:r>
        <w:rPr>
          <w:rFonts w:cs="Times New Roman"/>
          <w:sz w:val="24"/>
          <w:szCs w:val="24"/>
        </w:rPr>
        <w:t>（2）评标应当遵循下列工作程序：</w:t>
      </w:r>
    </w:p>
    <w:p>
      <w:pPr>
        <w:snapToGrid w:val="0"/>
        <w:spacing w:line="440" w:lineRule="exact"/>
        <w:ind w:firstLine="527"/>
        <w:rPr>
          <w:rFonts w:cs="Times New Roman"/>
          <w:sz w:val="24"/>
          <w:szCs w:val="24"/>
        </w:rPr>
      </w:pPr>
      <w:r>
        <w:rPr>
          <w:rFonts w:cs="Times New Roman"/>
          <w:sz w:val="24"/>
          <w:szCs w:val="24"/>
        </w:rPr>
        <w:t>1）投标文件初审。初审分为资格性检查和符合性检查。</w:t>
      </w:r>
    </w:p>
    <w:p>
      <w:pPr>
        <w:snapToGrid w:val="0"/>
        <w:spacing w:line="440" w:lineRule="exact"/>
        <w:ind w:firstLine="477" w:firstLineChars="198"/>
        <w:rPr>
          <w:rFonts w:cs="Times New Roman"/>
          <w:b/>
          <w:sz w:val="24"/>
          <w:szCs w:val="24"/>
        </w:rPr>
      </w:pPr>
      <w:r>
        <w:rPr>
          <w:rFonts w:hint="eastAsia" w:ascii="宋体" w:hAnsi="宋体" w:cs="宋体"/>
          <w:b/>
          <w:sz w:val="24"/>
          <w:szCs w:val="24"/>
        </w:rPr>
        <w:t>①</w:t>
      </w:r>
      <w:r>
        <w:rPr>
          <w:rFonts w:cs="Times New Roman"/>
          <w:b/>
          <w:sz w:val="24"/>
          <w:szCs w:val="24"/>
        </w:rPr>
        <w:t>资格性检查。依据法律、法规和招标文件的规定，采购人</w:t>
      </w:r>
      <w:r>
        <w:rPr>
          <w:rFonts w:hint="eastAsia" w:cs="Times New Roman"/>
          <w:b/>
          <w:sz w:val="24"/>
          <w:szCs w:val="24"/>
        </w:rPr>
        <w:t>或评标委员会</w:t>
      </w:r>
      <w:r>
        <w:rPr>
          <w:rFonts w:cs="Times New Roman"/>
          <w:b/>
          <w:sz w:val="24"/>
          <w:szCs w:val="24"/>
        </w:rPr>
        <w:t>对投标文件中的资格证明进行审查，以确定投标供应商是否具备投标资格。</w:t>
      </w:r>
    </w:p>
    <w:p>
      <w:pPr>
        <w:snapToGrid w:val="0"/>
        <w:spacing w:line="440" w:lineRule="exact"/>
        <w:ind w:firstLine="475" w:firstLineChars="198"/>
        <w:rPr>
          <w:rFonts w:cs="Times New Roman"/>
          <w:b/>
          <w:sz w:val="24"/>
          <w:szCs w:val="24"/>
          <w:u w:val="single"/>
        </w:rPr>
      </w:pPr>
      <w:r>
        <w:rPr>
          <w:rFonts w:hint="eastAsia" w:ascii="宋体" w:hAnsi="宋体" w:cs="宋体"/>
          <w:sz w:val="24"/>
          <w:szCs w:val="24"/>
        </w:rPr>
        <w:t>②</w:t>
      </w:r>
      <w:r>
        <w:rPr>
          <w:rFonts w:cs="Times New Roman"/>
          <w:sz w:val="24"/>
          <w:szCs w:val="24"/>
        </w:rPr>
        <w:t>符合性检查。依据招标文件的规定，从投标文件的有效性、完整性和对招标文件的响应程度进行审查，以确定是否对招标文件的实质性要求作出响应。</w:t>
      </w:r>
      <w:r>
        <w:rPr>
          <w:rFonts w:cs="Times New Roman"/>
          <w:b/>
          <w:sz w:val="24"/>
          <w:szCs w:val="24"/>
          <w:u w:val="single"/>
        </w:rPr>
        <w:t>招标文件中加“下划线”的条款、加“▲”的条款，为实质性条款。对标书中规定的实质性条款，如响应时出现有微小偏差的，判定是否构成实质性偏离，由评委会判定。</w:t>
      </w:r>
    </w:p>
    <w:p>
      <w:pPr>
        <w:snapToGrid w:val="0"/>
        <w:spacing w:line="440" w:lineRule="exact"/>
        <w:ind w:firstLine="475" w:firstLineChars="198"/>
        <w:rPr>
          <w:rFonts w:cs="Times New Roman"/>
          <w:sz w:val="24"/>
          <w:szCs w:val="24"/>
        </w:rPr>
      </w:pPr>
      <w:r>
        <w:rPr>
          <w:rFonts w:cs="Times New Roman"/>
          <w:sz w:val="24"/>
          <w:szCs w:val="24"/>
        </w:rPr>
        <w:t xml:space="preserve"> 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snapToGrid w:val="0"/>
        <w:spacing w:line="440" w:lineRule="exact"/>
        <w:ind w:firstLine="475" w:firstLineChars="198"/>
        <w:rPr>
          <w:rFonts w:cs="Times New Roman"/>
          <w:sz w:val="24"/>
          <w:szCs w:val="24"/>
        </w:rPr>
      </w:pPr>
      <w:r>
        <w:rPr>
          <w:rFonts w:cs="Times New Roman"/>
          <w:sz w:val="24"/>
          <w:szCs w:val="24"/>
        </w:rPr>
        <w:t xml:space="preserve"> 3）比较与评价。按招标文件中规定的评标方法和标准，对资格性检查和符合性检查合格的投标文件进行商务和技术评估，综合比较与评价。</w:t>
      </w:r>
    </w:p>
    <w:p>
      <w:pPr>
        <w:snapToGrid w:val="0"/>
        <w:spacing w:line="440" w:lineRule="exact"/>
        <w:ind w:firstLine="241" w:firstLineChars="100"/>
        <w:rPr>
          <w:rFonts w:cs="Times New Roman"/>
          <w:b/>
          <w:sz w:val="24"/>
          <w:szCs w:val="24"/>
          <w:u w:val="single"/>
        </w:rPr>
      </w:pPr>
      <w:r>
        <w:rPr>
          <w:rFonts w:cs="Times New Roman"/>
          <w:b/>
          <w:sz w:val="24"/>
          <w:szCs w:val="24"/>
          <w:u w:val="single"/>
        </w:rPr>
        <w:t>（3）▲评标委员会发现投标文件有下列情形之一的属于重大偏差(评标委员会按少数服从多数原则认定),按照无效投标处理：</w:t>
      </w:r>
    </w:p>
    <w:p>
      <w:pPr>
        <w:snapToGrid w:val="0"/>
        <w:spacing w:line="440" w:lineRule="exact"/>
        <w:ind w:firstLine="527"/>
        <w:rPr>
          <w:rFonts w:cs="Times New Roman"/>
          <w:sz w:val="24"/>
          <w:szCs w:val="24"/>
        </w:rPr>
      </w:pPr>
      <w:r>
        <w:rPr>
          <w:rFonts w:cs="Times New Roman"/>
          <w:sz w:val="24"/>
          <w:szCs w:val="24"/>
        </w:rPr>
        <w:t>1）未按招标文件要求编制或字迹模糊、辨认不清的投标文件；</w:t>
      </w:r>
    </w:p>
    <w:p>
      <w:pPr>
        <w:snapToGrid w:val="0"/>
        <w:spacing w:line="440" w:lineRule="exact"/>
        <w:ind w:firstLine="527"/>
        <w:rPr>
          <w:rFonts w:cs="Times New Roman"/>
          <w:sz w:val="24"/>
          <w:szCs w:val="24"/>
        </w:rPr>
      </w:pPr>
      <w:r>
        <w:rPr>
          <w:rFonts w:cs="Times New Roman"/>
          <w:sz w:val="24"/>
          <w:szCs w:val="24"/>
        </w:rPr>
        <w:t>2）供应商递交两份或两份以上内容不同的投标文件，未声明哪一份有效的；</w:t>
      </w:r>
    </w:p>
    <w:p>
      <w:pPr>
        <w:snapToGrid w:val="0"/>
        <w:spacing w:line="440" w:lineRule="exact"/>
        <w:ind w:firstLine="527"/>
        <w:rPr>
          <w:rFonts w:cs="Times New Roman"/>
          <w:sz w:val="24"/>
          <w:szCs w:val="24"/>
        </w:rPr>
      </w:pPr>
      <w:r>
        <w:rPr>
          <w:rFonts w:cs="Times New Roman"/>
          <w:sz w:val="24"/>
          <w:szCs w:val="24"/>
        </w:rPr>
        <w:t>3）投标函、法人授权委托书、开标一览表没有按招标文件格式要求加盖有效公章；无法定代表人（授权代表）签字（或印章）；</w:t>
      </w:r>
    </w:p>
    <w:p>
      <w:pPr>
        <w:snapToGrid w:val="0"/>
        <w:spacing w:line="440" w:lineRule="exact"/>
        <w:ind w:firstLine="527"/>
        <w:rPr>
          <w:rFonts w:cs="Times New Roman"/>
          <w:sz w:val="24"/>
          <w:szCs w:val="24"/>
        </w:rPr>
      </w:pPr>
      <w:r>
        <w:rPr>
          <w:rFonts w:cs="Times New Roman"/>
          <w:sz w:val="24"/>
          <w:szCs w:val="24"/>
        </w:rPr>
        <w:t>4）供应商技术资信投标文件中出现商务报价；</w:t>
      </w:r>
    </w:p>
    <w:p>
      <w:pPr>
        <w:snapToGrid w:val="0"/>
        <w:spacing w:line="440" w:lineRule="exact"/>
        <w:ind w:firstLine="527"/>
        <w:rPr>
          <w:rFonts w:cs="Times New Roman"/>
          <w:sz w:val="24"/>
          <w:szCs w:val="24"/>
        </w:rPr>
      </w:pPr>
      <w:r>
        <w:rPr>
          <w:rFonts w:cs="Times New Roman"/>
          <w:sz w:val="24"/>
          <w:szCs w:val="24"/>
        </w:rPr>
        <w:t>5）明显不符合技术要求或达不到招标文件技术规格的主要参数的投标文件；</w:t>
      </w:r>
    </w:p>
    <w:p>
      <w:pPr>
        <w:snapToGrid w:val="0"/>
        <w:spacing w:line="440" w:lineRule="exact"/>
        <w:ind w:firstLine="527"/>
        <w:rPr>
          <w:rFonts w:cs="Times New Roman"/>
          <w:sz w:val="24"/>
          <w:szCs w:val="24"/>
        </w:rPr>
      </w:pPr>
      <w:r>
        <w:rPr>
          <w:rFonts w:cs="Times New Roman"/>
          <w:sz w:val="24"/>
          <w:szCs w:val="24"/>
        </w:rPr>
        <w:t>6）不符合招标文件中规定的实质性要求的投标文件，是否为偏离实质性要求由评标委员会按少数服从多数原则认定。</w:t>
      </w:r>
    </w:p>
    <w:p>
      <w:pPr>
        <w:snapToGrid w:val="0"/>
        <w:spacing w:line="440" w:lineRule="exact"/>
        <w:ind w:firstLine="527"/>
        <w:rPr>
          <w:rFonts w:cs="Times New Roman"/>
          <w:sz w:val="24"/>
          <w:szCs w:val="24"/>
        </w:rPr>
      </w:pPr>
      <w:r>
        <w:rPr>
          <w:rFonts w:cs="Times New Roman"/>
          <w:sz w:val="24"/>
          <w:szCs w:val="24"/>
        </w:rPr>
        <w:t>7）供应商的投标文件中有不明确的问题或其报价明显不合理且又不能合理说明或者不能提供相关证明材料的；</w:t>
      </w:r>
    </w:p>
    <w:p>
      <w:pPr>
        <w:snapToGrid w:val="0"/>
        <w:spacing w:line="440" w:lineRule="exact"/>
        <w:ind w:firstLine="527"/>
        <w:rPr>
          <w:rFonts w:cs="Times New Roman"/>
          <w:b/>
          <w:sz w:val="24"/>
          <w:szCs w:val="24"/>
        </w:rPr>
      </w:pPr>
      <w:r>
        <w:rPr>
          <w:rFonts w:cs="Times New Roman"/>
          <w:b/>
          <w:sz w:val="24"/>
          <w:szCs w:val="24"/>
        </w:rPr>
        <w:t>8）存在串标、抬标或弄虚作假情况的；串标认定按以下情况：</w:t>
      </w:r>
    </w:p>
    <w:p>
      <w:pPr>
        <w:snapToGrid w:val="0"/>
        <w:spacing w:line="440" w:lineRule="exact"/>
        <w:ind w:firstLine="621" w:firstLineChars="259"/>
        <w:rPr>
          <w:rFonts w:cs="Times New Roman"/>
          <w:bCs/>
          <w:sz w:val="24"/>
          <w:szCs w:val="24"/>
        </w:rPr>
      </w:pPr>
      <w:r>
        <w:rPr>
          <w:rFonts w:hint="eastAsia" w:ascii="宋体" w:hAnsi="宋体" w:cs="宋体"/>
          <w:bCs/>
          <w:sz w:val="24"/>
          <w:szCs w:val="24"/>
        </w:rPr>
        <w:t>①</w:t>
      </w:r>
      <w:r>
        <w:rPr>
          <w:rFonts w:cs="Times New Roman"/>
          <w:bCs/>
          <w:sz w:val="24"/>
          <w:szCs w:val="24"/>
        </w:rPr>
        <w:t>不同供应商的投标文件由同一单位或者个人编制；</w:t>
      </w:r>
    </w:p>
    <w:p>
      <w:pPr>
        <w:snapToGrid w:val="0"/>
        <w:spacing w:line="440" w:lineRule="exact"/>
        <w:ind w:firstLine="621" w:firstLineChars="259"/>
        <w:rPr>
          <w:rFonts w:cs="Times New Roman"/>
          <w:bCs/>
          <w:sz w:val="24"/>
          <w:szCs w:val="24"/>
        </w:rPr>
      </w:pPr>
      <w:r>
        <w:rPr>
          <w:rFonts w:hint="eastAsia" w:ascii="宋体" w:hAnsi="宋体" w:cs="宋体"/>
          <w:bCs/>
          <w:sz w:val="24"/>
          <w:szCs w:val="24"/>
        </w:rPr>
        <w:t>②</w:t>
      </w:r>
      <w:r>
        <w:rPr>
          <w:rFonts w:cs="Times New Roman"/>
          <w:bCs/>
          <w:sz w:val="24"/>
          <w:szCs w:val="24"/>
        </w:rPr>
        <w:t>不同供应商委托同一单位或者个人办理投标事宜；</w:t>
      </w:r>
    </w:p>
    <w:p>
      <w:pPr>
        <w:snapToGrid w:val="0"/>
        <w:spacing w:line="440" w:lineRule="exact"/>
        <w:ind w:firstLine="621" w:firstLineChars="259"/>
        <w:rPr>
          <w:rFonts w:cs="Times New Roman"/>
          <w:bCs/>
          <w:sz w:val="24"/>
          <w:szCs w:val="24"/>
        </w:rPr>
      </w:pPr>
      <w:r>
        <w:rPr>
          <w:rFonts w:hint="eastAsia" w:ascii="宋体" w:hAnsi="宋体" w:cs="宋体"/>
          <w:bCs/>
          <w:sz w:val="24"/>
          <w:szCs w:val="24"/>
        </w:rPr>
        <w:t>③</w:t>
      </w:r>
      <w:r>
        <w:rPr>
          <w:rFonts w:cs="Times New Roman"/>
          <w:bCs/>
          <w:sz w:val="24"/>
          <w:szCs w:val="24"/>
        </w:rPr>
        <w:t>不同供应商的投标文件载明的项目管理成员为同一人；</w:t>
      </w:r>
    </w:p>
    <w:p>
      <w:pPr>
        <w:snapToGrid w:val="0"/>
        <w:spacing w:line="440" w:lineRule="exact"/>
        <w:ind w:firstLine="621" w:firstLineChars="259"/>
        <w:rPr>
          <w:rFonts w:cs="Times New Roman"/>
          <w:bCs/>
          <w:sz w:val="24"/>
          <w:szCs w:val="24"/>
        </w:rPr>
      </w:pPr>
      <w:r>
        <w:rPr>
          <w:rFonts w:hint="eastAsia" w:ascii="宋体" w:hAnsi="宋体" w:cs="宋体"/>
          <w:bCs/>
          <w:sz w:val="24"/>
          <w:szCs w:val="24"/>
        </w:rPr>
        <w:t>④</w:t>
      </w:r>
      <w:r>
        <w:rPr>
          <w:rFonts w:cs="Times New Roman"/>
          <w:bCs/>
          <w:sz w:val="24"/>
          <w:szCs w:val="24"/>
        </w:rPr>
        <w:t>不同供应商的投标文件异常一致或者投标报价呈规律性差异；</w:t>
      </w:r>
    </w:p>
    <w:p>
      <w:pPr>
        <w:snapToGrid w:val="0"/>
        <w:spacing w:line="440" w:lineRule="exact"/>
        <w:ind w:firstLine="621" w:firstLineChars="259"/>
        <w:rPr>
          <w:rFonts w:cs="Times New Roman"/>
          <w:bCs/>
          <w:sz w:val="24"/>
          <w:szCs w:val="24"/>
        </w:rPr>
      </w:pPr>
      <w:r>
        <w:rPr>
          <w:rFonts w:hint="eastAsia" w:ascii="宋体" w:hAnsi="宋体" w:cs="宋体"/>
          <w:bCs/>
          <w:sz w:val="24"/>
          <w:szCs w:val="24"/>
        </w:rPr>
        <w:t>⑤</w:t>
      </w:r>
      <w:r>
        <w:rPr>
          <w:rFonts w:cs="Times New Roman"/>
          <w:bCs/>
          <w:sz w:val="24"/>
          <w:szCs w:val="24"/>
        </w:rPr>
        <w:t>不同供应商的投标文件相互混装；</w:t>
      </w:r>
    </w:p>
    <w:p>
      <w:pPr>
        <w:snapToGrid w:val="0"/>
        <w:spacing w:line="440" w:lineRule="exact"/>
        <w:ind w:firstLine="480" w:firstLineChars="200"/>
        <w:rPr>
          <w:rFonts w:cs="Times New Roman"/>
          <w:sz w:val="24"/>
          <w:szCs w:val="24"/>
          <w:u w:val="single"/>
        </w:rPr>
      </w:pPr>
      <w:r>
        <w:rPr>
          <w:rFonts w:cs="Times New Roman"/>
          <w:sz w:val="24"/>
          <w:szCs w:val="24"/>
        </w:rPr>
        <w:t>9）其他经评标委员会认定的未能在实质上响应的或违反国家有关规定的投标文件。</w:t>
      </w:r>
    </w:p>
    <w:p>
      <w:pPr>
        <w:snapToGrid w:val="0"/>
        <w:spacing w:line="440" w:lineRule="exact"/>
        <w:ind w:firstLine="240" w:firstLineChars="100"/>
        <w:rPr>
          <w:rFonts w:cs="Times New Roman"/>
          <w:sz w:val="24"/>
          <w:szCs w:val="24"/>
        </w:rPr>
      </w:pPr>
      <w:r>
        <w:rPr>
          <w:rFonts w:cs="Times New Roman"/>
          <w:sz w:val="24"/>
          <w:szCs w:val="24"/>
        </w:rPr>
        <w:t>（4）实质上没有响应招标文件要求的投标将被拒绝。供应商不得通过修正或撤消不合要求的偏离从而使其投标成为实质上响应的投标。</w:t>
      </w:r>
    </w:p>
    <w:p>
      <w:pPr>
        <w:snapToGrid w:val="0"/>
        <w:spacing w:line="440" w:lineRule="exact"/>
        <w:ind w:firstLine="241" w:firstLineChars="100"/>
        <w:rPr>
          <w:rFonts w:cs="Times New Roman"/>
          <w:b/>
          <w:sz w:val="24"/>
          <w:szCs w:val="24"/>
        </w:rPr>
      </w:pPr>
      <w:r>
        <w:rPr>
          <w:rFonts w:cs="Times New Roman"/>
          <w:b/>
          <w:sz w:val="24"/>
          <w:szCs w:val="24"/>
        </w:rPr>
        <w:t>（5）开启供应商商务报价文件后发现价格、数量有误，其投标价将按下述原则处理：</w:t>
      </w:r>
    </w:p>
    <w:p>
      <w:pPr>
        <w:snapToGrid w:val="0"/>
        <w:spacing w:line="440" w:lineRule="exact"/>
        <w:ind w:firstLine="527"/>
        <w:rPr>
          <w:rFonts w:cs="Times New Roman"/>
          <w:sz w:val="24"/>
          <w:szCs w:val="24"/>
        </w:rPr>
      </w:pPr>
      <w:r>
        <w:rPr>
          <w:rFonts w:cs="Times New Roman"/>
          <w:sz w:val="24"/>
          <w:szCs w:val="24"/>
        </w:rPr>
        <w:t>1) 任何有漏去一些小项货物或服务的投标将被视为其费用已包含在投标总价中，投标价格不予调整。如果供应商不接受上述处理方式，将做为无效投标。</w:t>
      </w:r>
    </w:p>
    <w:p>
      <w:pPr>
        <w:snapToGrid w:val="0"/>
        <w:spacing w:line="440" w:lineRule="exact"/>
        <w:ind w:firstLine="527"/>
        <w:rPr>
          <w:rFonts w:cs="Times New Roman"/>
          <w:sz w:val="24"/>
          <w:szCs w:val="24"/>
        </w:rPr>
      </w:pPr>
      <w:r>
        <w:rPr>
          <w:rFonts w:cs="Times New Roman"/>
          <w:sz w:val="24"/>
          <w:szCs w:val="24"/>
        </w:rPr>
        <w:t>2) 任何有多报一些小项工程或货物的投标其投标价不予调整，如果该供应商中标，则合同价格必须为核减掉多报的一些小项工程或货物后的价格。如果供应商不接受上述处理方式，将做为无效投标。</w:t>
      </w:r>
    </w:p>
    <w:p>
      <w:pPr>
        <w:snapToGrid w:val="0"/>
        <w:spacing w:line="440" w:lineRule="exact"/>
        <w:ind w:firstLine="527"/>
        <w:rPr>
          <w:rFonts w:cs="Times New Roman"/>
          <w:sz w:val="24"/>
          <w:szCs w:val="24"/>
        </w:rPr>
      </w:pPr>
      <w:r>
        <w:rPr>
          <w:rFonts w:cs="Times New Roman"/>
          <w:sz w:val="24"/>
          <w:szCs w:val="24"/>
        </w:rPr>
        <w:t>3）对于计算错误的其投标价不予调整，如果该供应商中标，如其投标价格计算错误导致多报者合同价格予以据实核减，少报者合同价格不予调整。如果供应商不接受上述处理方式，将做为无效投标。</w:t>
      </w:r>
    </w:p>
    <w:p>
      <w:pPr>
        <w:snapToGrid w:val="0"/>
        <w:spacing w:line="440" w:lineRule="exact"/>
        <w:ind w:firstLine="527"/>
        <w:rPr>
          <w:rFonts w:cs="Times New Roman"/>
          <w:sz w:val="24"/>
          <w:szCs w:val="24"/>
        </w:rPr>
      </w:pPr>
      <w:r>
        <w:rPr>
          <w:rFonts w:cs="Times New Roman"/>
          <w:b/>
          <w:sz w:val="24"/>
          <w:szCs w:val="24"/>
          <w:u w:val="single"/>
        </w:rPr>
        <w:t>4）对于计算错误，多报或漏报的一些小项工程或货物、服务的仅仅为非实质性重大偏差范围内的偏离，并经过评标委员会按少数服从多数原则认定为细微偏差，评审时其投标价不予调整。</w:t>
      </w:r>
    </w:p>
    <w:p>
      <w:pPr>
        <w:snapToGrid w:val="0"/>
        <w:spacing w:line="440" w:lineRule="exact"/>
        <w:ind w:firstLine="240" w:firstLineChars="100"/>
        <w:rPr>
          <w:rFonts w:cs="Times New Roman"/>
          <w:sz w:val="24"/>
          <w:szCs w:val="24"/>
        </w:rPr>
      </w:pPr>
      <w:r>
        <w:rPr>
          <w:rFonts w:cs="Times New Roman"/>
          <w:sz w:val="24"/>
          <w:szCs w:val="24"/>
        </w:rPr>
        <w:t>（6）评标委员会对投标文件的判定，只依据投标内容本身，不依靠开标后的任何外来证明。</w:t>
      </w:r>
    </w:p>
    <w:p>
      <w:pPr>
        <w:snapToGrid w:val="0"/>
        <w:spacing w:line="440" w:lineRule="exact"/>
        <w:ind w:firstLine="240" w:firstLineChars="100"/>
        <w:rPr>
          <w:rFonts w:cs="Times New Roman"/>
          <w:sz w:val="24"/>
          <w:szCs w:val="24"/>
        </w:rPr>
      </w:pPr>
      <w:r>
        <w:rPr>
          <w:rFonts w:cs="Times New Roman"/>
          <w:sz w:val="24"/>
          <w:szCs w:val="24"/>
        </w:rPr>
        <w:t>（7）评标委员会在评标中，不得改变招标文件中规定的评标标准、方法和中标条件。</w:t>
      </w:r>
    </w:p>
    <w:p>
      <w:pPr>
        <w:snapToGrid w:val="0"/>
        <w:spacing w:line="440" w:lineRule="exact"/>
        <w:ind w:firstLine="527"/>
        <w:rPr>
          <w:rFonts w:cs="Times New Roman"/>
          <w:sz w:val="24"/>
          <w:szCs w:val="24"/>
        </w:rPr>
      </w:pPr>
      <w:r>
        <w:rPr>
          <w:rFonts w:cs="Times New Roman"/>
          <w:sz w:val="24"/>
          <w:szCs w:val="24"/>
        </w:rPr>
        <w:t>3、投标文件的澄清</w:t>
      </w:r>
    </w:p>
    <w:p>
      <w:pPr>
        <w:snapToGrid w:val="0"/>
        <w:spacing w:line="440" w:lineRule="exact"/>
        <w:ind w:firstLine="240" w:firstLineChars="100"/>
        <w:rPr>
          <w:rFonts w:cs="Times New Roman"/>
          <w:sz w:val="24"/>
          <w:szCs w:val="24"/>
        </w:rPr>
      </w:pPr>
      <w:r>
        <w:rPr>
          <w:rFonts w:cs="Times New Roman"/>
          <w:sz w:val="24"/>
          <w:szCs w:val="24"/>
        </w:rPr>
        <w:t>（1）为有利于对投标文件的比较和评议，必要时采购人及评标委员会可要求供应商对投标文件及合同条款进行澄清，并做出书面答复。书面答复须有投标授权代表签字并作为投标内容的一部分。</w:t>
      </w:r>
    </w:p>
    <w:p>
      <w:pPr>
        <w:snapToGrid w:val="0"/>
        <w:spacing w:line="440" w:lineRule="exact"/>
        <w:ind w:firstLine="240" w:firstLineChars="100"/>
        <w:rPr>
          <w:rFonts w:cs="Times New Roman"/>
          <w:sz w:val="24"/>
          <w:szCs w:val="24"/>
        </w:rPr>
      </w:pPr>
      <w:r>
        <w:rPr>
          <w:rFonts w:cs="Times New Roman"/>
          <w:sz w:val="24"/>
          <w:szCs w:val="24"/>
        </w:rPr>
        <w:t xml:space="preserve">（2）供应商对投标文件的澄清不得寻求、提供或允许改变投标实质性内容。 </w:t>
      </w:r>
    </w:p>
    <w:p>
      <w:pPr>
        <w:pStyle w:val="13"/>
        <w:adjustRightInd w:val="0"/>
        <w:snapToGrid w:val="0"/>
        <w:spacing w:line="440" w:lineRule="exact"/>
        <w:ind w:firstLine="470" w:firstLineChars="196"/>
        <w:rPr>
          <w:rFonts w:ascii="Times New Roman" w:hAnsi="Times New Roman" w:cs="Times New Roman"/>
          <w:sz w:val="24"/>
          <w:szCs w:val="24"/>
        </w:rPr>
      </w:pPr>
      <w:r>
        <w:rPr>
          <w:rFonts w:ascii="Times New Roman" w:hAnsi="Times New Roman" w:cs="Times New Roman"/>
          <w:sz w:val="24"/>
          <w:szCs w:val="24"/>
        </w:rPr>
        <w:t>4、截止时间及评审期间，出现有效供应商不足三家的，采购组织机构应当中止采购活动，依法重新组织采购。</w:t>
      </w:r>
    </w:p>
    <w:p>
      <w:pPr>
        <w:snapToGrid w:val="0"/>
        <w:spacing w:line="440" w:lineRule="exact"/>
        <w:ind w:firstLine="527"/>
        <w:rPr>
          <w:rFonts w:cs="Times New Roman"/>
          <w:sz w:val="24"/>
          <w:szCs w:val="24"/>
        </w:rPr>
      </w:pPr>
      <w:r>
        <w:rPr>
          <w:rFonts w:cs="Times New Roman"/>
          <w:sz w:val="24"/>
          <w:szCs w:val="24"/>
        </w:rPr>
        <w:t>5、评标原则</w:t>
      </w:r>
    </w:p>
    <w:p>
      <w:pPr>
        <w:snapToGrid w:val="0"/>
        <w:spacing w:line="440" w:lineRule="exact"/>
        <w:ind w:firstLine="527"/>
        <w:rPr>
          <w:rFonts w:cs="Times New Roman"/>
          <w:sz w:val="24"/>
          <w:szCs w:val="24"/>
        </w:rPr>
      </w:pPr>
      <w:r>
        <w:rPr>
          <w:rFonts w:cs="Times New Roman"/>
          <w:sz w:val="24"/>
          <w:szCs w:val="24"/>
        </w:rPr>
        <w:t>评标委员会按照招标文件的要求和条件对投标文件进行技术和商务评估，综合比较与评价。</w:t>
      </w:r>
    </w:p>
    <w:p>
      <w:pPr>
        <w:snapToGrid w:val="0"/>
        <w:spacing w:line="440" w:lineRule="exact"/>
        <w:ind w:firstLine="527"/>
        <w:rPr>
          <w:rFonts w:cs="Times New Roman"/>
          <w:b/>
          <w:sz w:val="24"/>
          <w:szCs w:val="24"/>
        </w:rPr>
      </w:pPr>
      <w:r>
        <w:rPr>
          <w:rFonts w:cs="Times New Roman"/>
          <w:b/>
          <w:sz w:val="24"/>
          <w:szCs w:val="24"/>
        </w:rPr>
        <w:t>评标办法具体见本招标文件第六部分。</w:t>
      </w:r>
    </w:p>
    <w:p>
      <w:pPr>
        <w:snapToGrid w:val="0"/>
        <w:spacing w:line="440" w:lineRule="exact"/>
        <w:ind w:firstLine="527"/>
        <w:rPr>
          <w:rFonts w:cs="Times New Roman"/>
          <w:sz w:val="24"/>
          <w:szCs w:val="24"/>
        </w:rPr>
      </w:pPr>
      <w:r>
        <w:rPr>
          <w:rFonts w:cs="Times New Roman"/>
          <w:sz w:val="24"/>
          <w:szCs w:val="24"/>
        </w:rPr>
        <w:t>6、评标过程中遇到特殊情况，由评标委员会遵循公开、公正原则，采取投票方式按照少数服从多数原则决定。</w:t>
      </w:r>
    </w:p>
    <w:p>
      <w:pPr>
        <w:snapToGrid w:val="0"/>
        <w:spacing w:line="440" w:lineRule="exact"/>
        <w:ind w:firstLine="527"/>
        <w:outlineLvl w:val="0"/>
        <w:rPr>
          <w:rFonts w:cs="Times New Roman"/>
          <w:sz w:val="24"/>
          <w:szCs w:val="24"/>
        </w:rPr>
      </w:pPr>
      <w:r>
        <w:rPr>
          <w:rFonts w:cs="Times New Roman"/>
          <w:sz w:val="24"/>
          <w:szCs w:val="24"/>
        </w:rPr>
        <w:t>七、授予合同</w:t>
      </w:r>
    </w:p>
    <w:p>
      <w:pPr>
        <w:snapToGrid w:val="0"/>
        <w:spacing w:line="440" w:lineRule="exact"/>
        <w:ind w:firstLine="527"/>
        <w:rPr>
          <w:rFonts w:cs="Times New Roman"/>
          <w:sz w:val="24"/>
          <w:szCs w:val="24"/>
        </w:rPr>
      </w:pPr>
      <w:r>
        <w:rPr>
          <w:rFonts w:cs="Times New Roman"/>
          <w:sz w:val="24"/>
          <w:szCs w:val="24"/>
        </w:rPr>
        <w:t>1、决标</w:t>
      </w:r>
    </w:p>
    <w:p>
      <w:pPr>
        <w:snapToGrid w:val="0"/>
        <w:spacing w:line="440" w:lineRule="exact"/>
        <w:ind w:firstLine="527"/>
        <w:rPr>
          <w:rFonts w:cs="Times New Roman"/>
          <w:sz w:val="24"/>
          <w:szCs w:val="24"/>
        </w:rPr>
      </w:pPr>
      <w:r>
        <w:rPr>
          <w:rFonts w:cs="Times New Roman"/>
          <w:sz w:val="24"/>
          <w:szCs w:val="24"/>
        </w:rPr>
        <w:t>评标结束后，评标委员会按照招标文件确定的评标办法，根据采购人授权确定中标供应商。</w:t>
      </w:r>
    </w:p>
    <w:p>
      <w:pPr>
        <w:snapToGrid w:val="0"/>
        <w:spacing w:line="440" w:lineRule="exact"/>
        <w:ind w:firstLine="595" w:firstLineChars="248"/>
        <w:rPr>
          <w:rFonts w:cs="Times New Roman"/>
          <w:sz w:val="24"/>
          <w:szCs w:val="24"/>
        </w:rPr>
      </w:pPr>
      <w:r>
        <w:rPr>
          <w:rFonts w:cs="Times New Roman"/>
          <w:sz w:val="24"/>
          <w:szCs w:val="24"/>
        </w:rPr>
        <w:t>2、中标通知书</w:t>
      </w:r>
    </w:p>
    <w:p>
      <w:pPr>
        <w:snapToGrid w:val="0"/>
        <w:spacing w:line="440" w:lineRule="exact"/>
        <w:ind w:firstLine="480" w:firstLineChars="200"/>
        <w:rPr>
          <w:rFonts w:cs="Times New Roman"/>
          <w:sz w:val="24"/>
          <w:szCs w:val="24"/>
        </w:rPr>
      </w:pPr>
      <w:r>
        <w:rPr>
          <w:rFonts w:cs="Times New Roman"/>
          <w:sz w:val="24"/>
          <w:szCs w:val="24"/>
        </w:rPr>
        <w:t>（1）招标机构</w:t>
      </w:r>
      <w:r>
        <w:rPr>
          <w:rFonts w:cs="Times New Roman"/>
          <w:spacing w:val="10"/>
          <w:sz w:val="24"/>
          <w:szCs w:val="24"/>
        </w:rPr>
        <w:t>在浙江省政府采</w:t>
      </w:r>
      <w:r>
        <w:rPr>
          <w:rFonts w:cs="Times New Roman"/>
          <w:sz w:val="24"/>
          <w:szCs w:val="24"/>
        </w:rPr>
        <w:t>购网和龙港市公共资源交易中心媒体上公告中标结果，公告期限为1个工作日。</w:t>
      </w:r>
    </w:p>
    <w:p>
      <w:pPr>
        <w:snapToGrid w:val="0"/>
        <w:spacing w:line="440" w:lineRule="exact"/>
        <w:ind w:firstLine="527"/>
        <w:rPr>
          <w:rFonts w:cs="Times New Roman"/>
          <w:sz w:val="24"/>
          <w:szCs w:val="24"/>
        </w:rPr>
      </w:pPr>
      <w:r>
        <w:rPr>
          <w:rFonts w:cs="Times New Roman"/>
          <w:sz w:val="24"/>
          <w:szCs w:val="24"/>
        </w:rPr>
        <w:t>（2）</w:t>
      </w:r>
      <w:r>
        <w:rPr>
          <w:rFonts w:cs="Times New Roman"/>
          <w:color w:val="000000"/>
          <w:sz w:val="24"/>
          <w:szCs w:val="24"/>
        </w:rPr>
        <w:t>中标供应商须在中标结果公告后主动联系采购机构领取中标通知书，</w:t>
      </w:r>
      <w:r>
        <w:rPr>
          <w:rFonts w:cs="Times New Roman"/>
          <w:sz w:val="24"/>
          <w:szCs w:val="24"/>
        </w:rPr>
        <w:t>中标通知书对采购人和中标供应商具有法律约束力。中标通知书发出后，采购人改变中标结果或者中标供应商放弃中标的，应当承担法律责任。</w:t>
      </w:r>
    </w:p>
    <w:p>
      <w:pPr>
        <w:snapToGrid w:val="0"/>
        <w:spacing w:line="440" w:lineRule="exact"/>
        <w:ind w:firstLine="527"/>
        <w:rPr>
          <w:rFonts w:cs="Times New Roman"/>
          <w:sz w:val="24"/>
          <w:szCs w:val="24"/>
        </w:rPr>
      </w:pPr>
      <w:r>
        <w:rPr>
          <w:rFonts w:cs="Times New Roman"/>
          <w:sz w:val="24"/>
          <w:szCs w:val="24"/>
        </w:rPr>
        <w:t>3、评标委员会对未中标的供应商不作落标原因解释。</w:t>
      </w:r>
    </w:p>
    <w:p>
      <w:pPr>
        <w:snapToGrid w:val="0"/>
        <w:spacing w:line="440" w:lineRule="exact"/>
        <w:ind w:firstLine="527"/>
        <w:rPr>
          <w:rFonts w:cs="Times New Roman"/>
          <w:sz w:val="24"/>
          <w:szCs w:val="24"/>
        </w:rPr>
      </w:pPr>
      <w:r>
        <w:rPr>
          <w:rFonts w:cs="Times New Roman"/>
          <w:sz w:val="24"/>
          <w:szCs w:val="24"/>
        </w:rPr>
        <w:t>4、签订合同</w:t>
      </w:r>
    </w:p>
    <w:p>
      <w:pPr>
        <w:snapToGrid w:val="0"/>
        <w:spacing w:line="440" w:lineRule="exact"/>
        <w:ind w:firstLine="527"/>
        <w:rPr>
          <w:rFonts w:cs="Times New Roman"/>
          <w:color w:val="000000"/>
          <w:sz w:val="24"/>
          <w:szCs w:val="24"/>
        </w:rPr>
      </w:pPr>
      <w:r>
        <w:rPr>
          <w:rFonts w:cs="Times New Roman"/>
          <w:color w:val="000000"/>
          <w:sz w:val="24"/>
          <w:szCs w:val="24"/>
        </w:rPr>
        <w:t>（1）中标供应商领取中标通知书后</w:t>
      </w:r>
      <w:r>
        <w:rPr>
          <w:rFonts w:cs="Times New Roman"/>
          <w:sz w:val="24"/>
          <w:szCs w:val="24"/>
        </w:rPr>
        <w:t>30</w:t>
      </w:r>
      <w:r>
        <w:rPr>
          <w:rFonts w:hint="eastAsia" w:cs="Times New Roman"/>
          <w:sz w:val="24"/>
          <w:szCs w:val="24"/>
        </w:rPr>
        <w:t>日历</w:t>
      </w:r>
      <w:r>
        <w:rPr>
          <w:rFonts w:cs="Times New Roman"/>
          <w:sz w:val="24"/>
          <w:szCs w:val="24"/>
        </w:rPr>
        <w:t>天内</w:t>
      </w:r>
      <w:r>
        <w:rPr>
          <w:rFonts w:cs="Times New Roman"/>
          <w:color w:val="000000"/>
          <w:sz w:val="24"/>
          <w:szCs w:val="24"/>
        </w:rPr>
        <w:t>到采购人处与采购人签订合同。中标供应商未经采购人许可，在规定时间内未到采购人处与采购人签订合同，则视为拒签合同。</w:t>
      </w:r>
    </w:p>
    <w:p>
      <w:pPr>
        <w:snapToGrid w:val="0"/>
        <w:spacing w:line="440" w:lineRule="exact"/>
        <w:ind w:firstLine="527"/>
        <w:rPr>
          <w:rFonts w:cs="Times New Roman"/>
          <w:sz w:val="24"/>
          <w:szCs w:val="24"/>
        </w:rPr>
      </w:pPr>
      <w:r>
        <w:rPr>
          <w:rFonts w:cs="Times New Roman"/>
          <w:sz w:val="24"/>
          <w:szCs w:val="24"/>
        </w:rPr>
        <w:t>（2）招标文件、中标供应商的投标文件及投标修改文件、评标过程中有关澄清文件及经双方签字的询标纪要（承诺）和中标通知书均作为合同附件。</w:t>
      </w:r>
    </w:p>
    <w:p>
      <w:pPr>
        <w:snapToGrid w:val="0"/>
        <w:spacing w:line="440" w:lineRule="exact"/>
        <w:ind w:firstLine="527"/>
        <w:rPr>
          <w:rFonts w:cs="Times New Roman"/>
          <w:sz w:val="24"/>
          <w:szCs w:val="24"/>
        </w:rPr>
      </w:pPr>
      <w:r>
        <w:rPr>
          <w:rFonts w:cs="Times New Roman"/>
          <w:sz w:val="24"/>
          <w:szCs w:val="24"/>
        </w:rPr>
        <w:t>（3）拒签合同的责任</w:t>
      </w:r>
    </w:p>
    <w:p>
      <w:pPr>
        <w:snapToGrid w:val="0"/>
        <w:spacing w:line="440" w:lineRule="exact"/>
        <w:ind w:firstLine="527"/>
        <w:rPr>
          <w:rFonts w:cs="Times New Roman"/>
          <w:sz w:val="24"/>
          <w:szCs w:val="24"/>
        </w:rPr>
      </w:pPr>
      <w:r>
        <w:rPr>
          <w:rFonts w:cs="Times New Roman"/>
          <w:sz w:val="24"/>
          <w:szCs w:val="24"/>
        </w:rPr>
        <w:t>中标供应商接到中标通知书后，在规定时间内借故否认已经承诺的条件而拒签合同，以投标违约处理，赔偿采购人由此造成的直接经济损失，并上报</w:t>
      </w:r>
      <w:r>
        <w:rPr>
          <w:rFonts w:cs="Times New Roman"/>
          <w:color w:val="000000"/>
          <w:sz w:val="24"/>
        </w:rPr>
        <w:t>同级政府采购监管部门</w:t>
      </w:r>
      <w:r>
        <w:rPr>
          <w:rFonts w:cs="Times New Roman"/>
          <w:sz w:val="24"/>
          <w:szCs w:val="24"/>
        </w:rPr>
        <w:t>处理；采购人重新组织招标的，所需费用由原中标供应商承担。采购人无故不与供应商签订合同的应当承担相应的法律责任。</w:t>
      </w:r>
    </w:p>
    <w:p>
      <w:pPr>
        <w:snapToGrid w:val="0"/>
        <w:spacing w:line="440" w:lineRule="exact"/>
        <w:ind w:firstLine="527"/>
        <w:outlineLvl w:val="0"/>
        <w:rPr>
          <w:rFonts w:cs="Times New Roman"/>
          <w:sz w:val="24"/>
          <w:szCs w:val="24"/>
        </w:rPr>
      </w:pPr>
      <w:r>
        <w:rPr>
          <w:rFonts w:cs="Times New Roman"/>
          <w:sz w:val="24"/>
          <w:szCs w:val="24"/>
        </w:rPr>
        <w:t>八、质疑和投诉</w:t>
      </w:r>
    </w:p>
    <w:p>
      <w:pPr>
        <w:snapToGrid w:val="0"/>
        <w:spacing w:line="440" w:lineRule="exact"/>
        <w:ind w:firstLine="527"/>
        <w:rPr>
          <w:rFonts w:cs="Times New Roman"/>
          <w:sz w:val="24"/>
          <w:szCs w:val="24"/>
        </w:rPr>
      </w:pPr>
      <w:r>
        <w:rPr>
          <w:rFonts w:hint="eastAsia" w:cs="Times New Roman"/>
          <w:snapToGrid w:val="0"/>
          <w:color w:val="000000"/>
          <w:kern w:val="0"/>
          <w:sz w:val="24"/>
        </w:rPr>
        <w:t>参照</w:t>
      </w:r>
      <w:r>
        <w:rPr>
          <w:rFonts w:cs="Times New Roman"/>
          <w:snapToGrid w:val="0"/>
          <w:color w:val="000000"/>
          <w:kern w:val="0"/>
          <w:sz w:val="24"/>
        </w:rPr>
        <w:t>《中华人民共和国政府采购法》和《政府采购质疑和投诉办法》(财政部令第94号)的规定，投标</w:t>
      </w:r>
      <w:r>
        <w:rPr>
          <w:rFonts w:cs="Times New Roman"/>
          <w:sz w:val="24"/>
          <w:szCs w:val="24"/>
        </w:rPr>
        <w:t xml:space="preserve">供应商对政府采购活动事项有疑问的，可以向采购人和采购代理机构提出询问，采购人和采购代理机构应当及时作出答复，但答复的内容不得涉及商业秘密。  </w:t>
      </w:r>
    </w:p>
    <w:p>
      <w:pPr>
        <w:snapToGrid w:val="0"/>
        <w:spacing w:line="440" w:lineRule="exact"/>
        <w:ind w:firstLine="527"/>
        <w:rPr>
          <w:rFonts w:cs="Times New Roman"/>
          <w:sz w:val="24"/>
          <w:szCs w:val="24"/>
        </w:rPr>
      </w:pPr>
      <w:r>
        <w:rPr>
          <w:rFonts w:cs="Times New Roman"/>
          <w:sz w:val="24"/>
          <w:szCs w:val="24"/>
        </w:rPr>
        <w:t>1、供应商认为招标文件、采购过程和成交、成交结果使自己的权益受到损害的，可以在知道或者应知其权益受到损害之日起七个工作日内，以书面形式向采购人、采购代理机构提出质疑。</w:t>
      </w:r>
    </w:p>
    <w:p>
      <w:pPr>
        <w:snapToGrid w:val="0"/>
        <w:spacing w:line="440" w:lineRule="exact"/>
        <w:ind w:firstLine="527"/>
        <w:rPr>
          <w:rFonts w:cs="Times New Roman"/>
          <w:color w:val="000000"/>
          <w:sz w:val="24"/>
        </w:rPr>
      </w:pPr>
      <w:r>
        <w:rPr>
          <w:rFonts w:cs="Times New Roman"/>
          <w:sz w:val="24"/>
          <w:szCs w:val="24"/>
        </w:rPr>
        <w:t>（1）对可</w:t>
      </w:r>
      <w:r>
        <w:rPr>
          <w:rFonts w:cs="Times New Roman"/>
          <w:color w:val="000000"/>
          <w:sz w:val="24"/>
        </w:rPr>
        <w:t>以质疑的招标文件提出质疑的，为收到招标文件之日或者招标文件公告期限届满之日；</w:t>
      </w:r>
    </w:p>
    <w:p>
      <w:pPr>
        <w:snapToGrid w:val="0"/>
        <w:spacing w:line="440" w:lineRule="exact"/>
        <w:ind w:firstLine="527"/>
        <w:rPr>
          <w:rFonts w:cs="Times New Roman"/>
          <w:color w:val="000000"/>
          <w:sz w:val="24"/>
        </w:rPr>
      </w:pPr>
      <w:r>
        <w:rPr>
          <w:rFonts w:cs="Times New Roman"/>
          <w:color w:val="000000"/>
          <w:sz w:val="24"/>
        </w:rPr>
        <w:t>（2）对采购过程提出质疑的，为各采购程序环节结束之日；</w:t>
      </w:r>
    </w:p>
    <w:p>
      <w:pPr>
        <w:snapToGrid w:val="0"/>
        <w:spacing w:line="440" w:lineRule="exact"/>
        <w:ind w:firstLine="527"/>
        <w:rPr>
          <w:rFonts w:cs="Times New Roman"/>
          <w:color w:val="000000"/>
          <w:sz w:val="24"/>
        </w:rPr>
      </w:pPr>
      <w:r>
        <w:rPr>
          <w:rFonts w:cs="Times New Roman"/>
          <w:color w:val="000000"/>
          <w:sz w:val="24"/>
        </w:rPr>
        <w:t>（3）对成交结果提出质疑的，为成交结果公告期限届满之日。</w:t>
      </w:r>
    </w:p>
    <w:p>
      <w:pPr>
        <w:snapToGrid w:val="0"/>
        <w:spacing w:line="440" w:lineRule="exact"/>
        <w:ind w:firstLine="527"/>
        <w:rPr>
          <w:rFonts w:cs="Times New Roman"/>
          <w:sz w:val="24"/>
          <w:szCs w:val="24"/>
        </w:rPr>
      </w:pPr>
      <w:r>
        <w:rPr>
          <w:rFonts w:cs="Times New Roman"/>
          <w:snapToGrid w:val="0"/>
          <w:color w:val="000000"/>
          <w:kern w:val="0"/>
          <w:sz w:val="24"/>
        </w:rPr>
        <w:t>2、采购人或</w:t>
      </w:r>
      <w:r>
        <w:rPr>
          <w:rFonts w:cs="Times New Roman"/>
          <w:sz w:val="24"/>
          <w:szCs w:val="24"/>
        </w:rPr>
        <w:t>者采购代理机构应当在3个工作日内对供应商依法提出的询问作出答复。</w:t>
      </w:r>
    </w:p>
    <w:p>
      <w:pPr>
        <w:snapToGrid w:val="0"/>
        <w:spacing w:line="440" w:lineRule="exact"/>
        <w:ind w:firstLine="527"/>
        <w:rPr>
          <w:rFonts w:cs="Times New Roman"/>
          <w:sz w:val="24"/>
          <w:szCs w:val="24"/>
        </w:rPr>
      </w:pPr>
      <w:r>
        <w:rPr>
          <w:rFonts w:cs="Times New Roman"/>
          <w:sz w:val="24"/>
          <w:szCs w:val="24"/>
        </w:rPr>
        <w:t>供应商提出的询问或者质疑超出采购人对采购代理机构委托授权范围的，采购代理机构应当告知供应商向采购人提出。</w:t>
      </w:r>
    </w:p>
    <w:p>
      <w:pPr>
        <w:snapToGrid w:val="0"/>
        <w:spacing w:line="440" w:lineRule="exact"/>
        <w:ind w:firstLine="527"/>
        <w:rPr>
          <w:rFonts w:cs="Times New Roman"/>
          <w:sz w:val="24"/>
          <w:szCs w:val="24"/>
        </w:rPr>
      </w:pPr>
      <w:r>
        <w:rPr>
          <w:rFonts w:cs="Times New Roman"/>
          <w:sz w:val="24"/>
          <w:szCs w:val="24"/>
        </w:rPr>
        <w:t>政府采购评审专家应当配合采购人或者采购代理机构答复供应商的询问和质疑。</w:t>
      </w:r>
    </w:p>
    <w:p>
      <w:pPr>
        <w:snapToGrid w:val="0"/>
        <w:spacing w:line="440" w:lineRule="exact"/>
        <w:ind w:firstLine="527"/>
        <w:rPr>
          <w:rFonts w:cs="Times New Roman"/>
          <w:sz w:val="24"/>
          <w:szCs w:val="24"/>
        </w:rPr>
      </w:pPr>
      <w:r>
        <w:rPr>
          <w:rFonts w:cs="Times New Roman"/>
          <w:sz w:val="24"/>
          <w:szCs w:val="24"/>
        </w:rPr>
        <w:t>3、质疑供应商对采购人、采购代理机构的答复不满意或者采购人、采购代理机构未在规定时间内作出答复的，可以在答复期满后十五个工作日内向同级政府采购监管部门投诉。</w:t>
      </w:r>
    </w:p>
    <w:p>
      <w:pPr>
        <w:snapToGrid w:val="0"/>
        <w:spacing w:line="440" w:lineRule="exact"/>
        <w:ind w:firstLine="527"/>
        <w:rPr>
          <w:rFonts w:cs="Times New Roman"/>
          <w:sz w:val="24"/>
          <w:szCs w:val="24"/>
        </w:rPr>
      </w:pPr>
      <w:r>
        <w:rPr>
          <w:rFonts w:cs="Times New Roman"/>
          <w:sz w:val="24"/>
          <w:szCs w:val="24"/>
        </w:rPr>
        <w:t>4、要求投标供应商在法定质疑期内一次性提出针对同一招标程序环节的质疑。</w:t>
      </w:r>
    </w:p>
    <w:p>
      <w:pPr>
        <w:snapToGrid w:val="0"/>
        <w:spacing w:line="440" w:lineRule="exact"/>
        <w:ind w:firstLine="527"/>
        <w:rPr>
          <w:rFonts w:cs="Times New Roman"/>
          <w:sz w:val="24"/>
          <w:szCs w:val="24"/>
        </w:rPr>
      </w:pPr>
      <w:r>
        <w:rPr>
          <w:rFonts w:cs="Times New Roman"/>
          <w:sz w:val="24"/>
          <w:szCs w:val="24"/>
        </w:rPr>
        <w:t>5、招标代理服务费</w:t>
      </w:r>
    </w:p>
    <w:p>
      <w:pPr>
        <w:snapToGrid w:val="0"/>
        <w:spacing w:line="440" w:lineRule="exact"/>
        <w:ind w:firstLine="527"/>
        <w:rPr>
          <w:rFonts w:cs="Times New Roman"/>
          <w:sz w:val="22"/>
          <w:szCs w:val="22"/>
        </w:rPr>
      </w:pPr>
      <w:r>
        <w:rPr>
          <w:rFonts w:cs="Times New Roman"/>
          <w:sz w:val="24"/>
          <w:szCs w:val="24"/>
        </w:rPr>
        <w:t>由中标供应商在领取中标通知书时向代理单位支付代理费</w:t>
      </w:r>
      <w:r>
        <w:rPr>
          <w:rFonts w:hint="eastAsia" w:cs="Times New Roman"/>
          <w:sz w:val="24"/>
          <w:szCs w:val="24"/>
        </w:rPr>
        <w:t xml:space="preserve"> 18000元 </w:t>
      </w:r>
      <w:r>
        <w:rPr>
          <w:rFonts w:cs="Times New Roman"/>
          <w:sz w:val="24"/>
          <w:szCs w:val="24"/>
        </w:rPr>
        <w:t>。供应商在报价时须将采购代理服务费综合考虑在内</w:t>
      </w:r>
      <w:r>
        <w:rPr>
          <w:rFonts w:cs="Times New Roman"/>
          <w:color w:val="000000"/>
          <w:sz w:val="24"/>
        </w:rPr>
        <w:t>，招标代理咨询服务费不需在报价中单列。</w:t>
      </w:r>
    </w:p>
    <w:p>
      <w:pPr>
        <w:pStyle w:val="8"/>
        <w:rPr>
          <w:rFonts w:cs="Times New Roman"/>
          <w:sz w:val="22"/>
          <w:szCs w:val="22"/>
        </w:rPr>
      </w:pPr>
    </w:p>
    <w:p>
      <w:pPr>
        <w:jc w:val="left"/>
        <w:textAlignment w:val="auto"/>
        <w:rPr>
          <w:rStyle w:val="27"/>
          <w:rFonts w:cs="Times New Roman"/>
          <w:b/>
          <w:sz w:val="30"/>
          <w:szCs w:val="30"/>
        </w:rPr>
      </w:pPr>
      <w:r>
        <w:rPr>
          <w:rStyle w:val="27"/>
          <w:rFonts w:cs="Times New Roman"/>
          <w:b/>
          <w:sz w:val="30"/>
          <w:szCs w:val="30"/>
        </w:rPr>
        <w:br w:type="page"/>
      </w:r>
    </w:p>
    <w:p>
      <w:pPr>
        <w:ind w:firstLine="2409" w:firstLineChars="800"/>
        <w:rPr>
          <w:rStyle w:val="27"/>
          <w:rFonts w:cs="Times New Roman"/>
          <w:b/>
          <w:sz w:val="30"/>
          <w:szCs w:val="30"/>
        </w:rPr>
      </w:pPr>
    </w:p>
    <w:p>
      <w:pPr>
        <w:rPr>
          <w:rStyle w:val="27"/>
          <w:rFonts w:cs="Times New Roman"/>
          <w:b/>
          <w:sz w:val="30"/>
          <w:szCs w:val="30"/>
        </w:rPr>
      </w:pPr>
    </w:p>
    <w:p>
      <w:pPr>
        <w:ind w:firstLine="2409" w:firstLineChars="800"/>
        <w:rPr>
          <w:rStyle w:val="27"/>
          <w:rFonts w:cs="Times New Roman"/>
          <w:b/>
          <w:sz w:val="30"/>
          <w:szCs w:val="30"/>
        </w:rPr>
      </w:pPr>
      <w:r>
        <w:rPr>
          <w:rStyle w:val="27"/>
          <w:rFonts w:cs="Times New Roman"/>
          <w:b/>
          <w:sz w:val="30"/>
          <w:szCs w:val="30"/>
        </w:rPr>
        <w:t>第四部分   合同格式（参考）</w:t>
      </w:r>
    </w:p>
    <w:p>
      <w:pPr>
        <w:spacing w:line="480" w:lineRule="exact"/>
        <w:ind w:firstLine="422" w:firstLineChars="200"/>
        <w:jc w:val="center"/>
        <w:rPr>
          <w:rFonts w:ascii="宋体" w:hAnsi="宋体"/>
          <w:b/>
          <w:sz w:val="32"/>
        </w:rPr>
      </w:pPr>
      <w:r>
        <w:rPr>
          <w:rFonts w:hint="eastAsia" w:hAnsi="宋体"/>
          <w:b/>
        </w:rPr>
        <w:t>本合同仅为样稿，最终稿由双方协商后确定</w:t>
      </w:r>
    </w:p>
    <w:p>
      <w:pPr>
        <w:spacing w:line="480" w:lineRule="exact"/>
        <w:ind w:firstLine="643" w:firstLineChars="200"/>
        <w:jc w:val="center"/>
        <w:rPr>
          <w:rFonts w:ascii="宋体" w:hAnsi="宋体"/>
          <w:b/>
          <w:sz w:val="32"/>
        </w:rPr>
      </w:pPr>
    </w:p>
    <w:p>
      <w:pPr>
        <w:spacing w:before="120" w:beforeLines="50" w:after="120" w:afterLines="50"/>
        <w:ind w:firstLine="442" w:firstLineChars="200"/>
        <w:rPr>
          <w:rFonts w:eastAsia="新宋体" w:cs="Times New Roman"/>
          <w:b/>
          <w:bCs/>
          <w:sz w:val="22"/>
          <w:szCs w:val="22"/>
        </w:rPr>
      </w:pPr>
      <w:r>
        <w:rPr>
          <w:rFonts w:eastAsia="新宋体" w:cs="Times New Roman"/>
          <w:b/>
          <w:bCs/>
          <w:sz w:val="22"/>
          <w:szCs w:val="22"/>
        </w:rPr>
        <w:t>协议编号:</w:t>
      </w:r>
    </w:p>
    <w:p>
      <w:pPr>
        <w:spacing w:before="120" w:beforeLines="50" w:after="120" w:afterLines="50"/>
        <w:ind w:firstLine="442" w:firstLineChars="200"/>
        <w:rPr>
          <w:rFonts w:cs="Times New Roman"/>
          <w:sz w:val="22"/>
          <w:szCs w:val="22"/>
        </w:rPr>
      </w:pPr>
      <w:r>
        <w:rPr>
          <w:rFonts w:eastAsia="新宋体" w:cs="Times New Roman"/>
          <w:b/>
          <w:bCs/>
          <w:sz w:val="22"/>
          <w:szCs w:val="22"/>
        </w:rPr>
        <w:t>甲方:</w:t>
      </w:r>
      <w:r>
        <w:rPr>
          <w:rFonts w:cs="Times New Roman"/>
          <w:sz w:val="22"/>
          <w:szCs w:val="22"/>
        </w:rPr>
        <w:t xml:space="preserve"> 龙港市新城建设发展有限公司</w:t>
      </w:r>
    </w:p>
    <w:p>
      <w:pPr>
        <w:spacing w:before="120" w:beforeLines="50" w:after="120" w:afterLines="50"/>
        <w:ind w:firstLine="442" w:firstLineChars="200"/>
        <w:rPr>
          <w:rFonts w:eastAsia="新宋体" w:cs="Times New Roman"/>
          <w:b/>
          <w:bCs/>
          <w:sz w:val="22"/>
          <w:szCs w:val="22"/>
        </w:rPr>
      </w:pPr>
      <w:r>
        <w:rPr>
          <w:rFonts w:eastAsia="新宋体" w:cs="Times New Roman"/>
          <w:b/>
          <w:bCs/>
          <w:sz w:val="22"/>
          <w:szCs w:val="22"/>
        </w:rPr>
        <w:t>乙方</w:t>
      </w:r>
      <w:r>
        <w:rPr>
          <w:rFonts w:cs="Times New Roman"/>
          <w:b/>
          <w:bCs/>
          <w:szCs w:val="21"/>
        </w:rPr>
        <w:t>(</w:t>
      </w:r>
      <w:r>
        <w:rPr>
          <w:rFonts w:cs="Times New Roman"/>
          <w:b/>
          <w:kern w:val="28"/>
          <w:szCs w:val="21"/>
        </w:rPr>
        <w:t>主承销商）</w:t>
      </w:r>
      <w:r>
        <w:rPr>
          <w:rFonts w:cs="Times New Roman"/>
          <w:b/>
          <w:bCs/>
          <w:szCs w:val="21"/>
        </w:rPr>
        <w:t>:</w:t>
      </w:r>
    </w:p>
    <w:p>
      <w:pPr>
        <w:spacing w:before="120" w:beforeLines="50" w:after="120" w:afterLines="50"/>
        <w:ind w:firstLine="442" w:firstLineChars="200"/>
        <w:rPr>
          <w:rFonts w:eastAsia="新宋体" w:cs="Times New Roman"/>
          <w:b/>
          <w:sz w:val="22"/>
          <w:szCs w:val="22"/>
        </w:rPr>
      </w:pPr>
      <w:r>
        <w:rPr>
          <w:rFonts w:eastAsia="新宋体" w:cs="Times New Roman"/>
          <w:b/>
          <w:bCs/>
          <w:sz w:val="22"/>
          <w:szCs w:val="22"/>
        </w:rPr>
        <w:t xml:space="preserve">签订协议地点: </w:t>
      </w:r>
    </w:p>
    <w:p>
      <w:pPr>
        <w:pStyle w:val="13"/>
        <w:snapToGrid w:val="0"/>
        <w:spacing w:line="360" w:lineRule="auto"/>
        <w:ind w:firstLine="422" w:firstLineChars="200"/>
        <w:rPr>
          <w:rFonts w:hAnsi="宋体"/>
          <w:b/>
        </w:rPr>
      </w:pPr>
      <w:r>
        <w:rPr>
          <w:rFonts w:hint="eastAsia" w:hAnsi="宋体"/>
          <w:b/>
        </w:rPr>
        <w:t>鉴于：</w:t>
      </w:r>
    </w:p>
    <w:p>
      <w:pPr>
        <w:adjustRightInd w:val="0"/>
        <w:snapToGrid w:val="0"/>
        <w:spacing w:before="120" w:beforeLines="50" w:after="120" w:afterLines="50" w:line="360" w:lineRule="auto"/>
        <w:ind w:left="412" w:leftChars="196" w:firstLine="440" w:firstLineChars="200"/>
        <w:jc w:val="left"/>
        <w:rPr>
          <w:rFonts w:eastAsia="新宋体" w:cs="Times New Roman"/>
          <w:sz w:val="22"/>
          <w:szCs w:val="22"/>
        </w:rPr>
      </w:pPr>
      <w:r>
        <w:rPr>
          <w:rFonts w:eastAsia="新宋体" w:cs="Times New Roman"/>
          <w:sz w:val="22"/>
          <w:szCs w:val="22"/>
        </w:rPr>
        <w:t>甲方同意乙方作为</w:t>
      </w:r>
      <w:r>
        <w:rPr>
          <w:rFonts w:eastAsia="新宋体" w:cs="Times New Roman"/>
          <w:sz w:val="22"/>
          <w:szCs w:val="22"/>
          <w:u w:val="single"/>
        </w:rPr>
        <w:t xml:space="preserve">                                                          </w:t>
      </w:r>
      <w:r>
        <w:rPr>
          <w:rFonts w:eastAsia="新宋体" w:cs="Times New Roman"/>
          <w:sz w:val="22"/>
          <w:szCs w:val="22"/>
        </w:rPr>
        <w:t>。</w:t>
      </w:r>
    </w:p>
    <w:p>
      <w:pPr>
        <w:adjustRightInd w:val="0"/>
        <w:snapToGrid w:val="0"/>
        <w:spacing w:before="120" w:beforeLines="50" w:after="120" w:afterLines="50" w:line="360" w:lineRule="auto"/>
        <w:ind w:left="412" w:leftChars="196" w:firstLine="440" w:firstLineChars="200"/>
        <w:jc w:val="left"/>
        <w:rPr>
          <w:rFonts w:eastAsia="新宋体" w:cs="Times New Roman"/>
          <w:sz w:val="22"/>
          <w:szCs w:val="22"/>
        </w:rPr>
      </w:pPr>
      <w:r>
        <w:rPr>
          <w:rFonts w:eastAsia="新宋体" w:cs="Times New Roman"/>
          <w:sz w:val="22"/>
          <w:szCs w:val="22"/>
        </w:rPr>
        <w:t>乙方接受聘请，愿意为甲方提供服务。</w:t>
      </w:r>
    </w:p>
    <w:p>
      <w:pPr>
        <w:adjustRightInd w:val="0"/>
        <w:snapToGrid w:val="0"/>
        <w:spacing w:before="120" w:beforeLines="50" w:after="120" w:afterLines="50" w:line="360" w:lineRule="auto"/>
        <w:ind w:left="412" w:leftChars="196" w:firstLine="440" w:firstLineChars="200"/>
        <w:jc w:val="left"/>
        <w:rPr>
          <w:rFonts w:eastAsia="新宋体" w:cs="Times New Roman"/>
          <w:sz w:val="22"/>
          <w:szCs w:val="22"/>
        </w:rPr>
      </w:pPr>
      <w:r>
        <w:rPr>
          <w:rFonts w:eastAsia="新宋体" w:cs="Times New Roman"/>
          <w:sz w:val="22"/>
          <w:szCs w:val="22"/>
        </w:rPr>
        <w:t>根据《民法典》以及其他有关法律法规，甲、乙双方根据平等互利、诚实信用的原则，经友好协商，达成本合同。</w:t>
      </w:r>
    </w:p>
    <w:p>
      <w:pPr>
        <w:pStyle w:val="5"/>
        <w:tabs>
          <w:tab w:val="left" w:pos="432"/>
        </w:tabs>
        <w:adjustRightInd w:val="0"/>
        <w:snapToGrid w:val="0"/>
        <w:spacing w:line="360" w:lineRule="auto"/>
        <w:ind w:firstLine="200"/>
        <w:jc w:val="both"/>
        <w:rPr>
          <w:rFonts w:ascii="宋体" w:hAnsi="宋体"/>
          <w:sz w:val="21"/>
        </w:rPr>
      </w:pPr>
      <w:bookmarkStart w:id="25" w:name="_Toc33619349"/>
      <w:bookmarkStart w:id="26" w:name="_Toc329784128"/>
      <w:bookmarkStart w:id="27" w:name="_Toc463610382"/>
      <w:r>
        <w:rPr>
          <w:rFonts w:hint="eastAsia" w:ascii="宋体" w:hAnsi="宋体"/>
          <w:sz w:val="21"/>
        </w:rPr>
        <w:t>第一条 本次债券</w:t>
      </w:r>
      <w:bookmarkEnd w:id="25"/>
    </w:p>
    <w:p>
      <w:pPr>
        <w:adjustRightInd w:val="0"/>
        <w:snapToGrid w:val="0"/>
        <w:spacing w:line="360" w:lineRule="auto"/>
        <w:ind w:firstLine="420" w:firstLineChars="200"/>
        <w:rPr>
          <w:rFonts w:ascii="宋体" w:hAnsi="宋体"/>
        </w:rPr>
      </w:pPr>
      <w:r>
        <w:rPr>
          <w:rFonts w:ascii="宋体" w:hAnsi="宋体"/>
        </w:rPr>
        <w:t>1</w:t>
      </w:r>
      <w:r>
        <w:rPr>
          <w:rFonts w:hint="eastAsia" w:ascii="宋体" w:hAnsi="宋体"/>
        </w:rPr>
        <w:t>.1 发行规模：不超过人民币25亿元（含25亿元）</w:t>
      </w:r>
    </w:p>
    <w:p>
      <w:pPr>
        <w:adjustRightInd w:val="0"/>
        <w:snapToGrid w:val="0"/>
        <w:spacing w:line="360" w:lineRule="auto"/>
        <w:ind w:firstLine="420" w:firstLineChars="200"/>
        <w:rPr>
          <w:rFonts w:ascii="宋体" w:hAnsi="宋体"/>
        </w:rPr>
      </w:pPr>
      <w:r>
        <w:rPr>
          <w:rFonts w:ascii="宋体" w:hAnsi="宋体"/>
        </w:rPr>
        <w:t>1</w:t>
      </w:r>
      <w:r>
        <w:rPr>
          <w:rFonts w:hint="eastAsia" w:ascii="宋体" w:hAnsi="宋体"/>
        </w:rPr>
        <w:t>.2 债券期限：不超过3年期（含3年期）。</w:t>
      </w:r>
    </w:p>
    <w:p>
      <w:pPr>
        <w:adjustRightInd w:val="0"/>
        <w:snapToGrid w:val="0"/>
        <w:spacing w:line="360" w:lineRule="auto"/>
        <w:ind w:firstLine="420" w:firstLineChars="200"/>
        <w:rPr>
          <w:rFonts w:ascii="宋体" w:hAnsi="宋体"/>
        </w:rPr>
      </w:pPr>
      <w:r>
        <w:rPr>
          <w:rFonts w:ascii="宋体" w:hAnsi="宋体"/>
        </w:rPr>
        <w:t>1</w:t>
      </w:r>
      <w:r>
        <w:rPr>
          <w:rFonts w:hint="eastAsia" w:ascii="宋体" w:hAnsi="宋体"/>
        </w:rPr>
        <w:t>.3</w:t>
      </w:r>
      <w:r>
        <w:rPr>
          <w:rFonts w:hint="eastAsia"/>
        </w:rPr>
        <w:t xml:space="preserve"> </w:t>
      </w:r>
      <w:r>
        <w:rPr>
          <w:rFonts w:hint="eastAsia" w:ascii="宋体" w:hAnsi="宋体"/>
        </w:rPr>
        <w:t>债券票面金额及发行价格：100元，按面值发行</w:t>
      </w:r>
    </w:p>
    <w:p>
      <w:pPr>
        <w:adjustRightInd w:val="0"/>
        <w:snapToGrid w:val="0"/>
        <w:spacing w:line="360" w:lineRule="auto"/>
        <w:ind w:firstLine="420" w:firstLineChars="200"/>
        <w:rPr>
          <w:rFonts w:ascii="宋体" w:hAnsi="宋体"/>
        </w:rPr>
      </w:pPr>
      <w:r>
        <w:rPr>
          <w:rFonts w:hint="eastAsia" w:ascii="宋体" w:hAnsi="宋体"/>
        </w:rPr>
        <w:t>本条所述之本次债券信息仅供说明之用，对各方在本协议项下权利、义务不构成任何影响。本次债券项下每期债券具体信息以最终公布的每期债券募集说明书和/或发行公告中所披露的信息为准。</w:t>
      </w:r>
      <w:bookmarkEnd w:id="26"/>
      <w:bookmarkEnd w:id="27"/>
    </w:p>
    <w:p>
      <w:pPr>
        <w:pStyle w:val="5"/>
        <w:tabs>
          <w:tab w:val="left" w:pos="432"/>
        </w:tabs>
        <w:adjustRightInd w:val="0"/>
        <w:snapToGrid w:val="0"/>
        <w:spacing w:line="360" w:lineRule="auto"/>
        <w:ind w:firstLine="200"/>
        <w:jc w:val="both"/>
        <w:rPr>
          <w:rFonts w:ascii="宋体" w:hAnsi="宋体"/>
          <w:sz w:val="21"/>
        </w:rPr>
      </w:pPr>
      <w:bookmarkStart w:id="28" w:name="_Toc33619352"/>
      <w:r>
        <w:rPr>
          <w:rFonts w:hint="eastAsia" w:ascii="宋体" w:hAnsi="宋体"/>
          <w:sz w:val="21"/>
        </w:rPr>
        <w:t>第二条  承销责任</w:t>
      </w:r>
      <w:bookmarkEnd w:id="28"/>
      <w:r>
        <w:rPr>
          <w:rFonts w:hint="eastAsia" w:ascii="宋体" w:hAnsi="宋体"/>
          <w:sz w:val="21"/>
        </w:rPr>
        <w:t xml:space="preserve">  </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2</w:t>
      </w:r>
      <w:r>
        <w:rPr>
          <w:rFonts w:hint="eastAsia" w:ascii="宋体" w:hAnsi="宋体"/>
          <w:w w:val="100"/>
          <w:kern w:val="2"/>
          <w:sz w:val="21"/>
          <w:lang w:eastAsia="zh-CN"/>
        </w:rPr>
        <w:t>.1</w:t>
      </w:r>
      <w:r>
        <w:rPr>
          <w:rFonts w:hint="eastAsia" w:ascii="宋体" w:hAnsi="宋体"/>
          <w:w w:val="100"/>
          <w:kern w:val="2"/>
          <w:sz w:val="21"/>
          <w:lang w:eastAsia="zh-CN"/>
        </w:rPr>
        <w:tab/>
      </w:r>
      <w:r>
        <w:rPr>
          <w:rFonts w:hint="eastAsia" w:ascii="宋体" w:hAnsi="宋体"/>
          <w:w w:val="100"/>
          <w:kern w:val="2"/>
          <w:sz w:val="21"/>
          <w:lang w:eastAsia="zh-CN"/>
        </w:rPr>
        <w:t>主承销商应当根据本次债券发行需要，就本次债券的发行向发行人承担相应的承销责任。</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2</w:t>
      </w:r>
      <w:r>
        <w:rPr>
          <w:rFonts w:hint="eastAsia" w:ascii="宋体" w:hAnsi="宋体"/>
          <w:w w:val="100"/>
          <w:kern w:val="2"/>
          <w:sz w:val="21"/>
          <w:lang w:eastAsia="zh-CN"/>
        </w:rPr>
        <w:t>.2</w:t>
      </w:r>
      <w:r>
        <w:rPr>
          <w:rFonts w:hint="eastAsia" w:ascii="宋体" w:hAnsi="宋体"/>
          <w:w w:val="100"/>
          <w:kern w:val="2"/>
          <w:sz w:val="21"/>
          <w:lang w:eastAsia="zh-CN"/>
        </w:rPr>
        <w:tab/>
      </w:r>
      <w:r>
        <w:rPr>
          <w:rFonts w:hint="eastAsia" w:ascii="宋体" w:hAnsi="宋体"/>
          <w:w w:val="100"/>
          <w:kern w:val="2"/>
          <w:sz w:val="21"/>
          <w:lang w:eastAsia="zh-CN"/>
        </w:rPr>
        <w:t>作为主承销商，_</w:t>
      </w:r>
      <w:r>
        <w:rPr>
          <w:rFonts w:ascii="宋体" w:hAnsi="宋体"/>
          <w:w w:val="100"/>
          <w:kern w:val="2"/>
          <w:sz w:val="21"/>
          <w:lang w:eastAsia="zh-CN"/>
        </w:rPr>
        <w:t>_______</w:t>
      </w:r>
      <w:r>
        <w:rPr>
          <w:rFonts w:hint="eastAsia" w:ascii="宋体" w:hAnsi="宋体"/>
          <w:w w:val="100"/>
          <w:kern w:val="2"/>
          <w:sz w:val="21"/>
          <w:lang w:eastAsia="zh-CN"/>
        </w:rPr>
        <w:t>负责本次债券的申报材料制作、发行和挂牌转让申请协调、簿记发行（如涉及）等工作。</w:t>
      </w:r>
    </w:p>
    <w:p>
      <w:pPr>
        <w:adjustRightInd w:val="0"/>
        <w:snapToGrid w:val="0"/>
        <w:spacing w:line="360" w:lineRule="auto"/>
        <w:ind w:firstLine="420" w:firstLineChars="200"/>
        <w:rPr>
          <w:rFonts w:ascii="宋体" w:hAnsi="宋体"/>
        </w:rPr>
      </w:pPr>
      <w:r>
        <w:rPr>
          <w:rFonts w:ascii="宋体" w:hAnsi="宋体"/>
        </w:rPr>
        <w:t>2</w:t>
      </w:r>
      <w:r>
        <w:rPr>
          <w:rFonts w:hint="eastAsia" w:ascii="宋体" w:hAnsi="宋体"/>
        </w:rPr>
        <w:t>.3</w:t>
      </w:r>
      <w:r>
        <w:rPr>
          <w:rFonts w:hint="eastAsia" w:ascii="宋体" w:hAnsi="宋体"/>
        </w:rPr>
        <w:tab/>
      </w:r>
      <w:r>
        <w:rPr>
          <w:rFonts w:hint="eastAsia" w:ascii="宋体" w:hAnsi="宋体"/>
        </w:rPr>
        <w:t>发行人确认，在主承销商按照本协议第三条的规定将有关募集款项划付至发行人收款账户后，主承销商的承销义务和责任即告终止。但主承销商在本协议项下的其他义务和责任并不因此而终止。</w:t>
      </w:r>
    </w:p>
    <w:p>
      <w:pPr>
        <w:pStyle w:val="5"/>
        <w:tabs>
          <w:tab w:val="left" w:pos="432"/>
        </w:tabs>
        <w:adjustRightInd w:val="0"/>
        <w:snapToGrid w:val="0"/>
        <w:spacing w:line="360" w:lineRule="auto"/>
        <w:ind w:firstLine="200"/>
        <w:jc w:val="both"/>
        <w:rPr>
          <w:rFonts w:ascii="宋体" w:hAnsi="宋体"/>
          <w:sz w:val="21"/>
        </w:rPr>
      </w:pPr>
      <w:bookmarkStart w:id="29" w:name="_Toc33619353"/>
      <w:r>
        <w:rPr>
          <w:rFonts w:hint="eastAsia" w:ascii="宋体" w:hAnsi="宋体"/>
          <w:sz w:val="21"/>
        </w:rPr>
        <w:t xml:space="preserve">第三条  </w:t>
      </w:r>
      <w:bookmarkStart w:id="30" w:name="_Toc14672"/>
      <w:r>
        <w:rPr>
          <w:rFonts w:hint="eastAsia" w:ascii="宋体" w:hAnsi="宋体"/>
          <w:sz w:val="21"/>
        </w:rPr>
        <w:t>募集款项的划付</w:t>
      </w:r>
      <w:bookmarkEnd w:id="29"/>
      <w:bookmarkEnd w:id="30"/>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3</w:t>
      </w:r>
      <w:r>
        <w:rPr>
          <w:rFonts w:hint="eastAsia" w:ascii="宋体" w:hAnsi="宋体"/>
          <w:w w:val="100"/>
          <w:kern w:val="2"/>
          <w:sz w:val="21"/>
          <w:lang w:eastAsia="zh-CN"/>
        </w:rPr>
        <w:t>.1</w:t>
      </w:r>
      <w:r>
        <w:rPr>
          <w:rFonts w:hint="eastAsia" w:ascii="宋体" w:hAnsi="宋体"/>
          <w:w w:val="100"/>
          <w:kern w:val="2"/>
          <w:sz w:val="21"/>
          <w:lang w:eastAsia="zh-CN"/>
        </w:rPr>
        <w:tab/>
      </w:r>
      <w:r>
        <w:rPr>
          <w:rFonts w:hint="eastAsia" w:ascii="宋体" w:hAnsi="宋体"/>
          <w:w w:val="100"/>
          <w:kern w:val="2"/>
          <w:sz w:val="21"/>
          <w:lang w:eastAsia="zh-CN"/>
        </w:rPr>
        <w:t>由主承销商指定收款账户，按本协议的约定统一收缴投资者认缴的本次债券募集款项。</w:t>
      </w:r>
    </w:p>
    <w:p>
      <w:pPr>
        <w:pStyle w:val="44"/>
        <w:numPr>
          <w:ilvl w:val="0"/>
          <w:numId w:val="0"/>
        </w:numPr>
        <w:adjustRightInd w:val="0"/>
        <w:snapToGrid w:val="0"/>
        <w:ind w:firstLine="420" w:firstLineChars="200"/>
        <w:rPr>
          <w:rFonts w:ascii="宋体" w:hAnsi="宋体"/>
          <w:w w:val="100"/>
          <w:kern w:val="2"/>
          <w:sz w:val="21"/>
          <w:lang w:eastAsia="zh-CN"/>
        </w:rPr>
      </w:pPr>
      <w:r>
        <w:rPr>
          <w:rFonts w:hint="eastAsia" w:ascii="宋体" w:hAnsi="宋体"/>
          <w:w w:val="100"/>
          <w:kern w:val="2"/>
          <w:sz w:val="21"/>
          <w:lang w:eastAsia="zh-CN"/>
        </w:rPr>
        <w:t>主承销商应在发行结束后的_</w:t>
      </w:r>
      <w:r>
        <w:rPr>
          <w:rFonts w:ascii="宋体" w:hAnsi="宋体"/>
          <w:w w:val="100"/>
          <w:kern w:val="2"/>
          <w:sz w:val="21"/>
          <w:lang w:eastAsia="zh-CN"/>
        </w:rPr>
        <w:t>____</w:t>
      </w:r>
      <w:r>
        <w:rPr>
          <w:rFonts w:hint="eastAsia" w:ascii="宋体" w:hAnsi="宋体"/>
          <w:w w:val="100"/>
          <w:kern w:val="2"/>
          <w:sz w:val="21"/>
          <w:lang w:eastAsia="zh-CN"/>
        </w:rPr>
        <w:t>个工作日内， 将扣除承销费用后的募集款项净额全部划至发行人开立的募集资金监管账户，该账户开立后，发行人应书面将账户信息通知簿记管理人，该书面通知应由发行人法定代表人或其授权人签字或签章并加盖发行人公章，或在募集资金三方监管协议中明确该募集资金账户具体信息。</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3</w:t>
      </w:r>
      <w:r>
        <w:rPr>
          <w:rFonts w:hint="eastAsia" w:ascii="宋体" w:hAnsi="宋体"/>
          <w:w w:val="100"/>
          <w:kern w:val="2"/>
          <w:sz w:val="21"/>
          <w:lang w:eastAsia="zh-CN"/>
        </w:rPr>
        <w:t>.2</w:t>
      </w:r>
      <w:r>
        <w:rPr>
          <w:rFonts w:hint="eastAsia" w:ascii="宋体" w:hAnsi="宋体"/>
          <w:w w:val="100"/>
          <w:kern w:val="2"/>
          <w:sz w:val="21"/>
          <w:lang w:eastAsia="zh-CN"/>
        </w:rPr>
        <w:tab/>
      </w:r>
      <w:r>
        <w:rPr>
          <w:rFonts w:hint="eastAsia" w:ascii="宋体" w:hAnsi="宋体"/>
          <w:w w:val="100"/>
          <w:kern w:val="2"/>
          <w:sz w:val="21"/>
          <w:lang w:eastAsia="zh-CN"/>
        </w:rPr>
        <w:t>主承销商在按照本协议第</w:t>
      </w:r>
      <w:r>
        <w:rPr>
          <w:rFonts w:ascii="宋体" w:hAnsi="宋体"/>
          <w:w w:val="100"/>
          <w:kern w:val="2"/>
          <w:sz w:val="21"/>
          <w:lang w:eastAsia="zh-CN"/>
        </w:rPr>
        <w:t>3</w:t>
      </w:r>
      <w:r>
        <w:rPr>
          <w:rFonts w:hint="eastAsia" w:ascii="宋体" w:hAnsi="宋体"/>
          <w:w w:val="100"/>
          <w:kern w:val="2"/>
          <w:sz w:val="21"/>
          <w:lang w:eastAsia="zh-CN"/>
        </w:rPr>
        <w:t>.1款规定划款的同日，应将划款凭证的复印件送交发行人。</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3</w:t>
      </w:r>
      <w:r>
        <w:rPr>
          <w:rFonts w:hint="eastAsia" w:ascii="宋体" w:hAnsi="宋体"/>
          <w:w w:val="100"/>
          <w:kern w:val="2"/>
          <w:sz w:val="21"/>
          <w:lang w:eastAsia="zh-CN"/>
        </w:rPr>
        <w:t>.3</w:t>
      </w:r>
      <w:r>
        <w:rPr>
          <w:rFonts w:hint="eastAsia" w:ascii="宋体" w:hAnsi="宋体"/>
          <w:w w:val="100"/>
          <w:kern w:val="2"/>
          <w:sz w:val="21"/>
          <w:lang w:eastAsia="zh-CN"/>
        </w:rPr>
        <w:tab/>
      </w:r>
      <w:r>
        <w:rPr>
          <w:rFonts w:hint="eastAsia" w:ascii="宋体" w:hAnsi="宋体"/>
          <w:w w:val="100"/>
          <w:kern w:val="2"/>
          <w:sz w:val="21"/>
          <w:lang w:eastAsia="zh-CN"/>
        </w:rPr>
        <w:t>如因发行人募集资金专户未及时开立或发生变更等原因导致募集款项净额划款延迟，主承销商免于承担违约金并不承担因此造成的发行人利息损失或其他一切损失。</w:t>
      </w:r>
    </w:p>
    <w:p>
      <w:pPr>
        <w:pStyle w:val="5"/>
        <w:tabs>
          <w:tab w:val="left" w:pos="432"/>
        </w:tabs>
        <w:adjustRightInd w:val="0"/>
        <w:snapToGrid w:val="0"/>
        <w:spacing w:line="360" w:lineRule="auto"/>
        <w:ind w:firstLine="210" w:firstLineChars="100"/>
        <w:jc w:val="both"/>
        <w:rPr>
          <w:rFonts w:ascii="宋体" w:hAnsi="宋体"/>
          <w:sz w:val="21"/>
        </w:rPr>
      </w:pPr>
      <w:bookmarkStart w:id="31" w:name="_Toc33619354"/>
      <w:r>
        <w:rPr>
          <w:rFonts w:hint="eastAsia" w:ascii="宋体" w:hAnsi="宋体"/>
          <w:sz w:val="21"/>
        </w:rPr>
        <w:t xml:space="preserve">第四条  </w:t>
      </w:r>
      <w:bookmarkEnd w:id="31"/>
      <w:r>
        <w:rPr>
          <w:rFonts w:hint="eastAsia" w:ascii="宋体" w:hAnsi="宋体"/>
          <w:sz w:val="21"/>
        </w:rPr>
        <w:t>与本次债券有关的费用</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4</w:t>
      </w:r>
      <w:r>
        <w:rPr>
          <w:rFonts w:hint="eastAsia" w:ascii="宋体" w:hAnsi="宋体"/>
          <w:w w:val="100"/>
          <w:kern w:val="2"/>
          <w:sz w:val="21"/>
          <w:lang w:eastAsia="zh-CN"/>
        </w:rPr>
        <w:t>.1</w:t>
      </w:r>
      <w:r>
        <w:rPr>
          <w:rFonts w:hint="eastAsia" w:ascii="宋体" w:hAnsi="宋体"/>
          <w:w w:val="100"/>
          <w:kern w:val="2"/>
          <w:sz w:val="21"/>
          <w:lang w:eastAsia="zh-CN"/>
        </w:rPr>
        <w:tab/>
      </w:r>
      <w:r>
        <w:rPr>
          <w:rFonts w:hint="eastAsia" w:ascii="宋体" w:hAnsi="宋体"/>
          <w:w w:val="100"/>
          <w:kern w:val="2"/>
          <w:sz w:val="21"/>
          <w:lang w:eastAsia="zh-CN"/>
        </w:rPr>
        <w:t>承销费用</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4</w:t>
      </w:r>
      <w:r>
        <w:rPr>
          <w:rFonts w:hint="eastAsia" w:ascii="宋体" w:hAnsi="宋体"/>
          <w:w w:val="100"/>
          <w:kern w:val="2"/>
          <w:sz w:val="21"/>
          <w:lang w:eastAsia="zh-CN"/>
        </w:rPr>
        <w:t>.</w:t>
      </w:r>
      <w:r>
        <w:rPr>
          <w:rFonts w:ascii="宋体" w:hAnsi="宋体"/>
          <w:w w:val="100"/>
          <w:kern w:val="2"/>
          <w:sz w:val="21"/>
          <w:lang w:eastAsia="zh-CN"/>
        </w:rPr>
        <w:t>1.</w:t>
      </w:r>
      <w:r>
        <w:rPr>
          <w:rFonts w:hint="eastAsia" w:ascii="宋体" w:hAnsi="宋体"/>
          <w:w w:val="100"/>
          <w:kern w:val="2"/>
          <w:sz w:val="21"/>
          <w:lang w:eastAsia="zh-CN"/>
        </w:rPr>
        <w:t>1作为主承销商向发行人提供本次债券的承销服务及履行其他本协议项下的服务的对价，发行人应向主承销商支付承销费用。本次债券的承销费用总额=本次债券实际发行总额×年承销费率×债券期限，其中承销年化费率为_</w:t>
      </w:r>
      <w:r>
        <w:rPr>
          <w:rFonts w:ascii="宋体" w:hAnsi="宋体"/>
          <w:w w:val="100"/>
          <w:kern w:val="2"/>
          <w:sz w:val="21"/>
          <w:lang w:eastAsia="zh-CN"/>
        </w:rPr>
        <w:t>_______</w:t>
      </w:r>
      <w:r>
        <w:rPr>
          <w:rFonts w:hint="eastAsia" w:ascii="宋体" w:hAnsi="宋体"/>
          <w:w w:val="100"/>
          <w:kern w:val="2"/>
          <w:sz w:val="21"/>
          <w:lang w:eastAsia="zh-CN"/>
        </w:rPr>
        <w:t>%（本次债券实际发行总额以发行结果公告为准，本协议如无特别约定的，则费用为含税价格）。</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4</w:t>
      </w:r>
      <w:r>
        <w:rPr>
          <w:rFonts w:hint="eastAsia" w:ascii="宋体" w:hAnsi="宋体"/>
          <w:w w:val="100"/>
          <w:kern w:val="2"/>
          <w:sz w:val="21"/>
          <w:lang w:eastAsia="zh-CN"/>
        </w:rPr>
        <w:t>.</w:t>
      </w:r>
      <w:r>
        <w:rPr>
          <w:rFonts w:ascii="宋体" w:hAnsi="宋体"/>
          <w:w w:val="100"/>
          <w:kern w:val="2"/>
          <w:sz w:val="21"/>
          <w:lang w:eastAsia="zh-CN"/>
        </w:rPr>
        <w:t>1.</w:t>
      </w:r>
      <w:r>
        <w:rPr>
          <w:rFonts w:hint="eastAsia" w:ascii="宋体" w:hAnsi="宋体"/>
          <w:w w:val="100"/>
          <w:kern w:val="2"/>
          <w:sz w:val="21"/>
          <w:lang w:eastAsia="zh-CN"/>
        </w:rPr>
        <w:t>2主承销商申报材料编制费用、除主承销商外其他承销商的分销费用等其他费用均包含在上述承销费用内，发行人不再支付其他费用。</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4</w:t>
      </w:r>
      <w:r>
        <w:rPr>
          <w:rFonts w:ascii="宋体" w:hAnsi="宋体"/>
          <w:sz w:val="21"/>
          <w:lang w:eastAsia="zh-CN"/>
        </w:rPr>
        <w:t>.2</w:t>
      </w:r>
      <w:r>
        <w:rPr>
          <w:rFonts w:hint="eastAsia" w:ascii="宋体" w:hAnsi="宋体"/>
          <w:w w:val="100"/>
          <w:kern w:val="2"/>
          <w:sz w:val="21"/>
          <w:lang w:eastAsia="zh-CN"/>
        </w:rPr>
        <w:t>承销费用支付</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4</w:t>
      </w:r>
      <w:r>
        <w:rPr>
          <w:rFonts w:hint="eastAsia" w:ascii="宋体" w:hAnsi="宋体"/>
          <w:w w:val="100"/>
          <w:kern w:val="2"/>
          <w:sz w:val="21"/>
          <w:lang w:eastAsia="zh-CN"/>
        </w:rPr>
        <w:t>.</w:t>
      </w:r>
      <w:r>
        <w:rPr>
          <w:rFonts w:ascii="宋体" w:hAnsi="宋体"/>
          <w:w w:val="100"/>
          <w:kern w:val="2"/>
          <w:sz w:val="21"/>
          <w:lang w:eastAsia="zh-CN"/>
        </w:rPr>
        <w:t>2.</w:t>
      </w:r>
      <w:r>
        <w:rPr>
          <w:rFonts w:hint="eastAsia" w:ascii="宋体" w:hAnsi="宋体"/>
          <w:w w:val="100"/>
          <w:kern w:val="2"/>
          <w:sz w:val="21"/>
          <w:lang w:eastAsia="zh-CN"/>
        </w:rPr>
        <w:t>1本次承销费用在主承销商向发行人划付全部募集款项之时，由主承销商先行从募集款项中一次性扣除收取。</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4.2</w:t>
      </w:r>
      <w:r>
        <w:rPr>
          <w:rFonts w:hint="eastAsia" w:ascii="宋体" w:hAnsi="宋体"/>
          <w:w w:val="100"/>
          <w:kern w:val="2"/>
          <w:sz w:val="21"/>
          <w:lang w:eastAsia="zh-CN"/>
        </w:rPr>
        <w:t>.2如本次债券分期发行的，承销费由主承销商从每期债券募集资金总额中按期分别扣收。承销费不因债券存续期内行权等事宜而发生变化。</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4</w:t>
      </w:r>
      <w:r>
        <w:rPr>
          <w:rFonts w:hint="eastAsia" w:ascii="宋体" w:hAnsi="宋体"/>
          <w:w w:val="100"/>
          <w:kern w:val="2"/>
          <w:sz w:val="21"/>
          <w:lang w:eastAsia="zh-CN"/>
        </w:rPr>
        <w:t>.</w:t>
      </w:r>
      <w:r>
        <w:rPr>
          <w:rFonts w:ascii="宋体" w:hAnsi="宋体"/>
          <w:w w:val="100"/>
          <w:kern w:val="2"/>
          <w:sz w:val="21"/>
          <w:lang w:eastAsia="zh-CN"/>
        </w:rPr>
        <w:t>2.</w:t>
      </w:r>
      <w:r>
        <w:rPr>
          <w:rFonts w:hint="eastAsia" w:ascii="宋体" w:hAnsi="宋体"/>
          <w:w w:val="100"/>
          <w:kern w:val="2"/>
          <w:sz w:val="21"/>
          <w:lang w:eastAsia="zh-CN"/>
        </w:rPr>
        <w:t>3主承销商应自发行结束之日起_</w:t>
      </w:r>
      <w:r>
        <w:rPr>
          <w:rFonts w:ascii="宋体" w:hAnsi="宋体"/>
          <w:w w:val="100"/>
          <w:kern w:val="2"/>
          <w:sz w:val="21"/>
          <w:lang w:eastAsia="zh-CN"/>
        </w:rPr>
        <w:t>______</w:t>
      </w:r>
      <w:r>
        <w:rPr>
          <w:rFonts w:hint="eastAsia" w:ascii="宋体" w:hAnsi="宋体"/>
          <w:w w:val="100"/>
          <w:kern w:val="2"/>
          <w:sz w:val="21"/>
          <w:lang w:eastAsia="zh-CN"/>
        </w:rPr>
        <w:t>个工作日内向发行人提供承销费发票，该等发票应当包括主承销商自身向发行人提供的与其收取的承销费用相等、抬头为发行人的发票。</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 xml:space="preserve">4.3 </w:t>
      </w:r>
      <w:r>
        <w:rPr>
          <w:rFonts w:hint="eastAsia" w:ascii="宋体" w:hAnsi="宋体"/>
          <w:w w:val="100"/>
          <w:kern w:val="2"/>
          <w:sz w:val="21"/>
          <w:lang w:eastAsia="zh-CN"/>
        </w:rPr>
        <w:t>后续服务费用</w:t>
      </w:r>
    </w:p>
    <w:p>
      <w:pPr>
        <w:pStyle w:val="44"/>
        <w:numPr>
          <w:ilvl w:val="0"/>
          <w:numId w:val="0"/>
        </w:numPr>
        <w:adjustRightInd w:val="0"/>
        <w:snapToGrid w:val="0"/>
        <w:ind w:firstLine="420" w:firstLineChars="200"/>
        <w:rPr>
          <w:rFonts w:ascii="宋体" w:hAnsi="宋体"/>
          <w:w w:val="100"/>
          <w:kern w:val="2"/>
          <w:sz w:val="21"/>
          <w:lang w:eastAsia="zh-CN"/>
        </w:rPr>
      </w:pPr>
      <w:r>
        <w:rPr>
          <w:rFonts w:hint="eastAsia" w:ascii="宋体" w:hAnsi="宋体"/>
          <w:w w:val="100"/>
          <w:kern w:val="2"/>
          <w:sz w:val="21"/>
          <w:lang w:eastAsia="zh-CN"/>
        </w:rPr>
        <w:t xml:space="preserve"> 发行人应自行承担本次债券登记托管费、本次债券挂牌转让的有关未预见费用、本次债券存续期内发生的与本次债券有关的付息及兑付手续费以及制作、刊登付息及兑付公告所产生的费用。</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 xml:space="preserve">4.4 </w:t>
      </w:r>
      <w:r>
        <w:rPr>
          <w:rFonts w:hint="eastAsia" w:ascii="宋体" w:hAnsi="宋体"/>
          <w:w w:val="100"/>
          <w:kern w:val="2"/>
          <w:sz w:val="21"/>
          <w:lang w:eastAsia="zh-CN"/>
        </w:rPr>
        <w:t>其他费用</w:t>
      </w:r>
    </w:p>
    <w:p>
      <w:pPr>
        <w:pStyle w:val="44"/>
        <w:numPr>
          <w:ilvl w:val="0"/>
          <w:numId w:val="0"/>
        </w:numPr>
        <w:adjustRightInd w:val="0"/>
        <w:snapToGrid w:val="0"/>
        <w:ind w:firstLine="420" w:firstLineChars="200"/>
        <w:rPr>
          <w:rFonts w:ascii="宋体" w:hAnsi="宋体"/>
          <w:w w:val="100"/>
          <w:kern w:val="2"/>
          <w:sz w:val="21"/>
          <w:lang w:eastAsia="zh-CN"/>
        </w:rPr>
      </w:pPr>
      <w:r>
        <w:rPr>
          <w:rFonts w:hint="eastAsia" w:ascii="宋体" w:hAnsi="宋体"/>
          <w:w w:val="100"/>
          <w:kern w:val="2"/>
          <w:sz w:val="21"/>
          <w:lang w:eastAsia="zh-CN"/>
        </w:rPr>
        <w:t xml:space="preserve"> 主承销商项目人员在执行项目过程中（包括存续期管理期间）所发生的差旅费用由发行人负责，包括食宿、交通等。</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 xml:space="preserve">4.5 </w:t>
      </w:r>
      <w:r>
        <w:rPr>
          <w:rFonts w:hint="eastAsia" w:ascii="宋体" w:hAnsi="宋体"/>
          <w:w w:val="100"/>
          <w:kern w:val="2"/>
          <w:sz w:val="21"/>
          <w:lang w:eastAsia="zh-CN"/>
        </w:rPr>
        <w:t>中介机构的费用及其他费用</w:t>
      </w:r>
    </w:p>
    <w:p>
      <w:pPr>
        <w:adjustRightInd w:val="0"/>
        <w:snapToGrid w:val="0"/>
        <w:spacing w:line="360" w:lineRule="auto"/>
        <w:ind w:firstLine="420" w:firstLineChars="200"/>
        <w:rPr>
          <w:rFonts w:ascii="宋体" w:hAnsi="宋体"/>
        </w:rPr>
      </w:pPr>
      <w:r>
        <w:rPr>
          <w:rFonts w:hint="eastAsia" w:ascii="宋体" w:hAnsi="宋体"/>
        </w:rPr>
        <w:t xml:space="preserve"> 发行人应自行承担本次债券发行推介所产生的费用和开支、为本次债券发行刊登有关公告的费用、制作、刊登中期报告、年度报告所产生的费用，以及发行人为本次发行聘请的发行人律师、会计师、评级公司等中介机构而产生的所有费用和开支。</w:t>
      </w:r>
    </w:p>
    <w:p>
      <w:pPr>
        <w:pStyle w:val="5"/>
        <w:tabs>
          <w:tab w:val="left" w:pos="432"/>
        </w:tabs>
        <w:adjustRightInd w:val="0"/>
        <w:snapToGrid w:val="0"/>
        <w:spacing w:line="360" w:lineRule="auto"/>
        <w:ind w:firstLine="200"/>
        <w:jc w:val="both"/>
        <w:rPr>
          <w:rFonts w:ascii="宋体" w:hAnsi="宋体"/>
          <w:sz w:val="21"/>
        </w:rPr>
      </w:pPr>
      <w:bookmarkStart w:id="32" w:name="_Toc33619356"/>
      <w:r>
        <w:rPr>
          <w:rFonts w:hint="eastAsia" w:ascii="宋体" w:hAnsi="宋体"/>
          <w:sz w:val="21"/>
        </w:rPr>
        <w:t>第五条 发行人的权利义务</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5</w:t>
      </w:r>
      <w:r>
        <w:rPr>
          <w:rFonts w:hint="eastAsia" w:ascii="宋体" w:hAnsi="宋体"/>
          <w:w w:val="100"/>
          <w:kern w:val="2"/>
          <w:sz w:val="21"/>
          <w:lang w:eastAsia="zh-CN"/>
        </w:rPr>
        <w:t>.1发行人应配合主承销商为债券发行进行的尽职调查工作。</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5</w:t>
      </w:r>
      <w:r>
        <w:rPr>
          <w:rFonts w:hint="eastAsia" w:ascii="宋体" w:hAnsi="宋体"/>
          <w:w w:val="100"/>
          <w:kern w:val="2"/>
          <w:sz w:val="21"/>
          <w:lang w:eastAsia="zh-CN"/>
        </w:rPr>
        <w:t>.2发行人发行本次债券后，将严格按照经批准的募集资金用途使用本次募集款项。</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5</w:t>
      </w:r>
      <w:r>
        <w:rPr>
          <w:rFonts w:hint="eastAsia" w:ascii="宋体" w:hAnsi="宋体"/>
          <w:w w:val="100"/>
          <w:kern w:val="2"/>
          <w:sz w:val="21"/>
          <w:lang w:eastAsia="zh-CN"/>
        </w:rPr>
        <w:t>.3发行人将及时向有关主管机关和有关证券交易场所报送法律、法规和有关证券交易场所的交易规则规定的发行及交易流通文件。</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5</w:t>
      </w:r>
      <w:r>
        <w:rPr>
          <w:rFonts w:hint="eastAsia" w:ascii="宋体" w:hAnsi="宋体"/>
          <w:w w:val="100"/>
          <w:kern w:val="2"/>
          <w:sz w:val="21"/>
          <w:lang w:eastAsia="zh-CN"/>
        </w:rPr>
        <w:t>.4发行人应在接到与本次发行及交易流通有关的主管机关发出的发行文件或对其进行的修改或补充已经被批准或生效的通知时，立即告知主承销商并提供该等通知相应的复印件；发行人应在接到上述部门关于暂停使用发行文件、暂停发售本次债券或要求对发行文件进行修改或补充的通知后，立即通知主承销商。</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5</w:t>
      </w:r>
      <w:r>
        <w:rPr>
          <w:rFonts w:hint="eastAsia" w:ascii="宋体" w:hAnsi="宋体"/>
          <w:w w:val="100"/>
          <w:kern w:val="2"/>
          <w:sz w:val="21"/>
          <w:lang w:eastAsia="zh-CN"/>
        </w:rPr>
        <w:t>.5本次债券挂牌转让流通首日前的任何时候，如果发行人了解到任何将使其在本协议中作出的声明、保证或承诺存在错误或者变得不真实或不正确，应立即通知主承销商，并按主承销商的合理要求，采取必要措施予以补救或予以公布。</w:t>
      </w:r>
    </w:p>
    <w:p>
      <w:pPr>
        <w:pStyle w:val="5"/>
        <w:tabs>
          <w:tab w:val="left" w:pos="432"/>
        </w:tabs>
        <w:adjustRightInd w:val="0"/>
        <w:snapToGrid w:val="0"/>
        <w:spacing w:line="360" w:lineRule="auto"/>
        <w:ind w:firstLine="200"/>
        <w:jc w:val="both"/>
        <w:rPr>
          <w:rFonts w:ascii="宋体" w:hAnsi="宋体"/>
          <w:sz w:val="21"/>
        </w:rPr>
      </w:pPr>
      <w:r>
        <w:rPr>
          <w:rFonts w:hint="eastAsia" w:ascii="宋体" w:hAnsi="宋体"/>
          <w:sz w:val="21"/>
        </w:rPr>
        <w:t>第六条</w:t>
      </w:r>
      <w:r>
        <w:rPr>
          <w:rFonts w:hint="eastAsia" w:ascii="宋体" w:hAnsi="宋体"/>
          <w:sz w:val="21"/>
        </w:rPr>
        <w:tab/>
      </w:r>
      <w:r>
        <w:rPr>
          <w:rFonts w:hint="eastAsia" w:ascii="宋体" w:hAnsi="宋体"/>
          <w:sz w:val="21"/>
        </w:rPr>
        <w:t>主承销商的权利义务</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6</w:t>
      </w:r>
      <w:r>
        <w:rPr>
          <w:rFonts w:hint="eastAsia" w:ascii="宋体" w:hAnsi="宋体"/>
          <w:w w:val="100"/>
          <w:kern w:val="2"/>
          <w:sz w:val="21"/>
          <w:lang w:eastAsia="zh-CN"/>
        </w:rPr>
        <w:t>.1主承销商应根据有关要求对本协议项下债券发行进行尽职调查，并有权要求发行人、增信机构（如有）提供发行所需的各类材料，包括但不限于公司经营、财务、法律状况及评级的文件、资料和数据。</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6</w:t>
      </w:r>
      <w:r>
        <w:rPr>
          <w:rFonts w:hint="eastAsia" w:ascii="宋体" w:hAnsi="宋体"/>
          <w:w w:val="100"/>
          <w:kern w:val="2"/>
          <w:sz w:val="21"/>
          <w:lang w:eastAsia="zh-CN"/>
        </w:rPr>
        <w:t>.</w:t>
      </w:r>
      <w:r>
        <w:rPr>
          <w:rFonts w:ascii="宋体" w:hAnsi="宋体"/>
          <w:w w:val="100"/>
          <w:kern w:val="2"/>
          <w:sz w:val="21"/>
          <w:lang w:eastAsia="zh-CN"/>
        </w:rPr>
        <w:t>2</w:t>
      </w:r>
      <w:r>
        <w:rPr>
          <w:rFonts w:hint="eastAsia" w:ascii="宋体" w:hAnsi="宋体"/>
          <w:w w:val="100"/>
          <w:kern w:val="2"/>
          <w:sz w:val="21"/>
          <w:lang w:eastAsia="zh-CN"/>
        </w:rPr>
        <w:t>主承销商有义务按时、足额向发行人划付募集资金。</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6</w:t>
      </w:r>
      <w:r>
        <w:rPr>
          <w:rFonts w:hint="eastAsia" w:ascii="宋体" w:hAnsi="宋体"/>
          <w:w w:val="100"/>
          <w:kern w:val="2"/>
          <w:sz w:val="21"/>
          <w:lang w:eastAsia="zh-CN"/>
        </w:rPr>
        <w:t>.</w:t>
      </w:r>
      <w:r>
        <w:rPr>
          <w:rFonts w:ascii="宋体" w:hAnsi="宋体"/>
          <w:w w:val="100"/>
          <w:kern w:val="2"/>
          <w:sz w:val="21"/>
          <w:lang w:eastAsia="zh-CN"/>
        </w:rPr>
        <w:t>3</w:t>
      </w:r>
      <w:r>
        <w:rPr>
          <w:rFonts w:hint="eastAsia" w:ascii="宋体" w:hAnsi="宋体"/>
          <w:w w:val="100"/>
          <w:kern w:val="2"/>
          <w:sz w:val="21"/>
          <w:lang w:eastAsia="zh-CN"/>
        </w:rPr>
        <w:t>应发行人要求，主承销商应向发行人提供本次债券发行总体方案的建议书，配合完成募集说明书及其摘要的起草和其他本次发行有关的文件。</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6</w:t>
      </w:r>
      <w:r>
        <w:rPr>
          <w:rFonts w:hint="eastAsia" w:ascii="宋体" w:hAnsi="宋体"/>
          <w:w w:val="100"/>
          <w:kern w:val="2"/>
          <w:sz w:val="21"/>
          <w:lang w:eastAsia="zh-CN"/>
        </w:rPr>
        <w:t>.</w:t>
      </w:r>
      <w:r>
        <w:rPr>
          <w:rFonts w:ascii="宋体" w:hAnsi="宋体"/>
          <w:w w:val="100"/>
          <w:kern w:val="2"/>
          <w:sz w:val="21"/>
          <w:lang w:eastAsia="zh-CN"/>
        </w:rPr>
        <w:t>4</w:t>
      </w:r>
      <w:r>
        <w:rPr>
          <w:rFonts w:hint="eastAsia" w:ascii="宋体" w:hAnsi="宋体"/>
          <w:w w:val="100"/>
          <w:kern w:val="2"/>
          <w:sz w:val="21"/>
          <w:lang w:eastAsia="zh-CN"/>
        </w:rPr>
        <w:t>主承销商有义务协助发行人开展债券发行文件的申报、托管登记工作和争取挂牌转让申请工作。</w:t>
      </w:r>
    </w:p>
    <w:p>
      <w:pPr>
        <w:pStyle w:val="5"/>
        <w:tabs>
          <w:tab w:val="left" w:pos="432"/>
        </w:tabs>
        <w:adjustRightInd w:val="0"/>
        <w:snapToGrid w:val="0"/>
        <w:spacing w:line="360" w:lineRule="auto"/>
        <w:ind w:firstLine="200"/>
        <w:jc w:val="both"/>
        <w:rPr>
          <w:rFonts w:ascii="宋体" w:hAnsi="宋体"/>
          <w:sz w:val="21"/>
        </w:rPr>
      </w:pPr>
      <w:r>
        <w:rPr>
          <w:rFonts w:hint="eastAsia" w:ascii="宋体" w:hAnsi="宋体"/>
          <w:sz w:val="21"/>
        </w:rPr>
        <w:t>第七条</w:t>
      </w:r>
      <w:r>
        <w:rPr>
          <w:rFonts w:hint="eastAsia" w:ascii="宋体" w:hAnsi="宋体"/>
          <w:sz w:val="21"/>
        </w:rPr>
        <w:tab/>
      </w:r>
      <w:r>
        <w:rPr>
          <w:rFonts w:hint="eastAsia" w:ascii="宋体" w:hAnsi="宋体"/>
          <w:sz w:val="21"/>
        </w:rPr>
        <w:t>违约责任</w:t>
      </w:r>
    </w:p>
    <w:p>
      <w:pPr>
        <w:pStyle w:val="44"/>
        <w:numPr>
          <w:ilvl w:val="0"/>
          <w:numId w:val="0"/>
        </w:numPr>
        <w:adjustRightInd w:val="0"/>
        <w:snapToGrid w:val="0"/>
        <w:ind w:firstLine="420" w:firstLineChars="200"/>
        <w:rPr>
          <w:rFonts w:ascii="宋体" w:hAnsi="宋体"/>
          <w:w w:val="100"/>
          <w:kern w:val="2"/>
          <w:sz w:val="21"/>
          <w:lang w:eastAsia="zh-CN"/>
        </w:rPr>
      </w:pPr>
      <w:r>
        <w:rPr>
          <w:rFonts w:hint="eastAsia" w:ascii="宋体" w:hAnsi="宋体"/>
          <w:w w:val="100"/>
          <w:kern w:val="2"/>
          <w:sz w:val="21"/>
          <w:lang w:eastAsia="zh-CN"/>
        </w:rPr>
        <w:t>本协议各方应根据本协议的有关规定按时划拨款项，包括但不限于本协议第三条项下的全部募集款项净额及本协议第四条项下的承销费用。违约方应就逾期未划部分按每日万分之二向收款一方支付违约金，还应继续履行付款义务。</w:t>
      </w:r>
    </w:p>
    <w:p>
      <w:pPr>
        <w:pStyle w:val="5"/>
        <w:tabs>
          <w:tab w:val="left" w:pos="432"/>
        </w:tabs>
        <w:adjustRightInd w:val="0"/>
        <w:snapToGrid w:val="0"/>
        <w:spacing w:line="360" w:lineRule="auto"/>
        <w:ind w:firstLine="200"/>
        <w:jc w:val="both"/>
        <w:rPr>
          <w:rFonts w:ascii="宋体" w:hAnsi="宋体"/>
          <w:sz w:val="21"/>
        </w:rPr>
      </w:pPr>
      <w:r>
        <w:rPr>
          <w:rFonts w:hint="eastAsia" w:ascii="宋体" w:hAnsi="宋体"/>
          <w:sz w:val="21"/>
        </w:rPr>
        <w:t>第八条</w:t>
      </w:r>
      <w:r>
        <w:rPr>
          <w:rFonts w:hint="eastAsia" w:ascii="宋体" w:hAnsi="宋体"/>
          <w:sz w:val="21"/>
        </w:rPr>
        <w:tab/>
      </w:r>
      <w:r>
        <w:rPr>
          <w:rFonts w:hint="eastAsia" w:ascii="宋体" w:hAnsi="宋体"/>
          <w:sz w:val="21"/>
        </w:rPr>
        <w:t>保密</w:t>
      </w:r>
    </w:p>
    <w:p>
      <w:pPr>
        <w:pStyle w:val="44"/>
        <w:numPr>
          <w:ilvl w:val="0"/>
          <w:numId w:val="0"/>
        </w:numPr>
        <w:adjustRightInd w:val="0"/>
        <w:snapToGrid w:val="0"/>
        <w:ind w:firstLine="420" w:firstLineChars="200"/>
        <w:rPr>
          <w:rFonts w:ascii="宋体" w:hAnsi="宋体"/>
          <w:w w:val="100"/>
          <w:kern w:val="2"/>
          <w:sz w:val="21"/>
          <w:lang w:eastAsia="zh-CN"/>
        </w:rPr>
      </w:pPr>
      <w:r>
        <w:rPr>
          <w:rFonts w:hint="eastAsia" w:ascii="宋体" w:hAnsi="宋体"/>
          <w:w w:val="100"/>
          <w:kern w:val="2"/>
          <w:sz w:val="21"/>
          <w:lang w:eastAsia="zh-CN"/>
        </w:rPr>
        <w:t>任何一方曾向或可能需向另一方透露有关其各自业务、财务状况及其他保密事项的保密与专有资料。除其他有关保密协议另有规定外，接受上述所有资料(包括书面资料和非书面资料，以下称“保密资料”)的每一方应当：</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8.1</w:t>
      </w:r>
      <w:r>
        <w:rPr>
          <w:rFonts w:hint="eastAsia" w:ascii="宋体" w:hAnsi="宋体"/>
          <w:w w:val="100"/>
          <w:kern w:val="2"/>
          <w:sz w:val="21"/>
          <w:lang w:eastAsia="zh-CN"/>
        </w:rPr>
        <w:t>对上述保密资料予以保密；</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 xml:space="preserve">8.2 </w:t>
      </w:r>
      <w:r>
        <w:rPr>
          <w:rFonts w:hint="eastAsia" w:ascii="宋体" w:hAnsi="宋体"/>
          <w:w w:val="100"/>
          <w:kern w:val="2"/>
          <w:sz w:val="21"/>
          <w:lang w:eastAsia="zh-CN"/>
        </w:rPr>
        <w:t>除对因履行其工作职责而需知道上述保密资料的本方雇员外，不向任何人或实体透露上述保密资料。</w:t>
      </w:r>
    </w:p>
    <w:p>
      <w:pPr>
        <w:pStyle w:val="5"/>
        <w:tabs>
          <w:tab w:val="left" w:pos="432"/>
        </w:tabs>
        <w:adjustRightInd w:val="0"/>
        <w:snapToGrid w:val="0"/>
        <w:spacing w:line="360" w:lineRule="auto"/>
        <w:ind w:firstLine="200"/>
        <w:jc w:val="both"/>
        <w:rPr>
          <w:rFonts w:ascii="宋体" w:hAnsi="宋体"/>
          <w:sz w:val="21"/>
        </w:rPr>
      </w:pPr>
      <w:r>
        <w:rPr>
          <w:rFonts w:hint="eastAsia" w:ascii="宋体" w:hAnsi="宋体"/>
          <w:sz w:val="21"/>
        </w:rPr>
        <w:t>第九条</w:t>
      </w:r>
      <w:r>
        <w:rPr>
          <w:rFonts w:hint="eastAsia" w:ascii="宋体" w:hAnsi="宋体"/>
          <w:sz w:val="21"/>
        </w:rPr>
        <w:tab/>
      </w:r>
      <w:r>
        <w:rPr>
          <w:rFonts w:hint="eastAsia" w:ascii="宋体" w:hAnsi="宋体"/>
          <w:sz w:val="21"/>
        </w:rPr>
        <w:t>适用法律和管辖权</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9</w:t>
      </w:r>
      <w:r>
        <w:rPr>
          <w:rFonts w:hint="eastAsia" w:ascii="宋体" w:hAnsi="宋体"/>
          <w:w w:val="100"/>
          <w:kern w:val="2"/>
          <w:sz w:val="21"/>
          <w:lang w:eastAsia="zh-CN"/>
        </w:rPr>
        <w:t>.1本协议受中国法律管辖，并按中国法律解释。</w:t>
      </w:r>
    </w:p>
    <w:p>
      <w:pPr>
        <w:pStyle w:val="44"/>
        <w:numPr>
          <w:ilvl w:val="0"/>
          <w:numId w:val="0"/>
        </w:numPr>
        <w:adjustRightInd w:val="0"/>
        <w:snapToGrid w:val="0"/>
        <w:ind w:firstLine="420" w:firstLineChars="200"/>
        <w:rPr>
          <w:rFonts w:ascii="宋体" w:hAnsi="宋体"/>
          <w:w w:val="100"/>
          <w:kern w:val="2"/>
          <w:sz w:val="21"/>
          <w:lang w:eastAsia="zh-CN"/>
        </w:rPr>
      </w:pPr>
      <w:r>
        <w:rPr>
          <w:rFonts w:ascii="宋体" w:hAnsi="宋体"/>
          <w:w w:val="100"/>
          <w:kern w:val="2"/>
          <w:sz w:val="21"/>
          <w:lang w:eastAsia="zh-CN"/>
        </w:rPr>
        <w:t>9</w:t>
      </w:r>
      <w:r>
        <w:rPr>
          <w:rFonts w:hint="eastAsia" w:ascii="宋体" w:hAnsi="宋体"/>
          <w:w w:val="100"/>
          <w:kern w:val="2"/>
          <w:sz w:val="21"/>
          <w:lang w:eastAsia="zh-CN"/>
        </w:rPr>
        <w:t>.2任何因本协议引起的或与本协议有关的争议或纠纷均应由各方友好协商解决。本协议任一方认为协商不足以解决前述争议与纠纷的，均有权向发行人所在地人民法院提起诉讼。</w:t>
      </w:r>
    </w:p>
    <w:bookmarkEnd w:id="32"/>
    <w:p>
      <w:pPr>
        <w:adjustRightInd w:val="0"/>
        <w:snapToGrid w:val="0"/>
        <w:spacing w:before="120" w:beforeLines="50" w:after="120" w:afterLines="50" w:line="360" w:lineRule="auto"/>
        <w:rPr>
          <w:rFonts w:eastAsia="新宋体" w:cs="Times New Roman"/>
          <w:b/>
          <w:sz w:val="22"/>
          <w:szCs w:val="22"/>
        </w:rPr>
      </w:pPr>
      <w:r>
        <w:rPr>
          <w:rFonts w:eastAsia="新宋体" w:cs="Times New Roman"/>
          <w:b/>
          <w:sz w:val="22"/>
          <w:szCs w:val="22"/>
        </w:rPr>
        <w:t xml:space="preserve">甲方（盖章）:  </w:t>
      </w:r>
    </w:p>
    <w:p>
      <w:pPr>
        <w:adjustRightInd w:val="0"/>
        <w:snapToGrid w:val="0"/>
        <w:spacing w:before="120" w:beforeLines="50" w:after="120" w:afterLines="50" w:line="360" w:lineRule="auto"/>
        <w:rPr>
          <w:rFonts w:eastAsia="新宋体" w:cs="Times New Roman"/>
          <w:b/>
          <w:sz w:val="22"/>
          <w:szCs w:val="22"/>
        </w:rPr>
      </w:pPr>
      <w:r>
        <w:rPr>
          <w:rFonts w:eastAsia="新宋体" w:cs="Times New Roman"/>
          <w:b/>
          <w:sz w:val="22"/>
          <w:szCs w:val="22"/>
        </w:rPr>
        <w:t xml:space="preserve">法定代表人或授权代理人（签章）： </w:t>
      </w:r>
      <w:r>
        <w:rPr>
          <w:rFonts w:cs="Times New Roman"/>
          <w:b/>
          <w:bCs/>
          <w:sz w:val="22"/>
          <w:szCs w:val="22"/>
        </w:rPr>
        <w:t xml:space="preserve">  </w:t>
      </w:r>
    </w:p>
    <w:p>
      <w:pPr>
        <w:adjustRightInd w:val="0"/>
        <w:snapToGrid w:val="0"/>
        <w:spacing w:before="120" w:beforeLines="50" w:after="120" w:afterLines="50" w:line="360" w:lineRule="auto"/>
        <w:rPr>
          <w:rFonts w:eastAsia="新宋体" w:cs="Times New Roman"/>
          <w:b/>
          <w:sz w:val="22"/>
          <w:szCs w:val="22"/>
        </w:rPr>
      </w:pPr>
      <w:r>
        <w:rPr>
          <w:rFonts w:eastAsia="新宋体" w:cs="Times New Roman"/>
          <w:b/>
          <w:sz w:val="22"/>
          <w:szCs w:val="22"/>
        </w:rPr>
        <w:t>签订时间：</w:t>
      </w:r>
    </w:p>
    <w:p>
      <w:pPr>
        <w:adjustRightInd w:val="0"/>
        <w:snapToGrid w:val="0"/>
        <w:spacing w:before="120" w:beforeLines="50" w:after="120" w:afterLines="50" w:line="360" w:lineRule="auto"/>
        <w:rPr>
          <w:rFonts w:eastAsia="新宋体" w:cs="Times New Roman"/>
          <w:b/>
          <w:sz w:val="22"/>
          <w:szCs w:val="22"/>
        </w:rPr>
      </w:pPr>
    </w:p>
    <w:p>
      <w:pPr>
        <w:adjustRightInd w:val="0"/>
        <w:snapToGrid w:val="0"/>
        <w:spacing w:before="120" w:beforeLines="50" w:after="120" w:afterLines="50" w:line="360" w:lineRule="auto"/>
        <w:rPr>
          <w:rFonts w:eastAsia="新宋体" w:cs="Times New Roman"/>
          <w:b/>
          <w:sz w:val="22"/>
          <w:szCs w:val="22"/>
        </w:rPr>
      </w:pPr>
      <w:r>
        <w:rPr>
          <w:rFonts w:eastAsia="新宋体" w:cs="Times New Roman"/>
          <w:b/>
          <w:sz w:val="22"/>
          <w:szCs w:val="22"/>
        </w:rPr>
        <w:t xml:space="preserve">乙方（盖章）： </w:t>
      </w:r>
    </w:p>
    <w:p>
      <w:pPr>
        <w:adjustRightInd w:val="0"/>
        <w:snapToGrid w:val="0"/>
        <w:spacing w:before="120" w:beforeLines="50" w:after="120" w:afterLines="50" w:line="360" w:lineRule="auto"/>
        <w:rPr>
          <w:rFonts w:eastAsia="新宋体" w:cs="Times New Roman"/>
          <w:b/>
          <w:sz w:val="22"/>
          <w:szCs w:val="22"/>
        </w:rPr>
      </w:pPr>
      <w:r>
        <w:rPr>
          <w:rFonts w:eastAsia="新宋体" w:cs="Times New Roman"/>
          <w:b/>
          <w:sz w:val="22"/>
          <w:szCs w:val="22"/>
        </w:rPr>
        <w:t xml:space="preserve">法定代表人或授权代理人（签章）： </w:t>
      </w:r>
      <w:r>
        <w:rPr>
          <w:rFonts w:cs="Times New Roman"/>
          <w:b/>
          <w:bCs/>
          <w:sz w:val="22"/>
          <w:szCs w:val="22"/>
        </w:rPr>
        <w:t xml:space="preserve"> </w:t>
      </w:r>
    </w:p>
    <w:p>
      <w:pPr>
        <w:adjustRightInd w:val="0"/>
        <w:snapToGrid w:val="0"/>
        <w:spacing w:before="120" w:beforeLines="50" w:after="120" w:afterLines="50" w:line="360" w:lineRule="auto"/>
      </w:pPr>
      <w:r>
        <w:rPr>
          <w:rFonts w:eastAsia="新宋体" w:cs="Times New Roman"/>
          <w:b/>
          <w:sz w:val="22"/>
          <w:szCs w:val="22"/>
        </w:rPr>
        <w:t>签订时间：</w:t>
      </w:r>
      <w:r>
        <w:br w:type="page"/>
      </w:r>
    </w:p>
    <w:p>
      <w:pPr>
        <w:pStyle w:val="35"/>
        <w:jc w:val="center"/>
        <w:rPr>
          <w:rStyle w:val="27"/>
          <w:rFonts w:cs="Times New Roman"/>
          <w:b/>
          <w:bCs/>
        </w:rPr>
      </w:pPr>
      <w:r>
        <w:rPr>
          <w:rStyle w:val="27"/>
          <w:rFonts w:cs="Times New Roman"/>
          <w:b/>
          <w:bCs/>
        </w:rPr>
        <w:t>第五部分    附件：投标文件格式</w:t>
      </w:r>
    </w:p>
    <w:p>
      <w:pPr>
        <w:rPr>
          <w:rStyle w:val="27"/>
          <w:rFonts w:cs="Times New Roman"/>
          <w:sz w:val="28"/>
        </w:rPr>
      </w:pPr>
    </w:p>
    <w:p>
      <w:pPr>
        <w:spacing w:line="360" w:lineRule="auto"/>
        <w:textAlignment w:val="auto"/>
        <w:rPr>
          <w:rStyle w:val="27"/>
          <w:rFonts w:cs="Times New Roman"/>
          <w:sz w:val="28"/>
        </w:rPr>
      </w:pPr>
      <w:r>
        <w:rPr>
          <w:rStyle w:val="27"/>
          <w:rFonts w:cs="Times New Roman"/>
          <w:sz w:val="28"/>
        </w:rPr>
        <w:t>《招标文件》提供格式的，投标单位应参照格式制作，未提供格式的，</w:t>
      </w:r>
    </w:p>
    <w:p>
      <w:pPr>
        <w:spacing w:line="360" w:lineRule="auto"/>
        <w:textAlignment w:val="auto"/>
        <w:rPr>
          <w:rStyle w:val="27"/>
          <w:rFonts w:cs="Times New Roman"/>
          <w:sz w:val="28"/>
        </w:rPr>
      </w:pPr>
      <w:r>
        <w:rPr>
          <w:rStyle w:val="27"/>
          <w:rFonts w:cs="Times New Roman"/>
          <w:sz w:val="28"/>
        </w:rPr>
        <w:t>请各投标单位自行拟定格式（加盖公章并由法人或其授权代表签字）。</w:t>
      </w:r>
    </w:p>
    <w:p>
      <w:pPr>
        <w:rPr>
          <w:rStyle w:val="27"/>
          <w:rFonts w:cs="Times New Roman"/>
          <w:sz w:val="28"/>
        </w:rPr>
      </w:pPr>
      <w:r>
        <w:rPr>
          <w:rStyle w:val="27"/>
          <w:rFonts w:cs="Times New Roman"/>
          <w:sz w:val="28"/>
        </w:rPr>
        <w:br w:type="page"/>
      </w:r>
    </w:p>
    <w:p>
      <w:pPr>
        <w:pStyle w:val="30"/>
        <w:snapToGrid w:val="0"/>
        <w:spacing w:line="360" w:lineRule="auto"/>
        <w:jc w:val="right"/>
        <w:rPr>
          <w:rStyle w:val="27"/>
          <w:rFonts w:cs="Times New Roman"/>
          <w:b/>
          <w:sz w:val="36"/>
          <w:szCs w:val="36"/>
        </w:rPr>
      </w:pPr>
    </w:p>
    <w:p>
      <w:pPr>
        <w:pStyle w:val="30"/>
        <w:snapToGrid w:val="0"/>
        <w:spacing w:line="360" w:lineRule="auto"/>
        <w:jc w:val="right"/>
        <w:rPr>
          <w:rStyle w:val="27"/>
          <w:rFonts w:cs="Times New Roman"/>
          <w:b/>
          <w:sz w:val="36"/>
          <w:szCs w:val="36"/>
        </w:rPr>
      </w:pPr>
      <w:r>
        <w:rPr>
          <w:rStyle w:val="27"/>
          <w:rFonts w:cs="Times New Roman"/>
          <w:b/>
          <w:sz w:val="36"/>
          <w:szCs w:val="36"/>
        </w:rPr>
        <w:t>正本/副本</w:t>
      </w:r>
    </w:p>
    <w:p>
      <w:pPr>
        <w:pStyle w:val="30"/>
        <w:snapToGrid w:val="0"/>
        <w:spacing w:line="480" w:lineRule="auto"/>
        <w:jc w:val="center"/>
        <w:rPr>
          <w:rStyle w:val="27"/>
          <w:rFonts w:cs="Times New Roman"/>
          <w:b/>
          <w:sz w:val="56"/>
          <w:szCs w:val="36"/>
        </w:rPr>
      </w:pPr>
      <w:r>
        <w:rPr>
          <w:rStyle w:val="27"/>
          <w:rFonts w:cs="Times New Roman"/>
          <w:b/>
          <w:sz w:val="56"/>
          <w:szCs w:val="36"/>
        </w:rPr>
        <w:t>项目名称</w:t>
      </w:r>
    </w:p>
    <w:p>
      <w:pPr>
        <w:pStyle w:val="30"/>
        <w:snapToGrid w:val="0"/>
        <w:spacing w:line="480" w:lineRule="auto"/>
        <w:jc w:val="center"/>
        <w:rPr>
          <w:rStyle w:val="27"/>
          <w:rFonts w:cs="Times New Roman"/>
          <w:b/>
          <w:bCs/>
          <w:sz w:val="48"/>
          <w:szCs w:val="48"/>
        </w:rPr>
      </w:pPr>
      <w:r>
        <w:rPr>
          <w:rFonts w:ascii="Times New Roman" w:hAnsi="Times New Roman" w:cs="Times New Roman"/>
          <w:b/>
          <w:bCs/>
          <w:color w:val="000000"/>
          <w:kern w:val="0"/>
          <w:sz w:val="48"/>
          <w:szCs w:val="48"/>
        </w:rPr>
        <w:t>（技术资信文件）/（商务报价文件）</w:t>
      </w:r>
    </w:p>
    <w:p>
      <w:pPr>
        <w:pStyle w:val="30"/>
        <w:snapToGrid w:val="0"/>
        <w:spacing w:line="400" w:lineRule="exact"/>
        <w:rPr>
          <w:rStyle w:val="27"/>
          <w:rFonts w:cs="Times New Roman"/>
          <w:sz w:val="36"/>
          <w:szCs w:val="36"/>
        </w:rPr>
      </w:pPr>
    </w:p>
    <w:p>
      <w:pPr>
        <w:pStyle w:val="30"/>
        <w:snapToGrid w:val="0"/>
        <w:spacing w:line="400" w:lineRule="exact"/>
        <w:ind w:firstLine="3420" w:firstLineChars="950"/>
        <w:rPr>
          <w:rStyle w:val="27"/>
          <w:rFonts w:cs="Times New Roman"/>
          <w:sz w:val="36"/>
          <w:szCs w:val="36"/>
        </w:rPr>
      </w:pPr>
    </w:p>
    <w:p>
      <w:pPr>
        <w:pStyle w:val="30"/>
        <w:snapToGrid w:val="0"/>
        <w:spacing w:line="480" w:lineRule="auto"/>
        <w:ind w:firstLine="1080" w:firstLineChars="300"/>
        <w:rPr>
          <w:rStyle w:val="27"/>
          <w:rFonts w:cs="Times New Roman"/>
          <w:sz w:val="36"/>
          <w:szCs w:val="36"/>
          <w:u w:val="single"/>
        </w:rPr>
      </w:pPr>
      <w:r>
        <w:rPr>
          <w:rStyle w:val="27"/>
          <w:rFonts w:cs="Times New Roman"/>
          <w:sz w:val="36"/>
          <w:szCs w:val="36"/>
        </w:rPr>
        <w:t>招标编号：</w:t>
      </w:r>
    </w:p>
    <w:p>
      <w:pPr>
        <w:pStyle w:val="30"/>
        <w:snapToGrid w:val="0"/>
        <w:spacing w:line="480" w:lineRule="auto"/>
        <w:ind w:firstLine="1080" w:firstLineChars="300"/>
        <w:rPr>
          <w:rStyle w:val="27"/>
          <w:rFonts w:cs="Times New Roman"/>
          <w:sz w:val="36"/>
          <w:szCs w:val="36"/>
          <w:u w:val="single"/>
        </w:rPr>
      </w:pPr>
      <w:r>
        <w:rPr>
          <w:rStyle w:val="27"/>
          <w:rFonts w:cs="Times New Roman"/>
          <w:sz w:val="36"/>
          <w:szCs w:val="36"/>
        </w:rPr>
        <w:t>供应商名称（盖章）：</w:t>
      </w:r>
    </w:p>
    <w:p>
      <w:pPr>
        <w:pStyle w:val="30"/>
        <w:snapToGrid w:val="0"/>
        <w:spacing w:line="400" w:lineRule="exact"/>
        <w:ind w:firstLine="1080" w:firstLineChars="300"/>
        <w:rPr>
          <w:rStyle w:val="27"/>
          <w:rFonts w:cs="Times New Roman"/>
          <w:sz w:val="36"/>
          <w:szCs w:val="36"/>
          <w:u w:val="single"/>
        </w:rPr>
      </w:pPr>
      <w:r>
        <w:rPr>
          <w:rStyle w:val="27"/>
          <w:rFonts w:cs="Times New Roman"/>
          <w:sz w:val="36"/>
          <w:szCs w:val="36"/>
        </w:rPr>
        <w:t>法定代表人或授权代表（签字或盖章）：</w:t>
      </w:r>
    </w:p>
    <w:p>
      <w:pPr>
        <w:pStyle w:val="30"/>
        <w:snapToGrid w:val="0"/>
        <w:spacing w:line="400" w:lineRule="exact"/>
        <w:ind w:firstLine="3420" w:firstLineChars="950"/>
        <w:rPr>
          <w:rStyle w:val="27"/>
          <w:rFonts w:cs="Times New Roman"/>
          <w:sz w:val="36"/>
          <w:szCs w:val="36"/>
        </w:rPr>
      </w:pPr>
    </w:p>
    <w:p>
      <w:pPr>
        <w:pStyle w:val="30"/>
        <w:snapToGrid w:val="0"/>
        <w:spacing w:line="400" w:lineRule="exact"/>
        <w:ind w:firstLine="1080" w:firstLineChars="300"/>
        <w:rPr>
          <w:rStyle w:val="27"/>
          <w:rFonts w:cs="Times New Roman"/>
          <w:sz w:val="36"/>
          <w:szCs w:val="36"/>
        </w:rPr>
      </w:pPr>
      <w:r>
        <w:rPr>
          <w:rStyle w:val="27"/>
          <w:rFonts w:cs="Times New Roman"/>
          <w:sz w:val="36"/>
          <w:szCs w:val="36"/>
        </w:rPr>
        <w:t>时间：  年  月  日   时   分</w:t>
      </w:r>
    </w:p>
    <w:p>
      <w:pPr>
        <w:pStyle w:val="30"/>
        <w:snapToGrid w:val="0"/>
        <w:spacing w:line="400" w:lineRule="exact"/>
        <w:ind w:firstLine="2880" w:firstLineChars="800"/>
        <w:rPr>
          <w:rStyle w:val="27"/>
          <w:rFonts w:cs="Times New Roman"/>
          <w:sz w:val="36"/>
          <w:szCs w:val="36"/>
          <w:u w:val="single"/>
        </w:rPr>
      </w:pPr>
    </w:p>
    <w:p>
      <w:pPr>
        <w:pStyle w:val="30"/>
        <w:snapToGrid w:val="0"/>
        <w:spacing w:line="400" w:lineRule="exact"/>
        <w:ind w:firstLine="2880" w:firstLineChars="800"/>
        <w:rPr>
          <w:rStyle w:val="27"/>
          <w:rFonts w:cs="Times New Roman"/>
          <w:sz w:val="36"/>
          <w:szCs w:val="36"/>
          <w:u w:val="single"/>
        </w:rPr>
      </w:pPr>
    </w:p>
    <w:p>
      <w:pPr>
        <w:pStyle w:val="30"/>
        <w:snapToGrid w:val="0"/>
        <w:spacing w:line="400" w:lineRule="exact"/>
        <w:ind w:firstLine="2880" w:firstLineChars="800"/>
        <w:rPr>
          <w:rStyle w:val="27"/>
          <w:rFonts w:cs="Times New Roman"/>
          <w:sz w:val="36"/>
          <w:szCs w:val="36"/>
          <w:u w:val="single"/>
        </w:rPr>
      </w:pPr>
    </w:p>
    <w:p>
      <w:pPr>
        <w:pStyle w:val="30"/>
        <w:snapToGrid w:val="0"/>
        <w:spacing w:line="400" w:lineRule="exact"/>
        <w:ind w:firstLine="2880" w:firstLineChars="800"/>
        <w:rPr>
          <w:rStyle w:val="27"/>
          <w:rFonts w:cs="Times New Roman"/>
          <w:sz w:val="36"/>
          <w:szCs w:val="36"/>
          <w:u w:val="single"/>
        </w:rPr>
      </w:pPr>
    </w:p>
    <w:p>
      <w:pPr>
        <w:pStyle w:val="30"/>
        <w:snapToGrid w:val="0"/>
        <w:spacing w:line="400" w:lineRule="exact"/>
        <w:ind w:firstLine="2880" w:firstLineChars="800"/>
        <w:rPr>
          <w:rStyle w:val="27"/>
          <w:rFonts w:cs="Times New Roman"/>
          <w:sz w:val="36"/>
          <w:szCs w:val="36"/>
          <w:u w:val="single"/>
        </w:rPr>
      </w:pPr>
    </w:p>
    <w:p>
      <w:pPr>
        <w:pStyle w:val="30"/>
        <w:snapToGrid w:val="0"/>
        <w:spacing w:line="400" w:lineRule="exact"/>
        <w:ind w:firstLine="3600" w:firstLineChars="1000"/>
        <w:rPr>
          <w:rStyle w:val="27"/>
          <w:rFonts w:cs="Times New Roman"/>
          <w:sz w:val="36"/>
          <w:szCs w:val="36"/>
        </w:rPr>
      </w:pPr>
      <w:r>
        <w:rPr>
          <w:rStyle w:val="27"/>
          <w:rFonts w:cs="Times New Roman"/>
          <w:sz w:val="36"/>
          <w:szCs w:val="36"/>
        </w:rPr>
        <w:t xml:space="preserve">开标时启封    </w:t>
      </w:r>
    </w:p>
    <w:p>
      <w:pPr>
        <w:jc w:val="left"/>
        <w:rPr>
          <w:rStyle w:val="27"/>
          <w:rFonts w:cs="Times New Roman"/>
          <w:sz w:val="36"/>
          <w:szCs w:val="36"/>
        </w:rPr>
      </w:pPr>
      <w:r>
        <w:rPr>
          <w:rStyle w:val="27"/>
          <w:rFonts w:cs="Times New Roman"/>
          <w:sz w:val="36"/>
          <w:szCs w:val="36"/>
        </w:rPr>
        <w:br w:type="page"/>
      </w:r>
    </w:p>
    <w:p>
      <w:pPr>
        <w:pStyle w:val="30"/>
        <w:snapToGrid w:val="0"/>
        <w:spacing w:line="460" w:lineRule="atLeast"/>
        <w:rPr>
          <w:rStyle w:val="27"/>
          <w:rFonts w:cs="Times New Roman"/>
          <w:color w:val="000000" w:themeColor="text1"/>
          <w:sz w:val="28"/>
          <w:szCs w:val="30"/>
          <w14:textFill>
            <w14:solidFill>
              <w14:schemeClr w14:val="tx1"/>
            </w14:solidFill>
          </w14:textFill>
        </w:rPr>
      </w:pPr>
      <w:r>
        <w:rPr>
          <w:rStyle w:val="27"/>
          <w:rFonts w:cs="Times New Roman"/>
          <w:color w:val="000000" w:themeColor="text1"/>
          <w:sz w:val="28"/>
          <w:szCs w:val="30"/>
          <w14:textFill>
            <w14:solidFill>
              <w14:schemeClr w14:val="tx1"/>
            </w14:solidFill>
          </w14:textFill>
        </w:rPr>
        <w:t>附件一</w:t>
      </w:r>
    </w:p>
    <w:p>
      <w:pPr>
        <w:spacing w:line="360" w:lineRule="auto"/>
        <w:ind w:firstLine="3840" w:firstLineChars="1200"/>
        <w:rPr>
          <w:rStyle w:val="27"/>
          <w:rFonts w:cs="Times New Roman"/>
          <w:color w:val="000000" w:themeColor="text1"/>
          <w:sz w:val="32"/>
          <w:szCs w:val="32"/>
          <w14:textFill>
            <w14:solidFill>
              <w14:schemeClr w14:val="tx1"/>
            </w14:solidFill>
          </w14:textFill>
        </w:rPr>
      </w:pPr>
      <w:r>
        <w:rPr>
          <w:rStyle w:val="27"/>
          <w:rFonts w:cs="Times New Roman"/>
          <w:color w:val="000000" w:themeColor="text1"/>
          <w:sz w:val="32"/>
          <w:szCs w:val="18"/>
          <w14:textFill>
            <w14:solidFill>
              <w14:schemeClr w14:val="tx1"/>
            </w14:solidFill>
          </w14:textFill>
        </w:rPr>
        <w:t>投  标  函</w:t>
      </w:r>
    </w:p>
    <w:p>
      <w:pPr>
        <w:pStyle w:val="30"/>
        <w:snapToGrid w:val="0"/>
        <w:spacing w:line="360" w:lineRule="auto"/>
        <w:rPr>
          <w:rStyle w:val="27"/>
          <w:rFonts w:cs="Times New Roman"/>
          <w:sz w:val="22"/>
          <w:szCs w:val="24"/>
          <w:u w:val="single"/>
        </w:rPr>
      </w:pPr>
      <w:r>
        <w:rPr>
          <w:rStyle w:val="27"/>
          <w:rFonts w:cs="Times New Roman"/>
          <w:sz w:val="22"/>
          <w:szCs w:val="24"/>
          <w:u w:val="single"/>
        </w:rPr>
        <w:t>龙港市新城建设发展有限公司：</w:t>
      </w:r>
    </w:p>
    <w:p>
      <w:pPr>
        <w:spacing w:line="360" w:lineRule="auto"/>
        <w:ind w:firstLine="440" w:firstLineChars="200"/>
        <w:rPr>
          <w:rStyle w:val="27"/>
          <w:rFonts w:cs="Times New Roman"/>
          <w:color w:val="000000"/>
          <w:sz w:val="22"/>
          <w:szCs w:val="24"/>
          <w:lang w:val="zh-CN"/>
        </w:rPr>
      </w:pPr>
      <w:r>
        <w:rPr>
          <w:rStyle w:val="27"/>
          <w:rFonts w:cs="Times New Roman"/>
          <w:sz w:val="22"/>
          <w:szCs w:val="24"/>
          <w:u w:val="single"/>
          <w:lang w:val="zh-CN"/>
        </w:rPr>
        <w:t>（供应商全称）</w:t>
      </w:r>
      <w:r>
        <w:rPr>
          <w:rStyle w:val="27"/>
          <w:rFonts w:cs="Times New Roman"/>
          <w:sz w:val="22"/>
          <w:szCs w:val="24"/>
          <w:lang w:val="zh-CN"/>
        </w:rPr>
        <w:t xml:space="preserve">授权 </w:t>
      </w:r>
      <w:r>
        <w:rPr>
          <w:rStyle w:val="27"/>
          <w:rFonts w:cs="Times New Roman"/>
          <w:sz w:val="22"/>
          <w:szCs w:val="24"/>
          <w:u w:val="single"/>
          <w:lang w:val="zh-CN"/>
        </w:rPr>
        <w:t>（授权代表名称）（职务、职称）</w:t>
      </w:r>
      <w:r>
        <w:rPr>
          <w:rStyle w:val="27"/>
          <w:rFonts w:cs="Times New Roman"/>
          <w:sz w:val="22"/>
          <w:szCs w:val="24"/>
          <w:lang w:val="zh-CN"/>
        </w:rPr>
        <w:t>为授权代表，参加贵方组织的招标的有关活动，为此：</w:t>
      </w:r>
      <w:r>
        <w:rPr>
          <w:rStyle w:val="27"/>
          <w:rFonts w:cs="Times New Roman"/>
          <w:color w:val="000000"/>
          <w:sz w:val="22"/>
          <w:szCs w:val="24"/>
          <w:lang w:val="zh-CN"/>
        </w:rPr>
        <w:t xml:space="preserve">并对项目（采购项目名称）进行投标。   </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lang w:val="zh-CN"/>
        </w:rPr>
        <w:t>1、提供供应商须知规定的全部投标文件：</w:t>
      </w:r>
    </w:p>
    <w:p>
      <w:pPr>
        <w:spacing w:line="360" w:lineRule="auto"/>
        <w:ind w:left="1" w:firstLine="913" w:firstLineChars="415"/>
        <w:rPr>
          <w:rFonts w:cs="Times New Roman"/>
          <w:lang w:val="zh-CN"/>
        </w:rPr>
      </w:pPr>
      <w:r>
        <w:rPr>
          <w:rStyle w:val="27"/>
          <w:rFonts w:cs="Times New Roman"/>
          <w:color w:val="000000"/>
          <w:sz w:val="22"/>
          <w:szCs w:val="24"/>
          <w:lang w:val="zh-CN"/>
        </w:rPr>
        <w:t>投标文件正本一份，副本六份。</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lang w:val="zh-CN"/>
        </w:rPr>
        <w:t>2、保证遵守采购文件中的有关规定和收费标准。</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lang w:val="zh-CN"/>
        </w:rPr>
        <w:t>3、保证忠实地执行采购人、中标供应商双方所签的合同，并承担合同规定的责任义务。</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lang w:val="zh-CN"/>
        </w:rPr>
        <w:t>4、我方承诺如中标，本投标文件至本项目合同履行完毕止均保持有效，本投标人将按“招标文件”及政府采购法律、法规的规定履行合同责任和义务。</w:t>
      </w:r>
    </w:p>
    <w:p>
      <w:pPr>
        <w:spacing w:line="360" w:lineRule="auto"/>
        <w:ind w:firstLine="660" w:firstLineChars="300"/>
        <w:rPr>
          <w:rStyle w:val="27"/>
          <w:rFonts w:cs="Times New Roman"/>
          <w:color w:val="000000"/>
          <w:sz w:val="22"/>
          <w:szCs w:val="24"/>
          <w:lang w:val="zh-CN"/>
        </w:rPr>
      </w:pPr>
      <w:r>
        <w:rPr>
          <w:rStyle w:val="27"/>
          <w:rFonts w:cs="Times New Roman"/>
          <w:color w:val="000000"/>
          <w:sz w:val="22"/>
          <w:szCs w:val="24"/>
        </w:rPr>
        <w:t>5</w:t>
      </w:r>
      <w:r>
        <w:rPr>
          <w:rStyle w:val="27"/>
          <w:rFonts w:cs="Times New Roman"/>
          <w:color w:val="000000"/>
          <w:sz w:val="22"/>
          <w:szCs w:val="24"/>
          <w:lang w:val="zh-CN"/>
        </w:rPr>
        <w:t>、供应商已详细审查全部招标文件，包括招标文件补充文件（如果有的话）。我方完全理解并同意放弃对这方面有不明及误解的权力。如果招标文件有相互矛盾之处，我方同意按采购人的理解处理。</w:t>
      </w:r>
    </w:p>
    <w:p>
      <w:pPr>
        <w:spacing w:line="360" w:lineRule="auto"/>
        <w:ind w:left="1" w:firstLine="585" w:firstLineChars="266"/>
        <w:rPr>
          <w:rStyle w:val="27"/>
          <w:rFonts w:cs="Times New Roman"/>
          <w:color w:val="000000"/>
          <w:sz w:val="22"/>
          <w:szCs w:val="24"/>
        </w:rPr>
      </w:pPr>
      <w:r>
        <w:rPr>
          <w:rStyle w:val="27"/>
          <w:rFonts w:cs="Times New Roman"/>
          <w:color w:val="000000"/>
          <w:sz w:val="22"/>
          <w:szCs w:val="24"/>
        </w:rPr>
        <w:t>6、利益冲突：近三年内直至目前，我单位与本项目的采购人、招标代理机构没有任何的隶属关系。</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rPr>
        <w:t>7、</w:t>
      </w:r>
      <w:r>
        <w:rPr>
          <w:rStyle w:val="27"/>
          <w:rFonts w:cs="Times New Roman"/>
          <w:bCs/>
          <w:color w:val="000000"/>
          <w:sz w:val="22"/>
          <w:szCs w:val="24"/>
        </w:rPr>
        <w:t>我单位没有被浙江省财政厅、温州市财政局及本项目所在地的政府采购管理部门限制参加投标。</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rPr>
        <w:t>8</w:t>
      </w:r>
      <w:r>
        <w:rPr>
          <w:rStyle w:val="27"/>
          <w:rFonts w:cs="Times New Roman"/>
          <w:color w:val="000000"/>
          <w:sz w:val="22"/>
          <w:szCs w:val="24"/>
          <w:lang w:val="zh-CN"/>
        </w:rPr>
        <w:t>、愿意向贵方提供任何与该项投标有关的数据、情况和技术资料，完全理解贵方不一定接受最低价的投标或收到的任何投标。</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rPr>
        <w:t>9</w:t>
      </w:r>
      <w:r>
        <w:rPr>
          <w:rStyle w:val="27"/>
          <w:rFonts w:cs="Times New Roman"/>
          <w:color w:val="000000"/>
          <w:sz w:val="22"/>
          <w:szCs w:val="24"/>
          <w:lang w:val="zh-CN"/>
        </w:rPr>
        <w:t>、投标文件自响应截止之日起90天内有效。</w:t>
      </w:r>
    </w:p>
    <w:p>
      <w:pPr>
        <w:spacing w:line="360" w:lineRule="auto"/>
        <w:ind w:left="1" w:firstLine="585" w:firstLineChars="266"/>
        <w:rPr>
          <w:rStyle w:val="27"/>
          <w:rFonts w:cs="Times New Roman"/>
          <w:color w:val="000000"/>
          <w:sz w:val="22"/>
          <w:szCs w:val="24"/>
          <w:lang w:val="zh-CN"/>
        </w:rPr>
      </w:pPr>
      <w:r>
        <w:rPr>
          <w:rStyle w:val="27"/>
          <w:rFonts w:cs="Times New Roman"/>
          <w:color w:val="000000"/>
          <w:sz w:val="22"/>
          <w:szCs w:val="24"/>
          <w:lang w:val="zh-CN"/>
        </w:rPr>
        <w:t>1</w:t>
      </w:r>
      <w:r>
        <w:rPr>
          <w:rStyle w:val="27"/>
          <w:rFonts w:cs="Times New Roman"/>
          <w:color w:val="000000"/>
          <w:sz w:val="22"/>
          <w:szCs w:val="24"/>
        </w:rPr>
        <w:t>0</w:t>
      </w:r>
      <w:r>
        <w:rPr>
          <w:rStyle w:val="27"/>
          <w:rFonts w:cs="Times New Roman"/>
          <w:color w:val="000000"/>
          <w:sz w:val="22"/>
          <w:szCs w:val="24"/>
          <w:lang w:val="zh-CN"/>
        </w:rPr>
        <w:t>、与本投标有关的一切往来通讯请寄：</w:t>
      </w:r>
    </w:p>
    <w:p>
      <w:pPr>
        <w:spacing w:line="360" w:lineRule="auto"/>
        <w:ind w:firstLine="585" w:firstLineChars="266"/>
        <w:rPr>
          <w:rStyle w:val="27"/>
          <w:rFonts w:cs="Times New Roman"/>
          <w:color w:val="000000"/>
          <w:sz w:val="22"/>
          <w:szCs w:val="24"/>
          <w:lang w:val="zh-CN"/>
        </w:rPr>
      </w:pPr>
      <w:r>
        <w:rPr>
          <w:rStyle w:val="27"/>
          <w:rFonts w:cs="Times New Roman"/>
          <w:color w:val="000000"/>
          <w:sz w:val="22"/>
          <w:szCs w:val="24"/>
          <w:lang w:val="zh-CN"/>
        </w:rPr>
        <w:t>地址：</w:t>
      </w:r>
    </w:p>
    <w:p>
      <w:pPr>
        <w:spacing w:line="360" w:lineRule="auto"/>
        <w:ind w:firstLine="585" w:firstLineChars="266"/>
        <w:rPr>
          <w:rStyle w:val="27"/>
          <w:rFonts w:cs="Times New Roman"/>
          <w:color w:val="000000"/>
          <w:sz w:val="22"/>
          <w:szCs w:val="24"/>
          <w:u w:val="single"/>
          <w:lang w:val="zh-CN"/>
        </w:rPr>
      </w:pPr>
      <w:r>
        <w:rPr>
          <w:rStyle w:val="27"/>
          <w:rFonts w:cs="Times New Roman"/>
          <w:color w:val="000000"/>
          <w:sz w:val="22"/>
          <w:szCs w:val="24"/>
          <w:lang w:val="zh-CN"/>
        </w:rPr>
        <w:t>邮编：电话：传真：</w:t>
      </w:r>
    </w:p>
    <w:p>
      <w:pPr>
        <w:spacing w:line="360" w:lineRule="auto"/>
        <w:ind w:firstLine="660" w:firstLineChars="300"/>
        <w:rPr>
          <w:rStyle w:val="27"/>
          <w:rFonts w:cs="Times New Roman"/>
          <w:sz w:val="22"/>
          <w:szCs w:val="21"/>
          <w:lang w:val="zh-CN"/>
        </w:rPr>
      </w:pPr>
      <w:r>
        <w:rPr>
          <w:rStyle w:val="27"/>
          <w:rFonts w:cs="Times New Roman"/>
          <w:sz w:val="22"/>
          <w:szCs w:val="21"/>
          <w:lang w:val="zh-CN"/>
        </w:rPr>
        <w:t>供应商全称（盖章）：</w:t>
      </w:r>
    </w:p>
    <w:p>
      <w:pPr>
        <w:spacing w:line="360" w:lineRule="auto"/>
        <w:ind w:firstLine="660" w:firstLineChars="300"/>
        <w:rPr>
          <w:rStyle w:val="27"/>
          <w:rFonts w:cs="Times New Roman"/>
          <w:sz w:val="22"/>
          <w:szCs w:val="21"/>
          <w:lang w:val="zh-CN"/>
        </w:rPr>
      </w:pPr>
      <w:r>
        <w:rPr>
          <w:rStyle w:val="27"/>
          <w:rFonts w:cs="Times New Roman"/>
          <w:sz w:val="22"/>
          <w:szCs w:val="21"/>
          <w:lang w:val="zh-CN"/>
        </w:rPr>
        <w:t>法定代表人或授权代表（签字或盖章）：</w:t>
      </w:r>
    </w:p>
    <w:p>
      <w:pPr>
        <w:pStyle w:val="2"/>
        <w:ind w:left="0" w:leftChars="0" w:right="840" w:firstLine="630" w:firstLineChars="300"/>
        <w:rPr>
          <w:rStyle w:val="22"/>
          <w:rFonts w:hint="eastAsia"/>
          <w:lang w:val="zh-CN"/>
        </w:rPr>
      </w:pPr>
      <w:r>
        <w:rPr>
          <w:rFonts w:hint="eastAsia"/>
          <w:lang w:val="zh-CN"/>
        </w:rPr>
        <w:t>日期：</w:t>
      </w:r>
    </w:p>
    <w:p>
      <w:pPr>
        <w:rPr>
          <w:rStyle w:val="27"/>
          <w:rFonts w:cs="Times New Roman"/>
          <w:b/>
          <w:bCs/>
          <w:sz w:val="22"/>
          <w:szCs w:val="21"/>
        </w:rPr>
      </w:pPr>
    </w:p>
    <w:p>
      <w:pPr>
        <w:rPr>
          <w:rStyle w:val="27"/>
          <w:rFonts w:cs="Times New Roman"/>
          <w:b/>
          <w:bCs/>
          <w:sz w:val="22"/>
          <w:szCs w:val="21"/>
        </w:rPr>
      </w:pPr>
      <w:r>
        <w:rPr>
          <w:rStyle w:val="27"/>
          <w:rFonts w:cs="Times New Roman"/>
          <w:b/>
          <w:bCs/>
          <w:sz w:val="22"/>
          <w:szCs w:val="21"/>
        </w:rPr>
        <w:t>不提供本函做无效投标处理。</w:t>
      </w:r>
    </w:p>
    <w:p>
      <w:pPr>
        <w:pStyle w:val="11"/>
        <w:ind w:firstLine="360"/>
        <w:rPr>
          <w:rStyle w:val="27"/>
          <w:rFonts w:cs="Times New Roman"/>
          <w:sz w:val="36"/>
          <w:szCs w:val="36"/>
        </w:rPr>
      </w:pPr>
    </w:p>
    <w:p>
      <w:pPr>
        <w:pStyle w:val="12"/>
        <w:ind w:firstLine="360"/>
        <w:rPr>
          <w:rFonts w:ascii="Times New Roman" w:hAnsi="Times New Roman" w:cs="Times New Roman"/>
        </w:rPr>
      </w:pPr>
    </w:p>
    <w:p>
      <w:pPr>
        <w:jc w:val="left"/>
        <w:rPr>
          <w:rStyle w:val="27"/>
          <w:rFonts w:cs="Times New Roman"/>
          <w:sz w:val="28"/>
          <w:szCs w:val="36"/>
        </w:rPr>
      </w:pPr>
    </w:p>
    <w:p>
      <w:pPr>
        <w:jc w:val="left"/>
        <w:rPr>
          <w:rStyle w:val="27"/>
          <w:rFonts w:cs="Times New Roman"/>
          <w:sz w:val="28"/>
          <w:szCs w:val="36"/>
        </w:rPr>
      </w:pPr>
    </w:p>
    <w:p>
      <w:pPr>
        <w:pStyle w:val="2"/>
      </w:pPr>
    </w:p>
    <w:p>
      <w:pPr>
        <w:jc w:val="left"/>
        <w:rPr>
          <w:rStyle w:val="27"/>
          <w:rFonts w:cs="Times New Roman"/>
          <w:sz w:val="36"/>
          <w:szCs w:val="36"/>
        </w:rPr>
      </w:pPr>
      <w:r>
        <w:rPr>
          <w:rStyle w:val="27"/>
          <w:rFonts w:cs="Times New Roman"/>
          <w:sz w:val="28"/>
          <w:szCs w:val="36"/>
        </w:rPr>
        <w:t>附件二（一）</w:t>
      </w:r>
    </w:p>
    <w:p>
      <w:pPr>
        <w:spacing w:line="360" w:lineRule="auto"/>
        <w:ind w:firstLine="3092" w:firstLineChars="700"/>
        <w:rPr>
          <w:rStyle w:val="27"/>
          <w:rFonts w:cs="Times New Roman"/>
          <w:b/>
          <w:bCs/>
          <w:sz w:val="44"/>
          <w:szCs w:val="44"/>
        </w:rPr>
      </w:pPr>
      <w:r>
        <w:rPr>
          <w:rStyle w:val="27"/>
          <w:rFonts w:cs="Times New Roman"/>
          <w:b/>
          <w:bCs/>
          <w:sz w:val="44"/>
          <w:szCs w:val="44"/>
        </w:rPr>
        <w:t>开标一览表</w:t>
      </w:r>
    </w:p>
    <w:p>
      <w:pPr>
        <w:spacing w:line="360" w:lineRule="auto"/>
        <w:rPr>
          <w:rStyle w:val="27"/>
          <w:rFonts w:cs="Times New Roman"/>
          <w:szCs w:val="21"/>
        </w:rPr>
      </w:pPr>
      <w:r>
        <w:rPr>
          <w:rFonts w:cs="Times New Roman"/>
          <w:bCs/>
          <w:sz w:val="24"/>
          <w:szCs w:val="22"/>
        </w:rPr>
        <w:t>项目名称：</w:t>
      </w:r>
      <w:r>
        <w:rPr>
          <w:rStyle w:val="27"/>
          <w:rFonts w:hint="eastAsia" w:cs="Times New Roman"/>
          <w:szCs w:val="21"/>
        </w:rPr>
        <w:t>龙港市新城建设发展有限公司2023年发行公司债券项目</w:t>
      </w:r>
    </w:p>
    <w:p>
      <w:pPr>
        <w:spacing w:line="360" w:lineRule="auto"/>
        <w:rPr>
          <w:rStyle w:val="27"/>
          <w:rFonts w:cs="Times New Roman"/>
          <w:szCs w:val="21"/>
        </w:rPr>
      </w:pPr>
      <w:r>
        <w:rPr>
          <w:rStyle w:val="27"/>
          <w:rFonts w:cs="Times New Roman"/>
          <w:szCs w:val="21"/>
          <w:u w:val="single"/>
        </w:rPr>
        <w:t xml:space="preserve"> </w:t>
      </w:r>
      <w:r>
        <w:rPr>
          <w:rStyle w:val="27"/>
          <w:rFonts w:cs="Times New Roman"/>
          <w:szCs w:val="21"/>
        </w:rPr>
        <w:t xml:space="preserve">                                   </w:t>
      </w:r>
    </w:p>
    <w:p>
      <w:pPr>
        <w:spacing w:line="360" w:lineRule="auto"/>
        <w:rPr>
          <w:rStyle w:val="27"/>
          <w:rFonts w:cs="Times New Roman"/>
          <w:sz w:val="22"/>
          <w:szCs w:val="22"/>
          <w:highlight w:val="yellow"/>
          <w:u w:val="single"/>
        </w:rPr>
      </w:pPr>
      <w:r>
        <w:rPr>
          <w:rFonts w:cs="Times New Roman"/>
          <w:bCs/>
          <w:sz w:val="24"/>
          <w:szCs w:val="22"/>
        </w:rPr>
        <w:t>项目编号：</w:t>
      </w:r>
      <w:r>
        <w:rPr>
          <w:rStyle w:val="27"/>
          <w:rFonts w:cs="Times New Roman"/>
          <w:sz w:val="22"/>
          <w:szCs w:val="22"/>
          <w:u w:val="single"/>
        </w:rPr>
        <w:t xml:space="preserve">       </w:t>
      </w:r>
    </w:p>
    <w:tbl>
      <w:tblPr>
        <w:tblStyle w:val="20"/>
        <w:tblW w:w="9175" w:type="dxa"/>
        <w:tblInd w:w="-292"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3400"/>
        <w:gridCol w:w="3413"/>
        <w:gridCol w:w="236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34" w:hRule="atLeast"/>
        </w:trPr>
        <w:tc>
          <w:tcPr>
            <w:tcW w:w="3400" w:type="dxa"/>
            <w:vAlign w:val="center"/>
          </w:tcPr>
          <w:p>
            <w:pPr>
              <w:spacing w:line="400" w:lineRule="exact"/>
              <w:ind w:firstLine="442" w:firstLineChars="200"/>
              <w:jc w:val="center"/>
              <w:rPr>
                <w:rFonts w:cs="Times New Roman"/>
                <w:b/>
                <w:bCs/>
                <w:sz w:val="22"/>
                <w:szCs w:val="22"/>
              </w:rPr>
            </w:pPr>
            <w:r>
              <w:rPr>
                <w:rFonts w:cs="Times New Roman"/>
                <w:b/>
                <w:bCs/>
                <w:sz w:val="22"/>
                <w:szCs w:val="22"/>
              </w:rPr>
              <w:t>项目名称</w:t>
            </w:r>
          </w:p>
        </w:tc>
        <w:tc>
          <w:tcPr>
            <w:tcW w:w="3413" w:type="dxa"/>
            <w:vAlign w:val="center"/>
          </w:tcPr>
          <w:p>
            <w:pPr>
              <w:spacing w:line="400" w:lineRule="exact"/>
              <w:ind w:firstLine="442" w:firstLineChars="200"/>
              <w:jc w:val="center"/>
              <w:rPr>
                <w:rFonts w:cs="Times New Roman"/>
                <w:b/>
                <w:bCs/>
                <w:sz w:val="22"/>
                <w:szCs w:val="22"/>
              </w:rPr>
            </w:pPr>
            <w:bookmarkStart w:id="33" w:name="OLE_LINK12"/>
            <w:r>
              <w:rPr>
                <w:rFonts w:cs="Times New Roman"/>
                <w:b/>
                <w:bCs/>
                <w:sz w:val="22"/>
                <w:szCs w:val="22"/>
              </w:rPr>
              <w:t>投标报价</w:t>
            </w:r>
            <w:bookmarkEnd w:id="33"/>
            <w:r>
              <w:rPr>
                <w:rFonts w:cs="Times New Roman"/>
                <w:b/>
                <w:bCs/>
                <w:sz w:val="22"/>
                <w:szCs w:val="22"/>
              </w:rPr>
              <w:t>（年承销费率）</w:t>
            </w:r>
          </w:p>
        </w:tc>
        <w:tc>
          <w:tcPr>
            <w:tcW w:w="2362" w:type="dxa"/>
            <w:vAlign w:val="center"/>
          </w:tcPr>
          <w:p>
            <w:pPr>
              <w:spacing w:line="400" w:lineRule="exact"/>
              <w:ind w:firstLine="442" w:firstLineChars="200"/>
              <w:jc w:val="center"/>
              <w:rPr>
                <w:rFonts w:cs="Times New Roman"/>
                <w:b/>
                <w:bCs/>
                <w:sz w:val="22"/>
                <w:szCs w:val="22"/>
              </w:rPr>
            </w:pPr>
            <w:r>
              <w:rPr>
                <w:rFonts w:cs="Times New Roman"/>
                <w:b/>
                <w:bCs/>
                <w:sz w:val="22"/>
                <w:szCs w:val="22"/>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34" w:hRule="atLeast"/>
        </w:trPr>
        <w:tc>
          <w:tcPr>
            <w:tcW w:w="3400" w:type="dxa"/>
            <w:vAlign w:val="center"/>
          </w:tcPr>
          <w:p>
            <w:pPr>
              <w:spacing w:line="400" w:lineRule="exact"/>
              <w:jc w:val="center"/>
              <w:rPr>
                <w:rFonts w:cs="Times New Roman"/>
                <w:b/>
                <w:bCs/>
                <w:sz w:val="22"/>
                <w:szCs w:val="22"/>
              </w:rPr>
            </w:pPr>
            <w:r>
              <w:rPr>
                <w:rStyle w:val="27"/>
                <w:rFonts w:hint="eastAsia" w:cs="Times New Roman"/>
                <w:szCs w:val="21"/>
              </w:rPr>
              <w:t>龙港市新城建设发展有限公司2023年发行公司债券项目</w:t>
            </w:r>
          </w:p>
        </w:tc>
        <w:tc>
          <w:tcPr>
            <w:tcW w:w="3413" w:type="dxa"/>
            <w:vAlign w:val="center"/>
          </w:tcPr>
          <w:p>
            <w:pPr>
              <w:spacing w:line="400" w:lineRule="exact"/>
              <w:ind w:firstLine="440" w:firstLineChars="200"/>
              <w:rPr>
                <w:rFonts w:cs="Times New Roman"/>
                <w:sz w:val="22"/>
                <w:szCs w:val="22"/>
              </w:rPr>
            </w:pPr>
            <w:r>
              <w:rPr>
                <w:rFonts w:cs="Times New Roman"/>
                <w:sz w:val="22"/>
                <w:szCs w:val="22"/>
              </w:rPr>
              <w:t>小写：</w:t>
            </w:r>
            <w:r>
              <w:rPr>
                <w:rFonts w:cs="Times New Roman"/>
                <w:sz w:val="22"/>
                <w:szCs w:val="22"/>
                <w:u w:val="single"/>
              </w:rPr>
              <w:t xml:space="preserve">          </w:t>
            </w:r>
            <w:r>
              <w:rPr>
                <w:rFonts w:cs="Times New Roman"/>
                <w:sz w:val="22"/>
                <w:szCs w:val="22"/>
              </w:rPr>
              <w:t>%</w:t>
            </w:r>
          </w:p>
          <w:p>
            <w:pPr>
              <w:spacing w:line="400" w:lineRule="exact"/>
              <w:ind w:firstLine="440" w:firstLineChars="200"/>
              <w:rPr>
                <w:rFonts w:cs="Times New Roman"/>
                <w:b/>
                <w:bCs/>
                <w:sz w:val="22"/>
                <w:szCs w:val="22"/>
                <w:u w:val="single"/>
              </w:rPr>
            </w:pPr>
            <w:r>
              <w:rPr>
                <w:rFonts w:cs="Times New Roman"/>
                <w:sz w:val="22"/>
                <w:szCs w:val="22"/>
              </w:rPr>
              <w:t>大写：百分之</w:t>
            </w:r>
            <w:r>
              <w:rPr>
                <w:rFonts w:cs="Times New Roman"/>
                <w:sz w:val="22"/>
                <w:szCs w:val="22"/>
                <w:u w:val="single"/>
              </w:rPr>
              <w:t xml:space="preserve">      ； </w:t>
            </w:r>
          </w:p>
        </w:tc>
        <w:tc>
          <w:tcPr>
            <w:tcW w:w="2362" w:type="dxa"/>
            <w:vAlign w:val="center"/>
          </w:tcPr>
          <w:p>
            <w:pPr>
              <w:spacing w:line="400" w:lineRule="exact"/>
              <w:rPr>
                <w:rFonts w:cs="Times New Roman"/>
              </w:rPr>
            </w:pPr>
            <w:r>
              <w:rPr>
                <w:rFonts w:cs="Times New Roman"/>
              </w:rPr>
              <w:t>即：</w:t>
            </w:r>
            <w:r>
              <w:rPr>
                <w:rFonts w:cs="Times New Roman"/>
                <w:u w:val="single"/>
              </w:rPr>
              <w:t xml:space="preserve">       </w:t>
            </w:r>
            <w:r>
              <w:rPr>
                <w:rFonts w:cs="Times New Roman"/>
              </w:rPr>
              <w:t>BP</w:t>
            </w:r>
          </w:p>
          <w:p>
            <w:pPr>
              <w:pStyle w:val="11"/>
              <w:ind w:firstLine="220"/>
              <w:rPr>
                <w:rFonts w:cs="Times New Roman"/>
              </w:rPr>
            </w:pPr>
            <w:r>
              <w:rPr>
                <w:rFonts w:cs="Times New Roman"/>
                <w:sz w:val="22"/>
                <w:szCs w:val="22"/>
              </w:rPr>
              <w:t>年承销费率最高限价为</w:t>
            </w:r>
            <w:r>
              <w:rPr>
                <w:rFonts w:cs="Times New Roman"/>
                <w:sz w:val="22"/>
                <w:szCs w:val="22"/>
                <w:u w:val="single"/>
              </w:rPr>
              <w:t>0.1</w:t>
            </w:r>
            <w:r>
              <w:rPr>
                <w:rFonts w:cs="Times New Roman"/>
                <w:sz w:val="22"/>
                <w:szCs w:val="22"/>
              </w:rPr>
              <w:t>%/年，超过最高限价的，作投标无效处理。</w:t>
            </w:r>
          </w:p>
        </w:tc>
      </w:tr>
    </w:tbl>
    <w:p>
      <w:pPr>
        <w:spacing w:line="360" w:lineRule="auto"/>
        <w:rPr>
          <w:rStyle w:val="27"/>
          <w:rFonts w:cs="Times New Roman"/>
          <w:sz w:val="22"/>
          <w:szCs w:val="22"/>
        </w:rPr>
      </w:pPr>
    </w:p>
    <w:p>
      <w:pPr>
        <w:spacing w:line="400" w:lineRule="exact"/>
        <w:rPr>
          <w:rFonts w:cs="Times New Roman"/>
          <w:sz w:val="22"/>
          <w:szCs w:val="22"/>
        </w:rPr>
      </w:pPr>
      <w:r>
        <w:rPr>
          <w:rStyle w:val="27"/>
          <w:rFonts w:cs="Times New Roman"/>
          <w:sz w:val="22"/>
          <w:szCs w:val="22"/>
        </w:rPr>
        <w:t>注：</w:t>
      </w:r>
      <w:r>
        <w:rPr>
          <w:rFonts w:cs="Times New Roman"/>
          <w:sz w:val="22"/>
          <w:szCs w:val="22"/>
        </w:rPr>
        <w:t>1、</w:t>
      </w:r>
      <w:bookmarkStart w:id="34" w:name="OLE_LINK9"/>
      <w:r>
        <w:rPr>
          <w:rFonts w:cs="Times New Roman"/>
          <w:sz w:val="22"/>
          <w:szCs w:val="22"/>
        </w:rPr>
        <w:t>本项目要求供应商以年承销费率进行报价，年承销费率在合同执行过程中是不变的（报价保留两位小数，第三位四舍五入）。</w:t>
      </w:r>
    </w:p>
    <w:p>
      <w:pPr>
        <w:spacing w:line="400" w:lineRule="exact"/>
        <w:rPr>
          <w:rFonts w:cs="Times New Roman"/>
          <w:sz w:val="22"/>
          <w:szCs w:val="22"/>
        </w:rPr>
      </w:pPr>
      <w:r>
        <w:rPr>
          <w:rFonts w:cs="Times New Roman"/>
          <w:sz w:val="22"/>
          <w:szCs w:val="22"/>
        </w:rPr>
        <w:t>▲2、投标报价不得为0或负数。</w:t>
      </w:r>
    </w:p>
    <w:bookmarkEnd w:id="34"/>
    <w:p>
      <w:pPr>
        <w:spacing w:line="400" w:lineRule="exact"/>
        <w:rPr>
          <w:rFonts w:cs="Times New Roman"/>
          <w:sz w:val="22"/>
          <w:szCs w:val="22"/>
        </w:rPr>
      </w:pPr>
      <w:r>
        <w:rPr>
          <w:rFonts w:cs="Times New Roman"/>
          <w:sz w:val="22"/>
          <w:szCs w:val="22"/>
        </w:rPr>
        <w:t>▲3、本表格式不得更改，不提供开标一览表的投标文件将被视为未实质性响应采购文件。</w:t>
      </w:r>
    </w:p>
    <w:p>
      <w:pPr>
        <w:snapToGrid w:val="0"/>
        <w:spacing w:line="360" w:lineRule="auto"/>
        <w:rPr>
          <w:rFonts w:cs="Times New Roman"/>
          <w:b/>
          <w:sz w:val="22"/>
        </w:rPr>
      </w:pPr>
    </w:p>
    <w:p>
      <w:pPr>
        <w:spacing w:line="360" w:lineRule="auto"/>
        <w:ind w:firstLine="440" w:firstLineChars="200"/>
        <w:rPr>
          <w:rStyle w:val="27"/>
          <w:rFonts w:cs="Times New Roman"/>
          <w:sz w:val="22"/>
          <w:szCs w:val="22"/>
        </w:rPr>
      </w:pPr>
    </w:p>
    <w:p>
      <w:pPr>
        <w:spacing w:line="360" w:lineRule="auto"/>
        <w:rPr>
          <w:rStyle w:val="27"/>
          <w:rFonts w:cs="Times New Roman"/>
          <w:sz w:val="22"/>
          <w:szCs w:val="22"/>
        </w:rPr>
      </w:pPr>
    </w:p>
    <w:p>
      <w:pPr>
        <w:spacing w:line="460" w:lineRule="atLeast"/>
        <w:rPr>
          <w:rStyle w:val="27"/>
          <w:rFonts w:cs="Times New Roman"/>
          <w:sz w:val="22"/>
          <w:szCs w:val="22"/>
        </w:rPr>
      </w:pPr>
      <w:r>
        <w:rPr>
          <w:rStyle w:val="27"/>
          <w:rFonts w:cs="Times New Roman"/>
          <w:sz w:val="22"/>
          <w:szCs w:val="22"/>
        </w:rPr>
        <w:t xml:space="preserve">供应商全称（盖章）：             </w:t>
      </w:r>
    </w:p>
    <w:p>
      <w:pPr>
        <w:spacing w:line="460" w:lineRule="atLeast"/>
        <w:rPr>
          <w:rStyle w:val="27"/>
          <w:rFonts w:cs="Times New Roman"/>
          <w:sz w:val="22"/>
          <w:szCs w:val="22"/>
        </w:rPr>
      </w:pPr>
      <w:r>
        <w:rPr>
          <w:rStyle w:val="27"/>
          <w:rFonts w:cs="Times New Roman"/>
          <w:sz w:val="22"/>
          <w:szCs w:val="22"/>
        </w:rPr>
        <w:t xml:space="preserve">授权代表（签字或盖章）：                            </w:t>
      </w:r>
    </w:p>
    <w:p>
      <w:pPr>
        <w:spacing w:line="500" w:lineRule="atLeast"/>
        <w:rPr>
          <w:rStyle w:val="27"/>
          <w:rFonts w:cs="Times New Roman"/>
          <w:b/>
          <w:sz w:val="30"/>
          <w:szCs w:val="30"/>
        </w:rPr>
      </w:pPr>
      <w:r>
        <w:rPr>
          <w:rStyle w:val="27"/>
          <w:rFonts w:cs="Times New Roman"/>
          <w:sz w:val="22"/>
          <w:szCs w:val="22"/>
        </w:rPr>
        <w:t>日期</w:t>
      </w:r>
      <w:r>
        <w:rPr>
          <w:rStyle w:val="27"/>
          <w:rFonts w:cs="Times New Roman"/>
          <w:sz w:val="22"/>
          <w:szCs w:val="22"/>
          <w:lang w:val="zh-CN"/>
        </w:rPr>
        <w:t>：</w:t>
      </w:r>
    </w:p>
    <w:p>
      <w:pPr>
        <w:jc w:val="left"/>
        <w:rPr>
          <w:rStyle w:val="27"/>
          <w:rFonts w:cs="Times New Roman"/>
          <w:sz w:val="28"/>
          <w:szCs w:val="36"/>
        </w:rPr>
      </w:pPr>
    </w:p>
    <w:p>
      <w:pPr>
        <w:jc w:val="left"/>
        <w:rPr>
          <w:rStyle w:val="27"/>
          <w:rFonts w:cs="Times New Roman"/>
          <w:sz w:val="28"/>
          <w:szCs w:val="36"/>
        </w:rPr>
      </w:pPr>
    </w:p>
    <w:p>
      <w:pPr>
        <w:pStyle w:val="6"/>
        <w:ind w:firstLine="413"/>
        <w:rPr>
          <w:rStyle w:val="27"/>
          <w:rFonts w:cs="Times New Roman"/>
          <w:sz w:val="28"/>
          <w:szCs w:val="36"/>
        </w:rPr>
      </w:pPr>
    </w:p>
    <w:p>
      <w:pPr>
        <w:rPr>
          <w:rStyle w:val="27"/>
          <w:rFonts w:cs="Times New Roman"/>
          <w:sz w:val="28"/>
          <w:szCs w:val="36"/>
        </w:rPr>
      </w:pPr>
    </w:p>
    <w:p>
      <w:pPr>
        <w:pStyle w:val="6"/>
        <w:ind w:firstLine="413"/>
        <w:rPr>
          <w:rStyle w:val="27"/>
          <w:rFonts w:cs="Times New Roman"/>
          <w:sz w:val="28"/>
          <w:szCs w:val="36"/>
        </w:rPr>
      </w:pPr>
    </w:p>
    <w:p>
      <w:pPr>
        <w:rPr>
          <w:rStyle w:val="27"/>
          <w:rFonts w:cs="Times New Roman"/>
          <w:sz w:val="28"/>
          <w:szCs w:val="36"/>
        </w:rPr>
      </w:pPr>
    </w:p>
    <w:p>
      <w:pPr>
        <w:jc w:val="left"/>
        <w:rPr>
          <w:rStyle w:val="27"/>
          <w:rFonts w:cs="Times New Roman"/>
          <w:sz w:val="28"/>
          <w:szCs w:val="36"/>
        </w:rPr>
      </w:pPr>
    </w:p>
    <w:p>
      <w:pPr>
        <w:jc w:val="left"/>
        <w:rPr>
          <w:rStyle w:val="27"/>
          <w:rFonts w:cs="Times New Roman"/>
          <w:sz w:val="28"/>
          <w:szCs w:val="36"/>
        </w:rPr>
      </w:pPr>
    </w:p>
    <w:p>
      <w:pPr>
        <w:jc w:val="left"/>
        <w:rPr>
          <w:rStyle w:val="27"/>
          <w:rFonts w:cs="Times New Roman"/>
          <w:sz w:val="28"/>
          <w:szCs w:val="36"/>
        </w:rPr>
      </w:pPr>
    </w:p>
    <w:p>
      <w:pPr>
        <w:pStyle w:val="38"/>
        <w:spacing w:before="120" w:after="120"/>
        <w:ind w:left="0" w:firstLine="0"/>
        <w:rPr>
          <w:rFonts w:ascii="Times New Roman" w:hAnsi="Times New Roman" w:eastAsia="宋体" w:cs="Times New Roman"/>
          <w:b/>
          <w:sz w:val="32"/>
          <w:szCs w:val="32"/>
          <w:lang w:val="en-US"/>
        </w:rPr>
      </w:pPr>
      <w:r>
        <w:rPr>
          <w:rFonts w:ascii="Times New Roman" w:hAnsi="Times New Roman" w:eastAsia="宋体" w:cs="Times New Roman"/>
          <w:sz w:val="32"/>
          <w:szCs w:val="32"/>
        </w:rPr>
        <w:t>附件</w:t>
      </w:r>
      <w:r>
        <w:rPr>
          <w:rFonts w:ascii="Times New Roman" w:hAnsi="Times New Roman" w:eastAsia="宋体" w:cs="Times New Roman"/>
          <w:sz w:val="32"/>
          <w:szCs w:val="32"/>
          <w:lang w:val="en-US"/>
        </w:rPr>
        <w:t>四</w:t>
      </w:r>
      <w:r>
        <w:rPr>
          <w:rFonts w:ascii="Times New Roman" w:hAnsi="Times New Roman" w:eastAsia="宋体" w:cs="Times New Roman"/>
          <w:sz w:val="32"/>
          <w:szCs w:val="32"/>
        </w:rPr>
        <w:t>（</w:t>
      </w:r>
      <w:r>
        <w:rPr>
          <w:rFonts w:ascii="Times New Roman" w:hAnsi="Times New Roman" w:eastAsia="宋体" w:cs="Times New Roman"/>
          <w:sz w:val="32"/>
          <w:szCs w:val="32"/>
          <w:lang w:val="en-US"/>
        </w:rPr>
        <w:t>一</w:t>
      </w:r>
      <w:r>
        <w:rPr>
          <w:rFonts w:ascii="Times New Roman" w:hAnsi="Times New Roman" w:eastAsia="宋体" w:cs="Times New Roman"/>
          <w:sz w:val="32"/>
          <w:szCs w:val="32"/>
        </w:rPr>
        <w:t xml:space="preserve">） </w:t>
      </w:r>
    </w:p>
    <w:p>
      <w:pPr>
        <w:pStyle w:val="13"/>
        <w:spacing w:line="520" w:lineRule="atLeast"/>
        <w:jc w:val="center"/>
        <w:rPr>
          <w:rFonts w:ascii="Times New Roman" w:hAnsi="Times New Roman" w:cs="Times New Roman"/>
          <w:b/>
          <w:sz w:val="32"/>
          <w:szCs w:val="32"/>
        </w:rPr>
      </w:pPr>
      <w:r>
        <w:rPr>
          <w:rFonts w:ascii="Times New Roman" w:hAnsi="Times New Roman" w:cs="Times New Roman"/>
          <w:b/>
          <w:sz w:val="32"/>
          <w:szCs w:val="32"/>
        </w:rPr>
        <w:t>商 务 偏 离 表</w:t>
      </w:r>
    </w:p>
    <w:p>
      <w:pPr>
        <w:autoSpaceDE w:val="0"/>
        <w:autoSpaceDN w:val="0"/>
        <w:adjustRightInd w:val="0"/>
        <w:spacing w:line="440" w:lineRule="atLeast"/>
        <w:ind w:firstLine="3413"/>
        <w:rPr>
          <w:rFonts w:cs="Times New Roman"/>
          <w:b/>
          <w:sz w:val="36"/>
          <w:lang w:val="zh-CN"/>
        </w:rPr>
      </w:pPr>
    </w:p>
    <w:tbl>
      <w:tblPr>
        <w:tblStyle w:val="20"/>
        <w:tblW w:w="9600" w:type="dxa"/>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序 号</w:t>
            </w:r>
          </w:p>
        </w:tc>
        <w:tc>
          <w:tcPr>
            <w:tcW w:w="18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内容</w:t>
            </w:r>
          </w:p>
        </w:tc>
        <w:tc>
          <w:tcPr>
            <w:tcW w:w="26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投标文件</w:t>
            </w:r>
          </w:p>
          <w:p>
            <w:pPr>
              <w:autoSpaceDE w:val="0"/>
              <w:autoSpaceDN w:val="0"/>
              <w:adjustRightInd w:val="0"/>
              <w:spacing w:line="440" w:lineRule="atLeast"/>
              <w:jc w:val="center"/>
              <w:rPr>
                <w:rFonts w:cs="Times New Roman"/>
                <w:b/>
                <w:sz w:val="24"/>
                <w:lang w:val="zh-CN"/>
              </w:rPr>
            </w:pPr>
            <w:r>
              <w:rPr>
                <w:rFonts w:cs="Times New Roman"/>
                <w:b/>
                <w:sz w:val="24"/>
                <w:lang w:val="zh-CN"/>
              </w:rPr>
              <w:t>对应规范</w:t>
            </w:r>
          </w:p>
        </w:tc>
        <w:tc>
          <w:tcPr>
            <w:tcW w:w="212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备 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bl>
    <w:p>
      <w:pPr>
        <w:spacing w:line="360" w:lineRule="auto"/>
        <w:rPr>
          <w:rFonts w:cs="Times New Roman"/>
          <w:color w:val="000000"/>
          <w:sz w:val="24"/>
          <w:szCs w:val="28"/>
        </w:rPr>
      </w:pPr>
      <w:r>
        <w:rPr>
          <w:rFonts w:hint="eastAsia" w:cs="Times New Roman"/>
          <w:color w:val="000000"/>
          <w:sz w:val="24"/>
          <w:szCs w:val="28"/>
        </w:rPr>
        <w:t>备注：如不填写视为完全响应</w:t>
      </w:r>
    </w:p>
    <w:p>
      <w:pPr>
        <w:pStyle w:val="3"/>
        <w:rPr>
          <w:rFonts w:cs="Times New Roman"/>
          <w:b/>
          <w:sz w:val="32"/>
          <w:lang w:val="zh-CN"/>
        </w:rPr>
      </w:pPr>
    </w:p>
    <w:p>
      <w:pPr>
        <w:rPr>
          <w:rFonts w:cs="Times New Roman"/>
          <w:lang w:val="zh-CN"/>
        </w:rPr>
      </w:pPr>
    </w:p>
    <w:p>
      <w:pPr>
        <w:spacing w:line="360" w:lineRule="auto"/>
        <w:jc w:val="left"/>
        <w:rPr>
          <w:rFonts w:cs="Times New Roman"/>
          <w:color w:val="000000"/>
          <w:sz w:val="24"/>
          <w:szCs w:val="28"/>
        </w:rPr>
      </w:pPr>
      <w:r>
        <w:rPr>
          <w:rFonts w:cs="Times New Roman"/>
          <w:color w:val="000000"/>
          <w:sz w:val="24"/>
          <w:szCs w:val="28"/>
        </w:rPr>
        <w:t>投标供应商（盖章）：</w:t>
      </w:r>
    </w:p>
    <w:p>
      <w:pPr>
        <w:spacing w:line="360" w:lineRule="auto"/>
        <w:jc w:val="left"/>
        <w:rPr>
          <w:rFonts w:cs="Times New Roman"/>
          <w:color w:val="000000"/>
          <w:sz w:val="24"/>
          <w:szCs w:val="28"/>
        </w:rPr>
      </w:pPr>
      <w:r>
        <w:rPr>
          <w:rFonts w:cs="Times New Roman"/>
          <w:color w:val="000000"/>
          <w:sz w:val="24"/>
          <w:szCs w:val="28"/>
        </w:rPr>
        <w:t>法定代表人或授权代表人签字（或盖章）：</w:t>
      </w:r>
    </w:p>
    <w:p>
      <w:pPr>
        <w:spacing w:line="360" w:lineRule="auto"/>
        <w:jc w:val="left"/>
        <w:rPr>
          <w:rFonts w:cs="Times New Roman"/>
          <w:color w:val="000000"/>
          <w:sz w:val="24"/>
          <w:szCs w:val="28"/>
        </w:rPr>
      </w:pPr>
      <w:r>
        <w:rPr>
          <w:rFonts w:cs="Times New Roman"/>
          <w:color w:val="000000"/>
          <w:sz w:val="24"/>
          <w:szCs w:val="28"/>
        </w:rPr>
        <w:t>日期：</w:t>
      </w:r>
    </w:p>
    <w:p>
      <w:pPr>
        <w:pStyle w:val="38"/>
        <w:spacing w:before="120" w:after="120"/>
        <w:ind w:left="0" w:firstLine="0"/>
        <w:rPr>
          <w:rFonts w:ascii="Times New Roman" w:hAnsi="Times New Roman" w:eastAsia="宋体" w:cs="Times New Roman"/>
          <w:b/>
          <w:sz w:val="32"/>
          <w:szCs w:val="32"/>
        </w:rPr>
      </w:pPr>
      <w:r>
        <w:rPr>
          <w:rFonts w:ascii="Times New Roman" w:hAnsi="Times New Roman" w:eastAsia="宋体" w:cs="Times New Roman"/>
          <w:b/>
          <w:sz w:val="32"/>
        </w:rPr>
        <w:br w:type="page"/>
      </w:r>
      <w:r>
        <w:rPr>
          <w:rFonts w:ascii="Times New Roman" w:hAnsi="Times New Roman" w:eastAsia="宋体" w:cs="Times New Roman"/>
          <w:sz w:val="32"/>
          <w:szCs w:val="32"/>
        </w:rPr>
        <w:t>附件</w:t>
      </w:r>
      <w:r>
        <w:rPr>
          <w:rFonts w:ascii="Times New Roman" w:hAnsi="Times New Roman" w:eastAsia="宋体" w:cs="Times New Roman"/>
          <w:sz w:val="32"/>
          <w:szCs w:val="32"/>
          <w:lang w:val="en-US"/>
        </w:rPr>
        <w:t>四</w:t>
      </w:r>
      <w:r>
        <w:rPr>
          <w:rFonts w:ascii="Times New Roman" w:hAnsi="Times New Roman" w:eastAsia="宋体" w:cs="Times New Roman"/>
          <w:sz w:val="32"/>
          <w:szCs w:val="32"/>
        </w:rPr>
        <w:t>（</w:t>
      </w:r>
      <w:r>
        <w:rPr>
          <w:rFonts w:ascii="Times New Roman" w:hAnsi="Times New Roman" w:eastAsia="宋体" w:cs="Times New Roman"/>
          <w:sz w:val="32"/>
          <w:szCs w:val="32"/>
          <w:lang w:val="en-US"/>
        </w:rPr>
        <w:t>二</w:t>
      </w:r>
      <w:r>
        <w:rPr>
          <w:rFonts w:ascii="Times New Roman" w:hAnsi="Times New Roman" w:eastAsia="宋体" w:cs="Times New Roman"/>
          <w:sz w:val="32"/>
          <w:szCs w:val="32"/>
        </w:rPr>
        <w:t xml:space="preserve">） </w:t>
      </w:r>
    </w:p>
    <w:p>
      <w:pPr>
        <w:pStyle w:val="13"/>
        <w:spacing w:line="520" w:lineRule="atLeast"/>
        <w:jc w:val="center"/>
        <w:rPr>
          <w:rFonts w:ascii="Times New Roman" w:hAnsi="Times New Roman" w:cs="Times New Roman"/>
          <w:b/>
          <w:sz w:val="36"/>
          <w:lang w:val="zh-CN"/>
        </w:rPr>
      </w:pPr>
      <w:r>
        <w:rPr>
          <w:rFonts w:ascii="Times New Roman" w:hAnsi="Times New Roman" w:cs="Times New Roman"/>
          <w:b/>
          <w:sz w:val="32"/>
          <w:szCs w:val="32"/>
        </w:rPr>
        <w:t>技术偏离表</w:t>
      </w:r>
    </w:p>
    <w:tbl>
      <w:tblPr>
        <w:tblStyle w:val="20"/>
        <w:tblW w:w="0" w:type="auto"/>
        <w:tblInd w:w="-192" w:type="dxa"/>
        <w:tblLayout w:type="fixed"/>
        <w:tblCellMar>
          <w:top w:w="0" w:type="dxa"/>
          <w:left w:w="108" w:type="dxa"/>
          <w:bottom w:w="0" w:type="dxa"/>
          <w:right w:w="108" w:type="dxa"/>
        </w:tblCellMar>
      </w:tblPr>
      <w:tblGrid>
        <w:gridCol w:w="900"/>
        <w:gridCol w:w="1800"/>
        <w:gridCol w:w="2300"/>
        <w:gridCol w:w="2331"/>
        <w:gridCol w:w="2469"/>
      </w:tblGrid>
      <w:tr>
        <w:tblPrEx>
          <w:tblCellMar>
            <w:top w:w="0" w:type="dxa"/>
            <w:left w:w="108" w:type="dxa"/>
            <w:bottom w:w="0" w:type="dxa"/>
            <w:right w:w="108" w:type="dxa"/>
          </w:tblCellMar>
        </w:tblPrEx>
        <w:trPr>
          <w:trHeight w:val="875" w:hRule="atLeast"/>
        </w:trPr>
        <w:tc>
          <w:tcPr>
            <w:tcW w:w="9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序 号</w:t>
            </w:r>
          </w:p>
        </w:tc>
        <w:tc>
          <w:tcPr>
            <w:tcW w:w="18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内容</w:t>
            </w:r>
          </w:p>
        </w:tc>
        <w:tc>
          <w:tcPr>
            <w:tcW w:w="23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cs="Times New Roman"/>
                <w:b/>
                <w:sz w:val="24"/>
                <w:lang w:val="zh-CN"/>
              </w:rPr>
            </w:pPr>
            <w:r>
              <w:rPr>
                <w:rFonts w:cs="Times New Roman"/>
                <w:b/>
                <w:sz w:val="24"/>
                <w:lang w:val="zh-CN"/>
              </w:rPr>
              <w:t>招标文件规范要求</w:t>
            </w:r>
          </w:p>
        </w:tc>
        <w:tc>
          <w:tcPr>
            <w:tcW w:w="2331" w:type="dxa"/>
            <w:tcBorders>
              <w:top w:val="single" w:color="auto" w:sz="6" w:space="0"/>
              <w:left w:val="single" w:color="auto" w:sz="6" w:space="0"/>
              <w:bottom w:val="single" w:color="auto" w:sz="6" w:space="0"/>
              <w:right w:val="single" w:color="auto" w:sz="6" w:space="0"/>
            </w:tcBorders>
            <w:noWrap/>
            <w:vAlign w:val="center"/>
          </w:tcPr>
          <w:p>
            <w:pPr>
              <w:jc w:val="center"/>
              <w:rPr>
                <w:rFonts w:cs="Times New Roman"/>
                <w:b/>
                <w:color w:val="000000"/>
                <w:w w:val="90"/>
                <w:sz w:val="24"/>
              </w:rPr>
            </w:pPr>
            <w:r>
              <w:rPr>
                <w:rFonts w:cs="Times New Roman"/>
                <w:b/>
                <w:color w:val="000000"/>
                <w:w w:val="90"/>
                <w:sz w:val="24"/>
              </w:rPr>
              <w:t>投标响应（逐条</w:t>
            </w:r>
          </w:p>
          <w:p>
            <w:pPr>
              <w:jc w:val="center"/>
              <w:rPr>
                <w:rFonts w:cs="Times New Roman"/>
                <w:b/>
                <w:sz w:val="24"/>
                <w:lang w:val="zh-CN"/>
              </w:rPr>
            </w:pPr>
            <w:r>
              <w:rPr>
                <w:rFonts w:cs="Times New Roman"/>
                <w:b/>
                <w:color w:val="000000"/>
                <w:w w:val="90"/>
                <w:sz w:val="24"/>
              </w:rPr>
              <w:t>对应）</w:t>
            </w:r>
          </w:p>
        </w:tc>
        <w:tc>
          <w:tcPr>
            <w:tcW w:w="2469" w:type="dxa"/>
            <w:tcBorders>
              <w:top w:val="single" w:color="auto" w:sz="6" w:space="0"/>
              <w:left w:val="single" w:color="auto" w:sz="6" w:space="0"/>
              <w:bottom w:val="single" w:color="auto" w:sz="6" w:space="0"/>
              <w:right w:val="single" w:color="auto" w:sz="6" w:space="0"/>
            </w:tcBorders>
            <w:noWrap/>
            <w:vAlign w:val="center"/>
          </w:tcPr>
          <w:p>
            <w:pPr>
              <w:jc w:val="center"/>
              <w:rPr>
                <w:rFonts w:cs="Times New Roman"/>
                <w:b/>
                <w:sz w:val="24"/>
                <w:lang w:val="zh-CN"/>
              </w:rPr>
            </w:pPr>
            <w:r>
              <w:rPr>
                <w:rFonts w:cs="Times New Roman"/>
                <w:b/>
                <w:color w:val="000000"/>
                <w:w w:val="90"/>
                <w:sz w:val="24"/>
              </w:rPr>
              <w:t>偏离说明</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cs="Times New Roman"/>
                <w:b/>
                <w:sz w:val="24"/>
                <w:lang w:val="zh-CN"/>
              </w:rPr>
            </w:pPr>
          </w:p>
        </w:tc>
      </w:tr>
    </w:tbl>
    <w:p>
      <w:pPr>
        <w:spacing w:line="360" w:lineRule="auto"/>
        <w:rPr>
          <w:rFonts w:cs="Times New Roman"/>
          <w:color w:val="000000"/>
          <w:sz w:val="24"/>
          <w:szCs w:val="28"/>
        </w:rPr>
      </w:pPr>
      <w:r>
        <w:rPr>
          <w:rFonts w:hint="eastAsia" w:cs="Times New Roman"/>
          <w:color w:val="000000"/>
          <w:sz w:val="24"/>
          <w:szCs w:val="28"/>
        </w:rPr>
        <w:t>备注：如不填写视为完全响应</w:t>
      </w:r>
    </w:p>
    <w:p>
      <w:pPr>
        <w:spacing w:line="360" w:lineRule="auto"/>
        <w:rPr>
          <w:rFonts w:cs="Times New Roman"/>
          <w:color w:val="000000"/>
          <w:sz w:val="24"/>
          <w:szCs w:val="28"/>
        </w:rPr>
      </w:pPr>
    </w:p>
    <w:p>
      <w:pPr>
        <w:spacing w:line="360" w:lineRule="auto"/>
        <w:jc w:val="left"/>
        <w:rPr>
          <w:rFonts w:cs="Times New Roman"/>
          <w:color w:val="000000"/>
          <w:sz w:val="24"/>
          <w:szCs w:val="28"/>
        </w:rPr>
      </w:pPr>
      <w:r>
        <w:rPr>
          <w:rFonts w:cs="Times New Roman"/>
          <w:color w:val="000000"/>
          <w:sz w:val="24"/>
          <w:szCs w:val="28"/>
        </w:rPr>
        <w:t>投标供应商（盖章）：</w:t>
      </w:r>
    </w:p>
    <w:p>
      <w:pPr>
        <w:spacing w:line="360" w:lineRule="auto"/>
        <w:jc w:val="left"/>
        <w:rPr>
          <w:rFonts w:cs="Times New Roman"/>
          <w:color w:val="000000"/>
          <w:sz w:val="24"/>
          <w:szCs w:val="28"/>
        </w:rPr>
      </w:pPr>
      <w:r>
        <w:rPr>
          <w:rFonts w:cs="Times New Roman"/>
          <w:sz w:val="24"/>
          <w:lang w:val="zh-CN"/>
        </w:rPr>
        <w:t>法定代表人或授权代表人</w:t>
      </w:r>
      <w:r>
        <w:rPr>
          <w:rFonts w:cs="Times New Roman"/>
          <w:sz w:val="24"/>
        </w:rPr>
        <w:t>签字</w:t>
      </w:r>
      <w:r>
        <w:rPr>
          <w:rFonts w:cs="Times New Roman"/>
          <w:sz w:val="24"/>
          <w:lang w:val="zh-CN"/>
        </w:rPr>
        <w:t>（或盖章）</w:t>
      </w:r>
      <w:r>
        <w:rPr>
          <w:rFonts w:cs="Times New Roman"/>
          <w:color w:val="000000"/>
          <w:sz w:val="24"/>
          <w:szCs w:val="28"/>
        </w:rPr>
        <w:t>：</w:t>
      </w:r>
    </w:p>
    <w:p>
      <w:pPr>
        <w:spacing w:line="360" w:lineRule="auto"/>
        <w:jc w:val="left"/>
        <w:rPr>
          <w:rFonts w:cs="Times New Roman"/>
          <w:b/>
          <w:sz w:val="32"/>
        </w:rPr>
        <w:sectPr>
          <w:headerReference r:id="rId8" w:type="default"/>
          <w:footerReference r:id="rId9" w:type="default"/>
          <w:footerReference r:id="rId10" w:type="even"/>
          <w:pgSz w:w="11906" w:h="16838"/>
          <w:pgMar w:top="1440" w:right="1106" w:bottom="1440" w:left="1622" w:header="851" w:footer="992" w:gutter="0"/>
          <w:cols w:space="720" w:num="1"/>
          <w:docGrid w:linePitch="312" w:charSpace="0"/>
        </w:sectPr>
      </w:pPr>
      <w:r>
        <w:rPr>
          <w:rFonts w:cs="Times New Roman"/>
          <w:color w:val="000000"/>
          <w:sz w:val="24"/>
          <w:szCs w:val="28"/>
        </w:rPr>
        <w:t>日 期：</w:t>
      </w:r>
    </w:p>
    <w:p>
      <w:pPr>
        <w:pStyle w:val="30"/>
        <w:snapToGrid w:val="0"/>
        <w:spacing w:line="400" w:lineRule="exact"/>
        <w:rPr>
          <w:rStyle w:val="27"/>
          <w:rFonts w:cs="Times New Roman"/>
          <w:sz w:val="28"/>
          <w:szCs w:val="28"/>
        </w:rPr>
      </w:pPr>
    </w:p>
    <w:p>
      <w:pPr>
        <w:pStyle w:val="30"/>
        <w:snapToGrid w:val="0"/>
        <w:spacing w:line="400" w:lineRule="exact"/>
        <w:rPr>
          <w:rStyle w:val="27"/>
          <w:rFonts w:cs="Times New Roman"/>
          <w:sz w:val="36"/>
          <w:szCs w:val="36"/>
        </w:rPr>
      </w:pPr>
      <w:r>
        <w:rPr>
          <w:rStyle w:val="27"/>
          <w:rFonts w:cs="Times New Roman"/>
          <w:sz w:val="28"/>
          <w:szCs w:val="28"/>
        </w:rPr>
        <w:t>附件五</w:t>
      </w:r>
    </w:p>
    <w:p>
      <w:pPr>
        <w:jc w:val="center"/>
        <w:rPr>
          <w:rStyle w:val="27"/>
          <w:rFonts w:cs="Times New Roman"/>
          <w:sz w:val="44"/>
        </w:rPr>
      </w:pPr>
      <w:r>
        <w:rPr>
          <w:rStyle w:val="27"/>
          <w:rFonts w:cs="Times New Roman"/>
          <w:sz w:val="44"/>
        </w:rPr>
        <w:t>法定代表人授权书</w:t>
      </w:r>
    </w:p>
    <w:p>
      <w:pPr>
        <w:spacing w:line="360" w:lineRule="auto"/>
        <w:rPr>
          <w:rStyle w:val="27"/>
          <w:rFonts w:cs="Times New Roman"/>
          <w:u w:val="single"/>
        </w:rPr>
      </w:pPr>
    </w:p>
    <w:p>
      <w:pPr>
        <w:pStyle w:val="30"/>
        <w:snapToGrid w:val="0"/>
        <w:spacing w:line="360" w:lineRule="auto"/>
        <w:rPr>
          <w:rStyle w:val="27"/>
          <w:rFonts w:cs="Times New Roman"/>
          <w:sz w:val="22"/>
          <w:szCs w:val="24"/>
          <w:u w:val="single"/>
        </w:rPr>
      </w:pPr>
      <w:r>
        <w:rPr>
          <w:rStyle w:val="27"/>
          <w:rFonts w:cs="Times New Roman"/>
          <w:sz w:val="22"/>
          <w:szCs w:val="24"/>
          <w:u w:val="single"/>
        </w:rPr>
        <w:t>龙港市新城建设发展有限公司</w:t>
      </w:r>
      <w:r>
        <w:rPr>
          <w:rStyle w:val="27"/>
          <w:rFonts w:cs="Times New Roman"/>
          <w:sz w:val="22"/>
          <w:szCs w:val="24"/>
        </w:rPr>
        <w:t>：</w:t>
      </w:r>
    </w:p>
    <w:p>
      <w:pPr>
        <w:spacing w:line="360" w:lineRule="auto"/>
        <w:ind w:firstLine="440" w:firstLineChars="200"/>
        <w:rPr>
          <w:rStyle w:val="27"/>
          <w:rFonts w:cs="Times New Roman"/>
          <w:sz w:val="22"/>
          <w:szCs w:val="24"/>
        </w:rPr>
      </w:pPr>
      <w:r>
        <w:rPr>
          <w:rStyle w:val="27"/>
          <w:rFonts w:cs="Times New Roman"/>
          <w:sz w:val="22"/>
          <w:szCs w:val="24"/>
        </w:rPr>
        <w:t>本授权委托书声明：我</w:t>
      </w:r>
      <w:r>
        <w:rPr>
          <w:rStyle w:val="27"/>
          <w:rFonts w:cs="Times New Roman"/>
          <w:sz w:val="22"/>
          <w:szCs w:val="24"/>
          <w:u w:val="single"/>
        </w:rPr>
        <w:t xml:space="preserve">   （法定代表人姓名）   </w:t>
      </w:r>
      <w:r>
        <w:rPr>
          <w:rStyle w:val="27"/>
          <w:rFonts w:cs="Times New Roman"/>
          <w:sz w:val="22"/>
          <w:szCs w:val="24"/>
        </w:rPr>
        <w:t>系</w:t>
      </w:r>
      <w:r>
        <w:rPr>
          <w:rStyle w:val="27"/>
          <w:rFonts w:cs="Times New Roman"/>
          <w:sz w:val="22"/>
          <w:szCs w:val="24"/>
          <w:u w:val="single"/>
        </w:rPr>
        <w:t xml:space="preserve">   （供应商名称）  </w:t>
      </w:r>
      <w:r>
        <w:rPr>
          <w:rStyle w:val="27"/>
          <w:rFonts w:cs="Times New Roman"/>
          <w:sz w:val="22"/>
          <w:szCs w:val="24"/>
        </w:rPr>
        <w:t>的法定代表人，现授权委托</w:t>
      </w:r>
      <w:r>
        <w:rPr>
          <w:rStyle w:val="27"/>
          <w:rFonts w:cs="Times New Roman"/>
          <w:sz w:val="22"/>
          <w:szCs w:val="24"/>
          <w:u w:val="single"/>
        </w:rPr>
        <w:t xml:space="preserve">  （授权代表姓名，授权代表身份证号码）  </w:t>
      </w:r>
      <w:r>
        <w:rPr>
          <w:rStyle w:val="27"/>
          <w:rFonts w:cs="Times New Roman"/>
          <w:sz w:val="22"/>
          <w:szCs w:val="24"/>
        </w:rPr>
        <w:t>为我单位法定代表人授权代表，参加贵处组织的</w:t>
      </w:r>
      <w:r>
        <w:rPr>
          <w:rStyle w:val="27"/>
          <w:rFonts w:cs="Times New Roman"/>
          <w:sz w:val="22"/>
          <w:szCs w:val="24"/>
          <w:u w:val="single"/>
        </w:rPr>
        <w:t xml:space="preserve">  （招标项目名称，项目编号）  </w:t>
      </w:r>
      <w:r>
        <w:rPr>
          <w:rStyle w:val="27"/>
          <w:rFonts w:cs="Times New Roman"/>
          <w:sz w:val="22"/>
          <w:szCs w:val="24"/>
        </w:rPr>
        <w:t>项目投标，全权处理本次招投标活动中的一切事宜，我承认授权代表全权代表我所签署的本项目的投标文件的内容。</w:t>
      </w:r>
    </w:p>
    <w:p>
      <w:pPr>
        <w:spacing w:line="360" w:lineRule="auto"/>
        <w:ind w:firstLine="440" w:firstLineChars="200"/>
        <w:rPr>
          <w:rStyle w:val="27"/>
          <w:rFonts w:cs="Times New Roman"/>
          <w:sz w:val="22"/>
          <w:szCs w:val="24"/>
        </w:rPr>
      </w:pPr>
      <w:r>
        <w:rPr>
          <w:rStyle w:val="27"/>
          <w:rFonts w:cs="Times New Roman"/>
          <w:sz w:val="22"/>
          <w:szCs w:val="24"/>
        </w:rPr>
        <w:t>授权代表无转授权，特此授权</w:t>
      </w:r>
    </w:p>
    <w:p>
      <w:pPr>
        <w:spacing w:line="360" w:lineRule="auto"/>
        <w:ind w:left="1260"/>
        <w:rPr>
          <w:rStyle w:val="27"/>
          <w:rFonts w:cs="Times New Roman"/>
          <w:sz w:val="22"/>
          <w:szCs w:val="24"/>
        </w:rPr>
      </w:pPr>
    </w:p>
    <w:p>
      <w:pPr>
        <w:spacing w:line="360" w:lineRule="auto"/>
        <w:rPr>
          <w:rStyle w:val="27"/>
          <w:rFonts w:cs="Times New Roman"/>
          <w:sz w:val="22"/>
          <w:szCs w:val="24"/>
        </w:rPr>
      </w:pPr>
    </w:p>
    <w:p>
      <w:pPr>
        <w:spacing w:line="360" w:lineRule="auto"/>
        <w:ind w:left="2098" w:leftChars="999" w:firstLine="959" w:firstLineChars="436"/>
        <w:rPr>
          <w:rStyle w:val="27"/>
          <w:rFonts w:cs="Times New Roman"/>
          <w:sz w:val="22"/>
          <w:szCs w:val="24"/>
          <w:u w:val="single"/>
        </w:rPr>
      </w:pPr>
      <w:r>
        <w:rPr>
          <w:rStyle w:val="27"/>
          <w:rFonts w:cs="Times New Roman"/>
          <w:sz w:val="22"/>
          <w:szCs w:val="24"/>
        </w:rPr>
        <w:t>详细通讯地址： 邮政编码：</w:t>
      </w:r>
    </w:p>
    <w:p>
      <w:pPr>
        <w:ind w:left="2098" w:leftChars="999" w:firstLine="959" w:firstLineChars="436"/>
        <w:rPr>
          <w:rStyle w:val="27"/>
          <w:rFonts w:cs="Times New Roman"/>
          <w:sz w:val="22"/>
          <w:szCs w:val="24"/>
          <w:u w:val="single"/>
        </w:rPr>
      </w:pPr>
      <w:r>
        <w:rPr>
          <w:rStyle w:val="27"/>
          <w:rFonts w:cs="Times New Roman"/>
          <w:sz w:val="22"/>
          <w:szCs w:val="24"/>
        </w:rPr>
        <w:t>电话： 传真：</w:t>
      </w:r>
    </w:p>
    <w:p>
      <w:pPr>
        <w:ind w:left="2098" w:leftChars="999" w:firstLine="959" w:firstLineChars="436"/>
        <w:rPr>
          <w:rStyle w:val="27"/>
          <w:rFonts w:cs="Times New Roman"/>
          <w:sz w:val="22"/>
          <w:szCs w:val="24"/>
        </w:rPr>
      </w:pPr>
    </w:p>
    <w:p>
      <w:pPr>
        <w:spacing w:line="360" w:lineRule="auto"/>
        <w:ind w:left="2098" w:leftChars="999" w:right="440" w:firstLine="959" w:firstLineChars="436"/>
        <w:rPr>
          <w:rStyle w:val="27"/>
          <w:rFonts w:cs="Times New Roman"/>
          <w:sz w:val="22"/>
          <w:szCs w:val="24"/>
        </w:rPr>
      </w:pPr>
      <w:r>
        <w:rPr>
          <w:rStyle w:val="27"/>
          <w:rFonts w:cs="Times New Roman"/>
          <w:sz w:val="22"/>
          <w:szCs w:val="24"/>
        </w:rPr>
        <w:t>供应商：</w:t>
      </w:r>
      <w:r>
        <w:rPr>
          <w:rStyle w:val="27"/>
          <w:rFonts w:cs="Times New Roman"/>
          <w:sz w:val="22"/>
          <w:szCs w:val="24"/>
          <w:u w:val="single"/>
        </w:rPr>
        <w:t xml:space="preserve">                                  （盖章）</w:t>
      </w:r>
    </w:p>
    <w:p>
      <w:pPr>
        <w:spacing w:line="360" w:lineRule="auto"/>
        <w:ind w:left="2098" w:leftChars="999" w:right="440" w:firstLine="959" w:firstLineChars="436"/>
        <w:rPr>
          <w:rStyle w:val="27"/>
          <w:rFonts w:cs="Times New Roman"/>
          <w:sz w:val="22"/>
          <w:szCs w:val="24"/>
        </w:rPr>
      </w:pPr>
      <w:r>
        <w:rPr>
          <w:rStyle w:val="27"/>
          <w:rFonts w:cs="Times New Roman"/>
          <w:sz w:val="22"/>
          <w:szCs w:val="24"/>
        </w:rPr>
        <w:t>法定代表人：</w:t>
      </w:r>
      <w:r>
        <w:rPr>
          <w:rStyle w:val="27"/>
          <w:rFonts w:cs="Times New Roman"/>
          <w:sz w:val="22"/>
          <w:szCs w:val="24"/>
          <w:u w:val="single"/>
        </w:rPr>
        <w:t xml:space="preserve">                        （签字或盖章）</w:t>
      </w:r>
    </w:p>
    <w:p>
      <w:pPr>
        <w:spacing w:line="360" w:lineRule="auto"/>
        <w:rPr>
          <w:rStyle w:val="27"/>
          <w:rFonts w:cs="Times New Roman"/>
          <w:sz w:val="22"/>
          <w:szCs w:val="24"/>
        </w:rPr>
      </w:pPr>
    </w:p>
    <w:p>
      <w:pPr>
        <w:spacing w:line="360" w:lineRule="auto"/>
        <w:ind w:left="2098" w:leftChars="999" w:right="440" w:firstLine="959" w:firstLineChars="436"/>
        <w:rPr>
          <w:rStyle w:val="27"/>
          <w:rFonts w:cs="Times New Roman"/>
          <w:sz w:val="22"/>
          <w:szCs w:val="24"/>
        </w:rPr>
      </w:pPr>
      <w:r>
        <w:rPr>
          <w:rStyle w:val="27"/>
          <w:rFonts w:cs="Times New Roman"/>
          <w:sz w:val="22"/>
          <w:szCs w:val="24"/>
        </w:rPr>
        <w:t>授权委托日期：</w:t>
      </w:r>
      <w:r>
        <w:rPr>
          <w:rStyle w:val="27"/>
          <w:rFonts w:hint="eastAsia" w:cs="Times New Roman"/>
          <w:sz w:val="22"/>
          <w:szCs w:val="24"/>
        </w:rPr>
        <w:t xml:space="preserve"> </w:t>
      </w:r>
      <w:r>
        <w:rPr>
          <w:rStyle w:val="27"/>
          <w:rFonts w:cs="Times New Roman"/>
          <w:sz w:val="22"/>
          <w:szCs w:val="24"/>
        </w:rPr>
        <w:t xml:space="preserve"> 年 月</w:t>
      </w:r>
      <w:r>
        <w:rPr>
          <w:rStyle w:val="27"/>
          <w:rFonts w:hint="eastAsia" w:cs="Times New Roman"/>
          <w:sz w:val="22"/>
          <w:szCs w:val="24"/>
        </w:rPr>
        <w:t xml:space="preserve"> </w:t>
      </w:r>
      <w:r>
        <w:rPr>
          <w:rStyle w:val="27"/>
          <w:rFonts w:cs="Times New Roman"/>
          <w:sz w:val="22"/>
          <w:szCs w:val="24"/>
        </w:rPr>
        <w:t xml:space="preserve"> 日</w:t>
      </w:r>
    </w:p>
    <w:p>
      <w:pPr>
        <w:spacing w:line="360" w:lineRule="auto"/>
        <w:ind w:right="440"/>
        <w:rPr>
          <w:rStyle w:val="27"/>
          <w:rFonts w:cs="Times New Roman"/>
          <w:b/>
          <w:sz w:val="24"/>
          <w:u w:val="single"/>
        </w:rPr>
      </w:pPr>
    </w:p>
    <w:tbl>
      <w:tblPr>
        <w:tblStyle w:val="20"/>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1" w:hRule="atLeast"/>
        </w:trPr>
        <w:tc>
          <w:tcPr>
            <w:tcW w:w="9000" w:type="dxa"/>
            <w:tcBorders>
              <w:top w:val="single" w:color="000000" w:sz="4" w:space="0"/>
              <w:left w:val="single" w:color="000000" w:sz="4" w:space="0"/>
              <w:bottom w:val="single" w:color="000000" w:sz="4" w:space="0"/>
              <w:right w:val="single" w:color="000000" w:sz="4" w:space="0"/>
            </w:tcBorders>
          </w:tcPr>
          <w:p>
            <w:pPr>
              <w:pStyle w:val="30"/>
              <w:snapToGrid w:val="0"/>
              <w:spacing w:line="400" w:lineRule="exact"/>
              <w:jc w:val="center"/>
              <w:rPr>
                <w:rStyle w:val="27"/>
                <w:rFonts w:cs="Times New Roman"/>
                <w:sz w:val="24"/>
              </w:rPr>
            </w:pPr>
          </w:p>
          <w:p>
            <w:pPr>
              <w:pStyle w:val="30"/>
              <w:snapToGrid w:val="0"/>
              <w:spacing w:line="400" w:lineRule="exact"/>
              <w:jc w:val="center"/>
              <w:rPr>
                <w:rStyle w:val="27"/>
                <w:rFonts w:cs="Times New Roman"/>
                <w:sz w:val="24"/>
              </w:rPr>
            </w:pPr>
          </w:p>
          <w:p>
            <w:pPr>
              <w:pStyle w:val="30"/>
              <w:snapToGrid w:val="0"/>
              <w:spacing w:line="400" w:lineRule="exact"/>
              <w:jc w:val="center"/>
              <w:rPr>
                <w:rStyle w:val="27"/>
                <w:rFonts w:cs="Times New Roman"/>
                <w:sz w:val="24"/>
              </w:rPr>
            </w:pPr>
          </w:p>
          <w:p>
            <w:pPr>
              <w:pStyle w:val="30"/>
              <w:snapToGrid w:val="0"/>
              <w:spacing w:line="400" w:lineRule="exact"/>
              <w:jc w:val="center"/>
              <w:rPr>
                <w:rStyle w:val="27"/>
                <w:rFonts w:cs="Times New Roman"/>
                <w:sz w:val="24"/>
              </w:rPr>
            </w:pPr>
          </w:p>
          <w:p>
            <w:pPr>
              <w:pStyle w:val="30"/>
              <w:snapToGrid w:val="0"/>
              <w:spacing w:line="320" w:lineRule="atLeast"/>
              <w:jc w:val="center"/>
              <w:rPr>
                <w:rStyle w:val="27"/>
                <w:rFonts w:cs="Times New Roman"/>
                <w:sz w:val="22"/>
                <w:szCs w:val="22"/>
              </w:rPr>
            </w:pPr>
            <w:r>
              <w:rPr>
                <w:rStyle w:val="27"/>
                <w:rFonts w:cs="Times New Roman"/>
                <w:sz w:val="22"/>
                <w:szCs w:val="22"/>
              </w:rPr>
              <w:t>授权代表身份证复印件与影印件粘贴处</w:t>
            </w:r>
          </w:p>
          <w:p>
            <w:pPr>
              <w:pStyle w:val="30"/>
              <w:snapToGrid w:val="0"/>
              <w:spacing w:line="320" w:lineRule="atLeast"/>
              <w:jc w:val="center"/>
              <w:rPr>
                <w:rStyle w:val="27"/>
                <w:rFonts w:cs="Times New Roman"/>
                <w:sz w:val="22"/>
                <w:szCs w:val="22"/>
              </w:rPr>
            </w:pPr>
          </w:p>
          <w:p>
            <w:pPr>
              <w:pStyle w:val="30"/>
              <w:snapToGrid w:val="0"/>
              <w:spacing w:line="400" w:lineRule="exact"/>
              <w:jc w:val="center"/>
              <w:rPr>
                <w:rStyle w:val="27"/>
                <w:rFonts w:cs="Times New Roman"/>
                <w:sz w:val="24"/>
              </w:rPr>
            </w:pPr>
          </w:p>
          <w:p>
            <w:pPr>
              <w:pStyle w:val="30"/>
              <w:snapToGrid w:val="0"/>
              <w:spacing w:line="400" w:lineRule="exact"/>
              <w:jc w:val="center"/>
              <w:rPr>
                <w:rStyle w:val="27"/>
                <w:rFonts w:cs="Times New Roman"/>
                <w:sz w:val="24"/>
              </w:rPr>
            </w:pPr>
          </w:p>
          <w:p>
            <w:pPr>
              <w:pStyle w:val="30"/>
              <w:snapToGrid w:val="0"/>
              <w:spacing w:line="400" w:lineRule="exact"/>
              <w:jc w:val="center"/>
              <w:rPr>
                <w:rStyle w:val="27"/>
                <w:rFonts w:cs="Times New Roman"/>
                <w:sz w:val="36"/>
              </w:rPr>
            </w:pPr>
          </w:p>
        </w:tc>
      </w:tr>
    </w:tbl>
    <w:p>
      <w:pPr>
        <w:pStyle w:val="30"/>
        <w:snapToGrid w:val="0"/>
        <w:spacing w:line="400" w:lineRule="exact"/>
        <w:rPr>
          <w:rStyle w:val="27"/>
          <w:rFonts w:cs="Times New Roman"/>
          <w:sz w:val="36"/>
          <w:szCs w:val="36"/>
        </w:rPr>
      </w:pPr>
    </w:p>
    <w:p>
      <w:pPr>
        <w:pStyle w:val="31"/>
        <w:rPr>
          <w:rFonts w:cs="Times New Roman"/>
        </w:rPr>
      </w:pPr>
    </w:p>
    <w:p>
      <w:pPr>
        <w:spacing w:line="360" w:lineRule="auto"/>
        <w:jc w:val="center"/>
        <w:textAlignment w:val="auto"/>
        <w:rPr>
          <w:rStyle w:val="27"/>
          <w:rFonts w:cs="Times New Roman"/>
          <w:b/>
          <w:sz w:val="44"/>
          <w:szCs w:val="44"/>
        </w:rPr>
      </w:pPr>
    </w:p>
    <w:p>
      <w:pPr>
        <w:pStyle w:val="30"/>
        <w:snapToGrid w:val="0"/>
        <w:spacing w:line="400" w:lineRule="exact"/>
        <w:rPr>
          <w:rStyle w:val="27"/>
          <w:rFonts w:cs="Times New Roman"/>
          <w:sz w:val="28"/>
          <w:szCs w:val="28"/>
        </w:rPr>
      </w:pPr>
    </w:p>
    <w:p>
      <w:pPr>
        <w:pStyle w:val="30"/>
        <w:snapToGrid w:val="0"/>
        <w:spacing w:line="400" w:lineRule="exact"/>
        <w:rPr>
          <w:rStyle w:val="27"/>
          <w:rFonts w:cs="Times New Roman"/>
          <w:sz w:val="28"/>
          <w:szCs w:val="28"/>
        </w:rPr>
      </w:pPr>
    </w:p>
    <w:p>
      <w:pPr>
        <w:pStyle w:val="30"/>
        <w:snapToGrid w:val="0"/>
        <w:spacing w:line="400" w:lineRule="exact"/>
        <w:rPr>
          <w:rStyle w:val="27"/>
          <w:rFonts w:cs="Times New Roman"/>
          <w:sz w:val="36"/>
          <w:szCs w:val="36"/>
        </w:rPr>
      </w:pPr>
      <w:r>
        <w:rPr>
          <w:rStyle w:val="27"/>
          <w:rFonts w:cs="Times New Roman"/>
          <w:sz w:val="28"/>
          <w:szCs w:val="28"/>
        </w:rPr>
        <w:t>附件六</w:t>
      </w:r>
    </w:p>
    <w:p>
      <w:pPr>
        <w:pStyle w:val="39"/>
        <w:ind w:left="0" w:leftChars="0"/>
        <w:jc w:val="center"/>
        <w:rPr>
          <w:rStyle w:val="27"/>
          <w:rFonts w:cs="Times New Roman"/>
          <w:sz w:val="36"/>
          <w:szCs w:val="36"/>
        </w:rPr>
      </w:pPr>
      <w:r>
        <w:rPr>
          <w:rStyle w:val="27"/>
          <w:rFonts w:cs="Times New Roman"/>
          <w:sz w:val="40"/>
        </w:rPr>
        <w:t>供应商情况声明</w:t>
      </w:r>
    </w:p>
    <w:p>
      <w:pPr>
        <w:rPr>
          <w:rStyle w:val="27"/>
          <w:rFonts w:cs="Times New Roman"/>
          <w:sz w:val="22"/>
          <w:szCs w:val="21"/>
        </w:rPr>
      </w:pPr>
      <w:r>
        <w:rPr>
          <w:rStyle w:val="27"/>
          <w:rFonts w:cs="Times New Roman"/>
          <w:sz w:val="22"/>
          <w:szCs w:val="21"/>
        </w:rPr>
        <w:t>1. 名称及概况：</w:t>
      </w:r>
    </w:p>
    <w:p>
      <w:pPr>
        <w:spacing w:line="400" w:lineRule="exact"/>
        <w:rPr>
          <w:rStyle w:val="27"/>
          <w:rFonts w:cs="Times New Roman"/>
          <w:sz w:val="22"/>
          <w:szCs w:val="22"/>
          <w:u w:val="single"/>
        </w:rPr>
      </w:pPr>
      <w:r>
        <w:rPr>
          <w:rStyle w:val="27"/>
          <w:rFonts w:cs="Times New Roman"/>
          <w:sz w:val="22"/>
          <w:szCs w:val="22"/>
        </w:rPr>
        <w:t>（1）投标供应商名称：</w:t>
      </w:r>
    </w:p>
    <w:p>
      <w:pPr>
        <w:spacing w:line="400" w:lineRule="exact"/>
        <w:rPr>
          <w:rStyle w:val="27"/>
          <w:rFonts w:cs="Times New Roman"/>
          <w:sz w:val="22"/>
          <w:szCs w:val="22"/>
        </w:rPr>
      </w:pPr>
      <w:r>
        <w:rPr>
          <w:rStyle w:val="27"/>
          <w:rFonts w:cs="Times New Roman"/>
          <w:sz w:val="22"/>
          <w:szCs w:val="22"/>
        </w:rPr>
        <w:t>（2）总部地址：</w:t>
      </w:r>
    </w:p>
    <w:p>
      <w:pPr>
        <w:spacing w:line="400" w:lineRule="exact"/>
        <w:ind w:firstLine="600"/>
        <w:rPr>
          <w:rStyle w:val="27"/>
          <w:rFonts w:cs="Times New Roman"/>
          <w:sz w:val="22"/>
          <w:szCs w:val="22"/>
        </w:rPr>
      </w:pPr>
      <w:r>
        <w:rPr>
          <w:rStyle w:val="27"/>
          <w:rFonts w:cs="Times New Roman"/>
          <w:sz w:val="22"/>
          <w:szCs w:val="22"/>
        </w:rPr>
        <w:t>传真/电话号码：</w:t>
      </w:r>
    </w:p>
    <w:p>
      <w:pPr>
        <w:spacing w:line="400" w:lineRule="exact"/>
        <w:rPr>
          <w:rStyle w:val="27"/>
          <w:rFonts w:cs="Times New Roman"/>
          <w:sz w:val="22"/>
          <w:szCs w:val="22"/>
        </w:rPr>
      </w:pPr>
      <w:r>
        <w:rPr>
          <w:rStyle w:val="27"/>
          <w:rFonts w:cs="Times New Roman"/>
          <w:sz w:val="22"/>
          <w:szCs w:val="22"/>
        </w:rPr>
        <w:t>（3）成立或注册日期：</w:t>
      </w:r>
    </w:p>
    <w:p>
      <w:pPr>
        <w:spacing w:line="400" w:lineRule="exact"/>
        <w:rPr>
          <w:rStyle w:val="27"/>
          <w:rFonts w:cs="Times New Roman"/>
          <w:sz w:val="22"/>
          <w:szCs w:val="22"/>
        </w:rPr>
      </w:pPr>
      <w:r>
        <w:rPr>
          <w:rStyle w:val="27"/>
          <w:rFonts w:cs="Times New Roman"/>
          <w:sz w:val="22"/>
          <w:szCs w:val="22"/>
        </w:rPr>
        <w:t>（4）实收资本：</w:t>
      </w:r>
    </w:p>
    <w:p>
      <w:pPr>
        <w:spacing w:line="400" w:lineRule="exact"/>
        <w:rPr>
          <w:rStyle w:val="27"/>
          <w:rFonts w:cs="Times New Roman"/>
          <w:sz w:val="22"/>
          <w:szCs w:val="22"/>
        </w:rPr>
      </w:pPr>
      <w:r>
        <w:rPr>
          <w:rStyle w:val="27"/>
          <w:rFonts w:cs="Times New Roman"/>
          <w:sz w:val="22"/>
          <w:szCs w:val="22"/>
        </w:rPr>
        <w:t>（5）近期资产负债表（到年月日止）</w:t>
      </w:r>
    </w:p>
    <w:p>
      <w:pPr>
        <w:spacing w:line="400" w:lineRule="exact"/>
        <w:rPr>
          <w:rStyle w:val="27"/>
          <w:rFonts w:cs="Times New Roman"/>
          <w:sz w:val="22"/>
          <w:szCs w:val="22"/>
        </w:rPr>
      </w:pPr>
      <w:r>
        <w:rPr>
          <w:rStyle w:val="27"/>
          <w:rFonts w:cs="Times New Roman"/>
          <w:sz w:val="22"/>
          <w:szCs w:val="22"/>
        </w:rPr>
        <w:t xml:space="preserve">  1）固定资产：</w:t>
      </w:r>
    </w:p>
    <w:p>
      <w:pPr>
        <w:spacing w:line="400" w:lineRule="exact"/>
        <w:rPr>
          <w:rStyle w:val="27"/>
          <w:rFonts w:hint="eastAsia" w:cs="Times New Roman"/>
          <w:sz w:val="22"/>
          <w:szCs w:val="22"/>
        </w:rPr>
      </w:pPr>
      <w:r>
        <w:rPr>
          <w:rStyle w:val="27"/>
          <w:rFonts w:cs="Times New Roman"/>
          <w:sz w:val="22"/>
          <w:szCs w:val="22"/>
        </w:rPr>
        <w:t xml:space="preserve">  2）</w:t>
      </w:r>
      <w:r>
        <w:rPr>
          <w:rStyle w:val="27"/>
          <w:rFonts w:hint="eastAsia" w:cs="Times New Roman"/>
          <w:sz w:val="22"/>
          <w:szCs w:val="22"/>
        </w:rPr>
        <w:t>资产总额</w:t>
      </w:r>
      <w:r>
        <w:rPr>
          <w:rStyle w:val="27"/>
          <w:rFonts w:cs="Times New Roman"/>
          <w:sz w:val="22"/>
          <w:szCs w:val="22"/>
        </w:rPr>
        <w:t>：</w:t>
      </w:r>
    </w:p>
    <w:p>
      <w:pPr>
        <w:spacing w:line="400" w:lineRule="exact"/>
        <w:rPr>
          <w:rStyle w:val="27"/>
          <w:rFonts w:cs="Times New Roman"/>
          <w:sz w:val="22"/>
          <w:szCs w:val="22"/>
        </w:rPr>
      </w:pPr>
      <w:r>
        <w:rPr>
          <w:rStyle w:val="27"/>
          <w:rFonts w:cs="Times New Roman"/>
          <w:sz w:val="22"/>
          <w:szCs w:val="22"/>
        </w:rPr>
        <w:t xml:space="preserve">  3）</w:t>
      </w:r>
      <w:r>
        <w:rPr>
          <w:rStyle w:val="27"/>
          <w:rFonts w:hint="eastAsia" w:cs="Times New Roman"/>
          <w:sz w:val="22"/>
          <w:szCs w:val="22"/>
        </w:rPr>
        <w:t>负债合计</w:t>
      </w:r>
      <w:r>
        <w:rPr>
          <w:rStyle w:val="27"/>
          <w:rFonts w:cs="Times New Roman"/>
          <w:sz w:val="22"/>
          <w:szCs w:val="22"/>
        </w:rPr>
        <w:t>：</w:t>
      </w:r>
    </w:p>
    <w:p>
      <w:pPr>
        <w:spacing w:line="400" w:lineRule="exact"/>
        <w:rPr>
          <w:rStyle w:val="27"/>
          <w:rFonts w:cs="Times New Roman"/>
          <w:sz w:val="22"/>
          <w:szCs w:val="22"/>
        </w:rPr>
      </w:pPr>
      <w:r>
        <w:rPr>
          <w:rStyle w:val="27"/>
          <w:rFonts w:cs="Times New Roman"/>
          <w:sz w:val="22"/>
          <w:szCs w:val="22"/>
        </w:rPr>
        <w:t xml:space="preserve">  4）净值：</w:t>
      </w:r>
    </w:p>
    <w:p>
      <w:pPr>
        <w:spacing w:line="400" w:lineRule="exact"/>
        <w:rPr>
          <w:rStyle w:val="27"/>
          <w:rFonts w:cs="Times New Roman"/>
          <w:sz w:val="22"/>
          <w:szCs w:val="22"/>
        </w:rPr>
      </w:pPr>
      <w:r>
        <w:rPr>
          <w:rStyle w:val="27"/>
          <w:rFonts w:cs="Times New Roman"/>
          <w:sz w:val="22"/>
          <w:szCs w:val="22"/>
        </w:rPr>
        <w:t>（6）主要负责人姓名：</w:t>
      </w:r>
    </w:p>
    <w:p>
      <w:pPr>
        <w:spacing w:line="360" w:lineRule="exact"/>
        <w:ind w:left="660" w:hanging="660" w:hangingChars="300"/>
        <w:jc w:val="left"/>
        <w:rPr>
          <w:rStyle w:val="27"/>
          <w:rFonts w:cs="Times New Roman"/>
          <w:sz w:val="22"/>
          <w:szCs w:val="22"/>
        </w:rPr>
      </w:pPr>
      <w:r>
        <w:rPr>
          <w:rStyle w:val="27"/>
          <w:rFonts w:cs="Times New Roman"/>
          <w:sz w:val="22"/>
          <w:szCs w:val="22"/>
        </w:rPr>
        <w:t>2．企业生产设备及规模（到年月日止）：</w:t>
      </w:r>
    </w:p>
    <w:p>
      <w:pPr>
        <w:spacing w:line="400" w:lineRule="exact"/>
        <w:ind w:left="0" w:firstLine="0" w:firstLineChars="0"/>
        <w:jc w:val="both"/>
        <w:rPr>
          <w:rStyle w:val="27"/>
          <w:rFonts w:cs="Times New Roman"/>
          <w:sz w:val="22"/>
          <w:szCs w:val="22"/>
        </w:rPr>
      </w:pPr>
      <w:r>
        <w:rPr>
          <w:rStyle w:val="27"/>
          <w:rFonts w:cs="Times New Roman"/>
          <w:sz w:val="22"/>
          <w:szCs w:val="22"/>
        </w:rPr>
        <w:t>3. 企业人员情况（到年月日止）：</w:t>
      </w:r>
    </w:p>
    <w:p>
      <w:pPr>
        <w:spacing w:line="400" w:lineRule="exact"/>
        <w:rPr>
          <w:rStyle w:val="27"/>
          <w:rFonts w:hint="eastAsia" w:cs="Times New Roman"/>
          <w:sz w:val="22"/>
          <w:szCs w:val="22"/>
        </w:rPr>
      </w:pPr>
      <w:r>
        <w:rPr>
          <w:rStyle w:val="27"/>
          <w:rFonts w:cs="Times New Roman"/>
          <w:sz w:val="22"/>
          <w:szCs w:val="22"/>
        </w:rPr>
        <w:t>职工（在职）人数</w:t>
      </w:r>
      <w:r>
        <w:rPr>
          <w:rStyle w:val="27"/>
          <w:rFonts w:hint="eastAsia" w:cs="Times New Roman"/>
          <w:sz w:val="22"/>
          <w:szCs w:val="22"/>
        </w:rPr>
        <w:t xml:space="preserve"> </w:t>
      </w:r>
      <w:r>
        <w:rPr>
          <w:rStyle w:val="27"/>
          <w:rFonts w:cs="Times New Roman"/>
          <w:sz w:val="22"/>
          <w:szCs w:val="22"/>
        </w:rPr>
        <w:t>人，其中技术人员</w:t>
      </w:r>
      <w:r>
        <w:rPr>
          <w:rStyle w:val="27"/>
          <w:rFonts w:hint="eastAsia" w:cs="Times New Roman"/>
          <w:sz w:val="22"/>
          <w:szCs w:val="22"/>
        </w:rPr>
        <w:t xml:space="preserve"> </w:t>
      </w:r>
      <w:r>
        <w:rPr>
          <w:rStyle w:val="27"/>
          <w:rFonts w:cs="Times New Roman"/>
          <w:sz w:val="22"/>
          <w:szCs w:val="22"/>
        </w:rPr>
        <w:t>人</w:t>
      </w:r>
    </w:p>
    <w:p>
      <w:pPr>
        <w:numPr>
          <w:ilvl w:val="0"/>
          <w:numId w:val="4"/>
        </w:numPr>
        <w:spacing w:line="400" w:lineRule="exact"/>
        <w:rPr>
          <w:rStyle w:val="27"/>
          <w:rFonts w:cs="Times New Roman"/>
          <w:sz w:val="22"/>
          <w:szCs w:val="22"/>
        </w:rPr>
      </w:pPr>
      <w:r>
        <w:rPr>
          <w:rStyle w:val="27"/>
          <w:rFonts w:cs="Times New Roman"/>
          <w:sz w:val="22"/>
          <w:szCs w:val="22"/>
        </w:rPr>
        <w:t>近三年的年营业</w:t>
      </w:r>
      <w:r>
        <w:rPr>
          <w:rStyle w:val="27"/>
          <w:rFonts w:hint="eastAsia" w:cs="Times New Roman"/>
          <w:sz w:val="22"/>
          <w:szCs w:val="22"/>
        </w:rPr>
        <w:t>收入：</w:t>
      </w:r>
    </w:p>
    <w:p>
      <w:pPr>
        <w:spacing w:line="400" w:lineRule="exact"/>
        <w:rPr>
          <w:rStyle w:val="27"/>
          <w:rFonts w:cs="Times New Roman"/>
          <w:sz w:val="22"/>
          <w:szCs w:val="22"/>
        </w:rPr>
      </w:pPr>
      <w:r>
        <w:rPr>
          <w:rStyle w:val="27"/>
          <w:rFonts w:cs="Times New Roman"/>
          <w:sz w:val="22"/>
          <w:szCs w:val="22"/>
        </w:rPr>
        <w:t>5. 我单位近三年内，在经营活动中没有重大违法记录，特此承诺。 若招标采购单位在本项目采购过程中发现我单位近三年内在经营活动中有重大违法记录，我单位将无条件地退出本项目的招标，并承担因此引起的一切后果。</w:t>
      </w:r>
    </w:p>
    <w:p>
      <w:pPr>
        <w:spacing w:line="400" w:lineRule="exact"/>
        <w:ind w:firstLine="220" w:firstLineChars="100"/>
        <w:rPr>
          <w:rStyle w:val="27"/>
          <w:rFonts w:cs="Times New Roman"/>
          <w:sz w:val="22"/>
          <w:szCs w:val="22"/>
        </w:rPr>
      </w:pPr>
      <w:r>
        <w:rPr>
          <w:rStyle w:val="27"/>
          <w:rFonts w:cs="Times New Roman"/>
          <w:sz w:val="22"/>
          <w:szCs w:val="22"/>
        </w:rPr>
        <w:t>兹证明上述声明是真实、正确的、并提供了全部能提供的资料和数据，我们同意遵照贵方要求出示有关证明文件。</w:t>
      </w:r>
    </w:p>
    <w:p>
      <w:pPr>
        <w:spacing w:line="400" w:lineRule="exact"/>
        <w:rPr>
          <w:rStyle w:val="27"/>
          <w:rFonts w:cs="Times New Roman"/>
          <w:sz w:val="22"/>
          <w:szCs w:val="22"/>
        </w:rPr>
      </w:pPr>
    </w:p>
    <w:p>
      <w:pPr>
        <w:spacing w:line="400" w:lineRule="exact"/>
        <w:rPr>
          <w:rStyle w:val="27"/>
          <w:rFonts w:cs="Times New Roman"/>
          <w:sz w:val="22"/>
          <w:szCs w:val="22"/>
        </w:rPr>
      </w:pPr>
      <w:r>
        <w:rPr>
          <w:rStyle w:val="27"/>
          <w:rFonts w:cs="Times New Roman"/>
          <w:sz w:val="22"/>
          <w:szCs w:val="22"/>
        </w:rPr>
        <w:t>投标供应商名称</w:t>
      </w:r>
      <w:r>
        <w:rPr>
          <w:rStyle w:val="27"/>
          <w:rFonts w:hint="eastAsia" w:cs="Times New Roman"/>
          <w:sz w:val="22"/>
          <w:szCs w:val="22"/>
        </w:rPr>
        <w:t>：</w:t>
      </w:r>
      <w:r>
        <w:rPr>
          <w:rStyle w:val="27"/>
          <w:rFonts w:cs="Times New Roman"/>
          <w:sz w:val="22"/>
          <w:szCs w:val="22"/>
          <w:u w:val="single"/>
        </w:rPr>
        <w:t xml:space="preserve">                               （签章）</w:t>
      </w:r>
    </w:p>
    <w:p>
      <w:pPr>
        <w:spacing w:line="400" w:lineRule="exact"/>
        <w:rPr>
          <w:rStyle w:val="27"/>
          <w:rFonts w:cs="Times New Roman"/>
          <w:sz w:val="22"/>
          <w:szCs w:val="22"/>
        </w:rPr>
      </w:pPr>
      <w:r>
        <w:rPr>
          <w:rStyle w:val="27"/>
          <w:rFonts w:cs="Times New Roman"/>
          <w:sz w:val="22"/>
          <w:szCs w:val="22"/>
        </w:rPr>
        <w:t>法定代表人姓名和职务</w:t>
      </w:r>
      <w:r>
        <w:rPr>
          <w:rStyle w:val="27"/>
          <w:rFonts w:hint="eastAsia" w:cs="Times New Roman"/>
          <w:sz w:val="22"/>
          <w:szCs w:val="22"/>
        </w:rPr>
        <w:t>：_</w:t>
      </w:r>
      <w:r>
        <w:rPr>
          <w:rStyle w:val="27"/>
          <w:rFonts w:cs="Times New Roman"/>
          <w:sz w:val="22"/>
          <w:szCs w:val="22"/>
        </w:rPr>
        <w:t>________________________</w:t>
      </w:r>
      <w:r>
        <w:rPr>
          <w:rStyle w:val="27"/>
          <w:rFonts w:hint="eastAsia" w:cs="Times New Roman"/>
          <w:sz w:val="22"/>
          <w:szCs w:val="22"/>
        </w:rPr>
        <w:t>（签字或盖章）</w:t>
      </w:r>
    </w:p>
    <w:p>
      <w:pPr>
        <w:spacing w:line="400" w:lineRule="exact"/>
        <w:rPr>
          <w:rStyle w:val="27"/>
          <w:rFonts w:cs="Times New Roman"/>
          <w:sz w:val="22"/>
          <w:szCs w:val="22"/>
        </w:rPr>
      </w:pPr>
      <w:r>
        <w:rPr>
          <w:rStyle w:val="27"/>
          <w:rFonts w:cs="Times New Roman"/>
          <w:sz w:val="22"/>
          <w:szCs w:val="22"/>
        </w:rPr>
        <w:t>授权代表人（签字）</w:t>
      </w:r>
      <w:r>
        <w:rPr>
          <w:rStyle w:val="27"/>
          <w:rFonts w:hint="eastAsia" w:cs="Times New Roman"/>
          <w:sz w:val="22"/>
          <w:szCs w:val="22"/>
        </w:rPr>
        <w:t>：</w:t>
      </w:r>
    </w:p>
    <w:p>
      <w:pPr>
        <w:spacing w:line="400" w:lineRule="exact"/>
        <w:rPr>
          <w:rStyle w:val="27"/>
          <w:rFonts w:cs="Times New Roman"/>
          <w:sz w:val="22"/>
          <w:szCs w:val="22"/>
        </w:rPr>
      </w:pPr>
      <w:r>
        <w:rPr>
          <w:rStyle w:val="27"/>
          <w:rFonts w:cs="Times New Roman"/>
          <w:sz w:val="22"/>
          <w:szCs w:val="22"/>
        </w:rPr>
        <w:t>签字日期</w:t>
      </w:r>
      <w:r>
        <w:rPr>
          <w:rStyle w:val="27"/>
          <w:rFonts w:hint="eastAsia" w:cs="Times New Roman"/>
          <w:sz w:val="22"/>
          <w:szCs w:val="22"/>
        </w:rPr>
        <w:t>：</w:t>
      </w:r>
      <w:r>
        <w:rPr>
          <w:rStyle w:val="27"/>
          <w:rFonts w:cs="Times New Roman"/>
          <w:sz w:val="22"/>
          <w:szCs w:val="22"/>
        </w:rPr>
        <w:t xml:space="preserve">    </w:t>
      </w:r>
      <w:r>
        <w:rPr>
          <w:rStyle w:val="27"/>
          <w:rFonts w:hint="eastAsia" w:cs="Times New Roman"/>
          <w:sz w:val="22"/>
          <w:szCs w:val="22"/>
        </w:rPr>
        <w:t xml:space="preserve">年 </w:t>
      </w:r>
      <w:r>
        <w:rPr>
          <w:rStyle w:val="27"/>
          <w:rFonts w:cs="Times New Roman"/>
          <w:sz w:val="22"/>
          <w:szCs w:val="22"/>
        </w:rPr>
        <w:t xml:space="preserve">  </w:t>
      </w:r>
      <w:r>
        <w:rPr>
          <w:rStyle w:val="27"/>
          <w:rFonts w:hint="eastAsia" w:cs="Times New Roman"/>
          <w:sz w:val="22"/>
          <w:szCs w:val="22"/>
        </w:rPr>
        <w:t xml:space="preserve">月 </w:t>
      </w:r>
      <w:r>
        <w:rPr>
          <w:rStyle w:val="27"/>
          <w:rFonts w:cs="Times New Roman"/>
          <w:sz w:val="22"/>
          <w:szCs w:val="22"/>
        </w:rPr>
        <w:t xml:space="preserve">  </w:t>
      </w:r>
      <w:r>
        <w:rPr>
          <w:rStyle w:val="27"/>
          <w:rFonts w:hint="eastAsia" w:cs="Times New Roman"/>
          <w:sz w:val="22"/>
          <w:szCs w:val="22"/>
        </w:rPr>
        <w:t>日</w:t>
      </w:r>
    </w:p>
    <w:p>
      <w:pPr>
        <w:spacing w:line="360" w:lineRule="exact"/>
        <w:jc w:val="left"/>
        <w:rPr>
          <w:rStyle w:val="27"/>
          <w:rFonts w:cs="Times New Roman"/>
          <w:sz w:val="22"/>
          <w:szCs w:val="22"/>
        </w:rPr>
      </w:pPr>
      <w:r>
        <w:rPr>
          <w:rStyle w:val="27"/>
          <w:rFonts w:cs="Times New Roman"/>
          <w:sz w:val="22"/>
          <w:szCs w:val="22"/>
        </w:rPr>
        <w:t>电子邮件</w:t>
      </w:r>
      <w:r>
        <w:rPr>
          <w:rStyle w:val="27"/>
          <w:rFonts w:hint="eastAsia" w:cs="Times New Roman"/>
          <w:sz w:val="22"/>
          <w:szCs w:val="22"/>
        </w:rPr>
        <w:t>：</w:t>
      </w:r>
    </w:p>
    <w:p>
      <w:pPr>
        <w:spacing w:line="360" w:lineRule="exact"/>
        <w:jc w:val="left"/>
        <w:rPr>
          <w:rStyle w:val="27"/>
          <w:rFonts w:cs="Times New Roman"/>
          <w:sz w:val="22"/>
          <w:szCs w:val="22"/>
        </w:rPr>
      </w:pPr>
      <w:r>
        <w:rPr>
          <w:rStyle w:val="27"/>
          <w:rFonts w:cs="Times New Roman"/>
          <w:sz w:val="22"/>
          <w:szCs w:val="22"/>
        </w:rPr>
        <w:t>6. 投标供应商有效营业执照副本和税务登记证（复印件，加盖单位章）</w:t>
      </w:r>
    </w:p>
    <w:p>
      <w:pPr>
        <w:spacing w:line="440" w:lineRule="atLeast"/>
        <w:rPr>
          <w:rStyle w:val="27"/>
          <w:rFonts w:cs="Times New Roman"/>
          <w:sz w:val="22"/>
          <w:szCs w:val="24"/>
        </w:rPr>
      </w:pPr>
      <w:r>
        <w:rPr>
          <w:rStyle w:val="27"/>
          <w:rFonts w:cs="Times New Roman"/>
          <w:sz w:val="22"/>
          <w:szCs w:val="22"/>
        </w:rPr>
        <w:t>7．投标供应商资格、资质及招标文件要求提供的资格证明、证书（复印件，加盖单位章）</w:t>
      </w:r>
    </w:p>
    <w:p>
      <w:pPr>
        <w:pStyle w:val="30"/>
        <w:snapToGrid w:val="0"/>
        <w:spacing w:line="360" w:lineRule="auto"/>
        <w:rPr>
          <w:rStyle w:val="27"/>
          <w:rFonts w:cs="Times New Roman"/>
          <w:szCs w:val="22"/>
        </w:rPr>
      </w:pPr>
    </w:p>
    <w:p>
      <w:pPr>
        <w:snapToGrid w:val="0"/>
        <w:spacing w:line="360" w:lineRule="auto"/>
        <w:rPr>
          <w:rFonts w:cs="Times New Roman"/>
          <w:b/>
          <w:sz w:val="24"/>
        </w:rPr>
      </w:pPr>
    </w:p>
    <w:p>
      <w:pPr>
        <w:rPr>
          <w:rStyle w:val="27"/>
          <w:rFonts w:cs="Times New Roman"/>
          <w:sz w:val="28"/>
        </w:rPr>
      </w:pPr>
    </w:p>
    <w:p>
      <w:pPr>
        <w:rPr>
          <w:rStyle w:val="27"/>
          <w:rFonts w:cs="Times New Roman"/>
          <w:sz w:val="28"/>
        </w:rPr>
      </w:pPr>
    </w:p>
    <w:p>
      <w:pPr>
        <w:rPr>
          <w:rStyle w:val="27"/>
          <w:rFonts w:cs="Times New Roman"/>
          <w:sz w:val="28"/>
        </w:rPr>
      </w:pPr>
      <w:r>
        <w:rPr>
          <w:rStyle w:val="27"/>
          <w:rFonts w:cs="Times New Roman"/>
          <w:sz w:val="28"/>
        </w:rPr>
        <w:t>附件七</w:t>
      </w:r>
    </w:p>
    <w:p>
      <w:pPr>
        <w:pStyle w:val="11"/>
        <w:ind w:firstLine="280"/>
        <w:rPr>
          <w:rStyle w:val="27"/>
          <w:rFonts w:cs="Times New Roman"/>
          <w:sz w:val="28"/>
        </w:rPr>
      </w:pPr>
    </w:p>
    <w:p>
      <w:pPr>
        <w:pStyle w:val="12"/>
        <w:ind w:firstLine="360"/>
        <w:rPr>
          <w:rFonts w:ascii="Times New Roman" w:hAnsi="Times New Roman" w:cs="Times New Roman"/>
        </w:rPr>
      </w:pPr>
    </w:p>
    <w:p>
      <w:pPr>
        <w:spacing w:line="360" w:lineRule="auto"/>
        <w:jc w:val="center"/>
        <w:rPr>
          <w:rStyle w:val="27"/>
          <w:rFonts w:cs="Times New Roman"/>
          <w:b/>
          <w:sz w:val="32"/>
          <w:szCs w:val="24"/>
        </w:rPr>
      </w:pPr>
      <w:r>
        <w:rPr>
          <w:rStyle w:val="27"/>
          <w:rFonts w:cs="Times New Roman"/>
          <w:b/>
          <w:sz w:val="32"/>
          <w:szCs w:val="24"/>
        </w:rPr>
        <w:t>近三年内在经营活动中没有重大违法记录的书面声明</w:t>
      </w:r>
    </w:p>
    <w:p>
      <w:pPr>
        <w:spacing w:line="360" w:lineRule="auto"/>
        <w:jc w:val="center"/>
        <w:rPr>
          <w:rStyle w:val="27"/>
          <w:rFonts w:cs="Times New Roman"/>
          <w:b/>
          <w:sz w:val="24"/>
          <w:szCs w:val="24"/>
        </w:rPr>
      </w:pPr>
    </w:p>
    <w:p>
      <w:pPr>
        <w:spacing w:line="360" w:lineRule="auto"/>
        <w:rPr>
          <w:rStyle w:val="27"/>
          <w:rFonts w:cs="Times New Roman"/>
          <w:sz w:val="24"/>
          <w:szCs w:val="24"/>
          <w:u w:val="single"/>
        </w:rPr>
      </w:pPr>
      <w:r>
        <w:rPr>
          <w:rStyle w:val="27"/>
          <w:rFonts w:cs="Times New Roman"/>
          <w:sz w:val="22"/>
          <w:szCs w:val="24"/>
          <w:u w:val="single"/>
        </w:rPr>
        <w:t>龙港市新城建设发展有限公司</w:t>
      </w:r>
      <w:r>
        <w:rPr>
          <w:rStyle w:val="27"/>
          <w:rFonts w:cs="Times New Roman"/>
          <w:sz w:val="24"/>
          <w:szCs w:val="24"/>
        </w:rPr>
        <w:t>：</w:t>
      </w:r>
    </w:p>
    <w:p>
      <w:pPr>
        <w:spacing w:line="360" w:lineRule="auto"/>
        <w:rPr>
          <w:rStyle w:val="27"/>
          <w:rFonts w:cs="Times New Roman"/>
          <w:sz w:val="24"/>
          <w:szCs w:val="24"/>
        </w:rPr>
      </w:pPr>
    </w:p>
    <w:p>
      <w:pPr>
        <w:spacing w:line="360" w:lineRule="auto"/>
        <w:ind w:firstLine="480" w:firstLineChars="200"/>
        <w:rPr>
          <w:rStyle w:val="27"/>
          <w:rFonts w:cs="Times New Roman"/>
          <w:sz w:val="24"/>
          <w:szCs w:val="24"/>
        </w:rPr>
      </w:pPr>
      <w:r>
        <w:rPr>
          <w:rStyle w:val="27"/>
          <w:rFonts w:cs="Times New Roman"/>
          <w:sz w:val="24"/>
          <w:szCs w:val="24"/>
        </w:rPr>
        <w:t>我单位参加本次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特此声明。若在本次政府采购活动过程中发现我单位近三年内在经营活动中有重大违法记录,我单位将无条件退出本项目的投标,并承担因此引起的一切后果。</w:t>
      </w:r>
    </w:p>
    <w:p>
      <w:pPr>
        <w:spacing w:line="360" w:lineRule="auto"/>
        <w:ind w:firstLine="480" w:firstLineChars="200"/>
        <w:rPr>
          <w:rStyle w:val="27"/>
          <w:rFonts w:cs="Times New Roman"/>
          <w:sz w:val="24"/>
          <w:szCs w:val="24"/>
        </w:rPr>
      </w:pPr>
      <w:r>
        <w:rPr>
          <w:rStyle w:val="27"/>
          <w:rFonts w:cs="Times New Roman"/>
          <w:sz w:val="24"/>
          <w:szCs w:val="24"/>
        </w:rPr>
        <w:t>我单位及法定代表人参加本次政府采购活动前三年内不存在行贿犯罪档案记录，若在本次政府采购活动过程中发现我单位及人员隐瞒事实,存在行贿犯罪档案记录，我单位将无条件退出本项目的投标,并承担因此引起的一切后果。</w:t>
      </w:r>
    </w:p>
    <w:p>
      <w:pPr>
        <w:spacing w:line="360" w:lineRule="auto"/>
        <w:rPr>
          <w:rStyle w:val="27"/>
          <w:rFonts w:cs="Times New Roman"/>
          <w:sz w:val="24"/>
          <w:szCs w:val="24"/>
        </w:rPr>
      </w:pPr>
    </w:p>
    <w:p>
      <w:pPr>
        <w:spacing w:line="360" w:lineRule="auto"/>
        <w:ind w:firstLine="480" w:firstLineChars="200"/>
        <w:rPr>
          <w:rStyle w:val="27"/>
          <w:rFonts w:cs="Times New Roman"/>
          <w:sz w:val="24"/>
          <w:szCs w:val="24"/>
        </w:rPr>
      </w:pPr>
    </w:p>
    <w:p>
      <w:pPr>
        <w:spacing w:line="360" w:lineRule="auto"/>
        <w:ind w:firstLine="480" w:firstLineChars="200"/>
        <w:rPr>
          <w:rStyle w:val="27"/>
          <w:rFonts w:cs="Times New Roman"/>
          <w:sz w:val="24"/>
          <w:szCs w:val="24"/>
        </w:rPr>
      </w:pPr>
      <w:r>
        <w:rPr>
          <w:rStyle w:val="27"/>
          <w:rFonts w:cs="Times New Roman"/>
          <w:sz w:val="24"/>
          <w:szCs w:val="24"/>
        </w:rPr>
        <w:t>供应商全称（盖章）：</w:t>
      </w:r>
    </w:p>
    <w:p>
      <w:pPr>
        <w:spacing w:line="360" w:lineRule="auto"/>
        <w:ind w:firstLine="480" w:firstLineChars="200"/>
        <w:rPr>
          <w:rStyle w:val="27"/>
          <w:rFonts w:cs="Times New Roman"/>
          <w:sz w:val="24"/>
          <w:szCs w:val="24"/>
          <w:lang w:val="zh-CN"/>
        </w:rPr>
      </w:pPr>
      <w:r>
        <w:rPr>
          <w:rStyle w:val="27"/>
          <w:rFonts w:cs="Times New Roman"/>
          <w:sz w:val="24"/>
          <w:szCs w:val="24"/>
          <w:lang w:val="zh-CN"/>
        </w:rPr>
        <w:t>法定代表人或授权代表（签字或盖章）：</w:t>
      </w:r>
    </w:p>
    <w:p>
      <w:pPr>
        <w:spacing w:line="360" w:lineRule="auto"/>
        <w:ind w:firstLine="480" w:firstLineChars="200"/>
        <w:rPr>
          <w:rStyle w:val="27"/>
          <w:rFonts w:cs="Times New Roman"/>
          <w:sz w:val="24"/>
          <w:szCs w:val="24"/>
        </w:rPr>
      </w:pPr>
      <w:r>
        <w:rPr>
          <w:rStyle w:val="27"/>
          <w:rFonts w:cs="Times New Roman"/>
          <w:sz w:val="24"/>
          <w:szCs w:val="24"/>
          <w:lang w:val="zh-CN"/>
        </w:rPr>
        <w:t>日期：</w:t>
      </w:r>
    </w:p>
    <w:p>
      <w:pPr>
        <w:spacing w:line="360" w:lineRule="auto"/>
        <w:rPr>
          <w:rStyle w:val="27"/>
          <w:rFonts w:cs="Times New Roman"/>
          <w:sz w:val="24"/>
          <w:szCs w:val="24"/>
        </w:rPr>
      </w:pPr>
    </w:p>
    <w:p>
      <w:pPr>
        <w:rPr>
          <w:rStyle w:val="27"/>
          <w:rFonts w:cs="Times New Roman"/>
        </w:rPr>
      </w:pPr>
      <w:r>
        <w:rPr>
          <w:rStyle w:val="27"/>
          <w:rFonts w:cs="Times New Roman"/>
        </w:rPr>
        <w:br w:type="page"/>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1、公司债券承销资格的证明文件，如投标人为金融、保险、通讯等特定行业的全国性企业所设立的区域性分支机构的，则提交总公司的证明文件；</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2、如投标人为全国性企业所设立的区域性分支机构的，需提供总公司（总机构）授权文件或提供省级机构（一级机构）授权文件（如无明显确定为省级机构（一级机构）需提供证明）</w:t>
      </w:r>
      <w:r>
        <w:rPr>
          <w:rFonts w:hint="eastAsia" w:cs="Times New Roman"/>
          <w:sz w:val="24"/>
          <w:szCs w:val="24"/>
        </w:rPr>
        <w:t>；</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3、</w:t>
      </w:r>
      <w:r>
        <w:rPr>
          <w:rFonts w:hint="eastAsia" w:cs="Times New Roman"/>
          <w:sz w:val="24"/>
          <w:szCs w:val="24"/>
        </w:rPr>
        <w:t>投标人</w:t>
      </w:r>
      <w:r>
        <w:rPr>
          <w:rFonts w:cs="Times New Roman"/>
          <w:sz w:val="24"/>
          <w:szCs w:val="24"/>
        </w:rPr>
        <w:t>营业执照、税务登记证或三（五）证合一营业执照（复印件加盖有效公章）；</w:t>
      </w:r>
    </w:p>
    <w:p>
      <w:pPr>
        <w:autoSpaceDE w:val="0"/>
        <w:autoSpaceDN w:val="0"/>
        <w:adjustRightInd w:val="0"/>
        <w:snapToGrid w:val="0"/>
        <w:spacing w:line="440" w:lineRule="exact"/>
        <w:ind w:firstLine="480" w:firstLineChars="200"/>
        <w:textAlignment w:val="bottom"/>
        <w:rPr>
          <w:rFonts w:cs="Times New Roman"/>
          <w:sz w:val="24"/>
          <w:szCs w:val="24"/>
        </w:rPr>
      </w:pPr>
      <w:r>
        <w:rPr>
          <w:rFonts w:cs="Times New Roman"/>
          <w:sz w:val="24"/>
          <w:szCs w:val="24"/>
        </w:rPr>
        <w:t>4、</w:t>
      </w:r>
      <w:r>
        <w:rPr>
          <w:rFonts w:hint="eastAsia" w:cs="Times New Roman"/>
          <w:sz w:val="24"/>
          <w:szCs w:val="24"/>
        </w:rPr>
        <w:t>投标人</w:t>
      </w:r>
      <w:r>
        <w:rPr>
          <w:rFonts w:cs="Times New Roman"/>
          <w:sz w:val="24"/>
          <w:szCs w:val="24"/>
        </w:rPr>
        <w:t>相关资质、资信或信用证书（如有则提供，复印件加盖有效公章）；</w:t>
      </w:r>
    </w:p>
    <w:p>
      <w:pPr>
        <w:spacing w:line="360" w:lineRule="auto"/>
        <w:ind w:firstLine="420" w:firstLineChars="200"/>
        <w:jc w:val="center"/>
        <w:rPr>
          <w:rFonts w:cs="Times New Roman"/>
          <w:szCs w:val="22"/>
        </w:rPr>
      </w:pPr>
    </w:p>
    <w:p>
      <w:pPr>
        <w:jc w:val="left"/>
        <w:textAlignment w:val="auto"/>
        <w:rPr>
          <w:rFonts w:cs="Times New Roman"/>
          <w:szCs w:val="22"/>
        </w:rPr>
      </w:pPr>
      <w:r>
        <w:rPr>
          <w:rFonts w:cs="Times New Roman"/>
          <w:szCs w:val="22"/>
        </w:rPr>
        <w:br w:type="page"/>
      </w:r>
    </w:p>
    <w:p>
      <w:pPr>
        <w:spacing w:line="360" w:lineRule="auto"/>
        <w:ind w:firstLine="420" w:firstLineChars="200"/>
        <w:jc w:val="center"/>
        <w:rPr>
          <w:rFonts w:cs="Times New Roman"/>
          <w:szCs w:val="22"/>
        </w:rPr>
      </w:pPr>
      <w:r>
        <w:rPr>
          <w:rFonts w:cs="Times New Roman"/>
          <w:szCs w:val="22"/>
        </w:rPr>
        <w:t xml:space="preserve">       </w:t>
      </w:r>
    </w:p>
    <w:p>
      <w:pPr>
        <w:spacing w:line="360" w:lineRule="auto"/>
        <w:jc w:val="left"/>
        <w:rPr>
          <w:rFonts w:cs="Times New Roman"/>
          <w:szCs w:val="22"/>
        </w:rPr>
      </w:pPr>
      <w:r>
        <w:rPr>
          <w:rFonts w:cs="Times New Roman"/>
          <w:sz w:val="24"/>
          <w:szCs w:val="24"/>
        </w:rPr>
        <w:t>5、投标人2020年1月1日-2022年12月31日浙江省范围公司债总承销金额</w:t>
      </w:r>
      <w:r>
        <w:rPr>
          <w:rFonts w:cs="Times New Roman"/>
          <w:szCs w:val="22"/>
        </w:rPr>
        <w:t xml:space="preserve">      </w:t>
      </w:r>
    </w:p>
    <w:p>
      <w:pPr>
        <w:spacing w:line="360" w:lineRule="auto"/>
        <w:ind w:firstLine="440" w:firstLineChars="200"/>
        <w:jc w:val="center"/>
        <w:rPr>
          <w:rFonts w:cs="Times New Roman"/>
          <w:sz w:val="22"/>
          <w:szCs w:val="22"/>
        </w:rPr>
      </w:pPr>
    </w:p>
    <w:p>
      <w:pPr>
        <w:spacing w:line="360" w:lineRule="auto"/>
        <w:ind w:firstLine="434" w:firstLineChars="200"/>
        <w:jc w:val="center"/>
        <w:rPr>
          <w:rFonts w:cs="Times New Roman"/>
          <w:b/>
          <w:spacing w:val="-2"/>
          <w:sz w:val="22"/>
          <w:szCs w:val="22"/>
        </w:rPr>
      </w:pPr>
    </w:p>
    <w:tbl>
      <w:tblPr>
        <w:tblStyle w:val="20"/>
        <w:tblpPr w:leftFromText="180" w:rightFromText="180" w:vertAnchor="page" w:horzAnchor="page" w:tblpX="1407" w:tblpY="2536"/>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4459"/>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3162" w:type="dxa"/>
            <w:vAlign w:val="center"/>
          </w:tcPr>
          <w:p>
            <w:pPr>
              <w:ind w:firstLine="432" w:firstLineChars="200"/>
              <w:jc w:val="center"/>
              <w:rPr>
                <w:rFonts w:cs="Times New Roman"/>
                <w:spacing w:val="-2"/>
                <w:sz w:val="22"/>
                <w:szCs w:val="22"/>
              </w:rPr>
            </w:pPr>
            <w:r>
              <w:rPr>
                <w:rFonts w:cs="Times New Roman"/>
                <w:spacing w:val="-2"/>
                <w:sz w:val="22"/>
                <w:szCs w:val="22"/>
              </w:rPr>
              <w:t>机构名称</w:t>
            </w:r>
          </w:p>
        </w:tc>
        <w:tc>
          <w:tcPr>
            <w:tcW w:w="4459" w:type="dxa"/>
            <w:vAlign w:val="center"/>
          </w:tcPr>
          <w:p>
            <w:pPr>
              <w:ind w:firstLine="432" w:firstLineChars="200"/>
              <w:jc w:val="center"/>
              <w:rPr>
                <w:rFonts w:cs="Times New Roman"/>
                <w:spacing w:val="-2"/>
                <w:sz w:val="22"/>
                <w:szCs w:val="22"/>
              </w:rPr>
            </w:pPr>
            <w:r>
              <w:rPr>
                <w:rFonts w:cs="Times New Roman"/>
                <w:spacing w:val="-2"/>
                <w:sz w:val="22"/>
                <w:szCs w:val="22"/>
              </w:rPr>
              <w:t>2020年1月1日-2022年12月31日，</w:t>
            </w:r>
            <w:r>
              <w:rPr>
                <w:rFonts w:hint="eastAsia" w:cs="Times New Roman"/>
                <w:spacing w:val="-2"/>
                <w:sz w:val="22"/>
                <w:szCs w:val="22"/>
              </w:rPr>
              <w:t>投标人在</w:t>
            </w:r>
            <w:r>
              <w:rPr>
                <w:rFonts w:cs="Times New Roman"/>
                <w:kern w:val="0"/>
                <w:szCs w:val="21"/>
              </w:rPr>
              <w:t>浙江省范围公司债总承销金额</w:t>
            </w:r>
          </w:p>
        </w:tc>
        <w:tc>
          <w:tcPr>
            <w:tcW w:w="2018" w:type="dxa"/>
            <w:vAlign w:val="center"/>
          </w:tcPr>
          <w:p>
            <w:pPr>
              <w:ind w:firstLine="432" w:firstLineChars="200"/>
              <w:jc w:val="center"/>
              <w:rPr>
                <w:rFonts w:cs="Times New Roman"/>
                <w:spacing w:val="-2"/>
                <w:sz w:val="22"/>
                <w:szCs w:val="22"/>
              </w:rPr>
            </w:pPr>
            <w:r>
              <w:rPr>
                <w:rFonts w:cs="Times New Roman"/>
                <w:spacing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3162" w:type="dxa"/>
            <w:vAlign w:val="center"/>
          </w:tcPr>
          <w:p>
            <w:pPr>
              <w:ind w:firstLine="432" w:firstLineChars="200"/>
              <w:jc w:val="center"/>
              <w:rPr>
                <w:rFonts w:cs="Times New Roman"/>
                <w:spacing w:val="-2"/>
                <w:sz w:val="22"/>
                <w:szCs w:val="22"/>
              </w:rPr>
            </w:pPr>
          </w:p>
        </w:tc>
        <w:tc>
          <w:tcPr>
            <w:tcW w:w="4459" w:type="dxa"/>
            <w:vAlign w:val="center"/>
          </w:tcPr>
          <w:p>
            <w:pPr>
              <w:ind w:firstLine="432" w:firstLineChars="200"/>
              <w:jc w:val="center"/>
              <w:rPr>
                <w:rFonts w:cs="Times New Roman"/>
                <w:spacing w:val="-2"/>
                <w:sz w:val="22"/>
                <w:szCs w:val="22"/>
              </w:rPr>
            </w:pPr>
            <w:r>
              <w:rPr>
                <w:rFonts w:cs="Times New Roman"/>
                <w:spacing w:val="-2"/>
                <w:sz w:val="22"/>
                <w:szCs w:val="22"/>
                <w:u w:val="single"/>
              </w:rPr>
              <w:t xml:space="preserve">                       </w:t>
            </w:r>
            <w:r>
              <w:rPr>
                <w:rFonts w:cs="Times New Roman"/>
                <w:spacing w:val="-2"/>
                <w:sz w:val="22"/>
                <w:szCs w:val="22"/>
              </w:rPr>
              <w:t>亿元</w:t>
            </w:r>
          </w:p>
        </w:tc>
        <w:tc>
          <w:tcPr>
            <w:tcW w:w="2018" w:type="dxa"/>
            <w:vAlign w:val="center"/>
          </w:tcPr>
          <w:p>
            <w:pPr>
              <w:ind w:firstLine="432" w:firstLineChars="200"/>
              <w:jc w:val="center"/>
              <w:rPr>
                <w:rFonts w:cs="Times New Roman"/>
                <w:spacing w:val="-2"/>
                <w:sz w:val="22"/>
                <w:szCs w:val="22"/>
              </w:rPr>
            </w:pPr>
          </w:p>
        </w:tc>
      </w:tr>
    </w:tbl>
    <w:p>
      <w:pPr>
        <w:ind w:firstLine="432" w:firstLineChars="200"/>
        <w:rPr>
          <w:rFonts w:cs="Times New Roman"/>
          <w:spacing w:val="-2"/>
          <w:sz w:val="22"/>
          <w:szCs w:val="22"/>
        </w:rPr>
      </w:pPr>
      <w:r>
        <w:rPr>
          <w:rFonts w:cs="Times New Roman"/>
          <w:spacing w:val="-2"/>
          <w:sz w:val="22"/>
          <w:szCs w:val="22"/>
        </w:rPr>
        <w:t>注： 1.</w:t>
      </w:r>
      <w:r>
        <w:rPr>
          <w:rFonts w:cs="Times New Roman"/>
          <w:sz w:val="22"/>
          <w:szCs w:val="22"/>
        </w:rPr>
        <w:t>投标人需对其填写的数据真实性负责，如发现有弄虚作假现象，将取消其投标/中标资格，并承担所产生的一切后果。</w:t>
      </w:r>
    </w:p>
    <w:p>
      <w:pPr>
        <w:ind w:firstLine="864" w:firstLineChars="400"/>
        <w:rPr>
          <w:rFonts w:cs="Times New Roman"/>
          <w:spacing w:val="-2"/>
          <w:sz w:val="22"/>
          <w:szCs w:val="22"/>
        </w:rPr>
      </w:pPr>
      <w:r>
        <w:rPr>
          <w:rFonts w:cs="Times New Roman"/>
          <w:spacing w:val="-2"/>
          <w:sz w:val="22"/>
          <w:szCs w:val="22"/>
        </w:rPr>
        <w:t>2.</w:t>
      </w:r>
      <w:r>
        <w:rPr>
          <w:rFonts w:cs="Times New Roman"/>
          <w:sz w:val="24"/>
        </w:rPr>
        <w:t xml:space="preserve"> </w:t>
      </w:r>
      <w:r>
        <w:rPr>
          <w:rFonts w:cs="Times New Roman"/>
          <w:spacing w:val="-2"/>
          <w:sz w:val="22"/>
          <w:szCs w:val="22"/>
        </w:rPr>
        <w:t>业绩证明材料：</w:t>
      </w:r>
      <w:r>
        <w:rPr>
          <w:rFonts w:hint="eastAsia" w:cs="Times New Roman"/>
          <w:spacing w:val="-2"/>
          <w:sz w:val="22"/>
          <w:szCs w:val="22"/>
        </w:rPr>
        <w:t>数据来源：债券-专题统计-一级市场-承销统计-债券承销分地域排名——选择板块：债券分类（wind）-公司债；任意区间：2020年1月1日-2022年12月31日；机构类型：证券；主体口径：穿透信用主体；未合并母子公司；选取浙江；地域承销商排名-提取数据——承销金额</w:t>
      </w:r>
      <w:r>
        <w:rPr>
          <w:rFonts w:cs="Times New Roman"/>
          <w:spacing w:val="-2"/>
          <w:sz w:val="22"/>
          <w:szCs w:val="22"/>
        </w:rPr>
        <w:t>。</w:t>
      </w:r>
    </w:p>
    <w:p>
      <w:pPr>
        <w:pStyle w:val="11"/>
        <w:ind w:firstLine="210"/>
        <w:rPr>
          <w:rFonts w:cs="Times New Roman"/>
        </w:rPr>
      </w:pPr>
    </w:p>
    <w:p>
      <w:pPr>
        <w:spacing w:line="380" w:lineRule="exact"/>
        <w:ind w:firstLine="440" w:firstLineChars="200"/>
        <w:rPr>
          <w:rFonts w:cs="Times New Roman"/>
          <w:sz w:val="22"/>
          <w:szCs w:val="22"/>
        </w:rPr>
      </w:pPr>
      <w:r>
        <w:rPr>
          <w:rFonts w:hint="eastAsia" w:cs="Times New Roman"/>
          <w:sz w:val="22"/>
          <w:szCs w:val="22"/>
        </w:rPr>
        <w:t>投标人</w:t>
      </w:r>
      <w:r>
        <w:rPr>
          <w:rFonts w:cs="Times New Roman"/>
          <w:sz w:val="22"/>
          <w:szCs w:val="22"/>
        </w:rPr>
        <w:t>全称（盖章）：</w:t>
      </w:r>
    </w:p>
    <w:p>
      <w:pPr>
        <w:spacing w:line="380" w:lineRule="exact"/>
        <w:ind w:firstLine="440" w:firstLineChars="200"/>
        <w:rPr>
          <w:rFonts w:cs="Times New Roman"/>
          <w:sz w:val="22"/>
          <w:szCs w:val="22"/>
        </w:rPr>
      </w:pPr>
      <w:r>
        <w:rPr>
          <w:rFonts w:cs="Times New Roman"/>
          <w:sz w:val="22"/>
          <w:szCs w:val="22"/>
        </w:rPr>
        <w:t>法定代表人或授权代表（签字或盖章）：</w:t>
      </w:r>
    </w:p>
    <w:p>
      <w:pPr>
        <w:spacing w:line="380" w:lineRule="exact"/>
        <w:ind w:firstLine="440" w:firstLineChars="200"/>
        <w:rPr>
          <w:rFonts w:cs="Times New Roman"/>
          <w:sz w:val="22"/>
          <w:szCs w:val="22"/>
        </w:rPr>
      </w:pPr>
      <w:r>
        <w:rPr>
          <w:rFonts w:cs="Times New Roman"/>
          <w:sz w:val="22"/>
          <w:szCs w:val="22"/>
        </w:rPr>
        <w:t xml:space="preserve">日期：  年   月  日  </w:t>
      </w:r>
    </w:p>
    <w:p>
      <w:pPr>
        <w:spacing w:line="380" w:lineRule="exact"/>
        <w:ind w:firstLine="440" w:firstLineChars="200"/>
        <w:rPr>
          <w:rFonts w:cs="Times New Roman"/>
          <w:sz w:val="22"/>
          <w:szCs w:val="22"/>
        </w:rPr>
      </w:pPr>
    </w:p>
    <w:p>
      <w:pPr>
        <w:jc w:val="left"/>
        <w:textAlignment w:val="auto"/>
        <w:rPr>
          <w:rFonts w:cs="Times New Roman"/>
          <w:b/>
          <w:sz w:val="22"/>
          <w:szCs w:val="22"/>
        </w:rPr>
      </w:pPr>
      <w:r>
        <w:rPr>
          <w:rFonts w:cs="Times New Roman"/>
          <w:b/>
          <w:sz w:val="22"/>
          <w:szCs w:val="22"/>
        </w:rPr>
        <w:br w:type="page"/>
      </w:r>
    </w:p>
    <w:p>
      <w:pPr>
        <w:rPr>
          <w:rFonts w:cs="Times New Roman"/>
          <w:sz w:val="24"/>
        </w:rPr>
      </w:pPr>
      <w:r>
        <w:rPr>
          <w:rFonts w:cs="Times New Roman"/>
          <w:sz w:val="24"/>
        </w:rPr>
        <w:t>6、投标人2020年1</w:t>
      </w:r>
      <w:r>
        <w:rPr>
          <w:rFonts w:cs="Times New Roman"/>
          <w:sz w:val="24"/>
          <w:szCs w:val="24"/>
        </w:rPr>
        <w:t>月1日-2022年12月31日</w:t>
      </w:r>
      <w:r>
        <w:rPr>
          <w:rFonts w:cs="Times New Roman"/>
          <w:sz w:val="24"/>
        </w:rPr>
        <w:t>全国范围公司债发行成功率</w:t>
      </w:r>
    </w:p>
    <w:p>
      <w:pPr>
        <w:ind w:firstLine="432" w:firstLineChars="200"/>
        <w:rPr>
          <w:rFonts w:cs="Times New Roman"/>
          <w:spacing w:val="-2"/>
          <w:sz w:val="22"/>
          <w:szCs w:val="22"/>
        </w:rPr>
      </w:pPr>
    </w:p>
    <w:p>
      <w:pPr>
        <w:ind w:firstLine="432" w:firstLineChars="200"/>
        <w:rPr>
          <w:rFonts w:cs="Times New Roman"/>
          <w:spacing w:val="-2"/>
          <w:sz w:val="22"/>
          <w:szCs w:val="22"/>
        </w:rPr>
      </w:pPr>
    </w:p>
    <w:tbl>
      <w:tblPr>
        <w:tblStyle w:val="20"/>
        <w:tblpPr w:leftFromText="180" w:rightFromText="180" w:vertAnchor="page" w:horzAnchor="page" w:tblpX="1720" w:tblpY="2188"/>
        <w:tblW w:w="49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532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306" w:type="pct"/>
            <w:vAlign w:val="center"/>
          </w:tcPr>
          <w:p>
            <w:pPr>
              <w:ind w:firstLine="432" w:firstLineChars="200"/>
              <w:jc w:val="center"/>
              <w:rPr>
                <w:rFonts w:cs="Times New Roman"/>
                <w:spacing w:val="-2"/>
                <w:sz w:val="22"/>
                <w:szCs w:val="22"/>
              </w:rPr>
            </w:pPr>
            <w:r>
              <w:rPr>
                <w:rFonts w:cs="Times New Roman"/>
                <w:spacing w:val="-2"/>
                <w:sz w:val="22"/>
                <w:szCs w:val="22"/>
              </w:rPr>
              <w:t>机构名称</w:t>
            </w:r>
          </w:p>
        </w:tc>
        <w:tc>
          <w:tcPr>
            <w:tcW w:w="2941" w:type="pct"/>
            <w:vAlign w:val="center"/>
          </w:tcPr>
          <w:p>
            <w:pPr>
              <w:ind w:firstLine="480" w:firstLineChars="200"/>
              <w:jc w:val="center"/>
              <w:rPr>
                <w:rFonts w:cs="Times New Roman"/>
                <w:spacing w:val="-2"/>
                <w:sz w:val="22"/>
                <w:szCs w:val="22"/>
              </w:rPr>
            </w:pPr>
            <w:r>
              <w:rPr>
                <w:rFonts w:cs="Times New Roman"/>
                <w:sz w:val="24"/>
                <w:szCs w:val="24"/>
              </w:rPr>
              <w:t>2020年1月1日-2022年12月31日</w:t>
            </w:r>
            <w:r>
              <w:rPr>
                <w:rFonts w:cs="Times New Roman"/>
                <w:spacing w:val="-2"/>
                <w:sz w:val="22"/>
                <w:szCs w:val="22"/>
              </w:rPr>
              <w:t>，投标人在全国范围内公司债发行成功率</w:t>
            </w:r>
          </w:p>
        </w:tc>
        <w:tc>
          <w:tcPr>
            <w:tcW w:w="753" w:type="pct"/>
            <w:vAlign w:val="center"/>
          </w:tcPr>
          <w:p>
            <w:pPr>
              <w:ind w:firstLine="432" w:firstLineChars="200"/>
              <w:jc w:val="center"/>
              <w:rPr>
                <w:rFonts w:cs="Times New Roman"/>
                <w:spacing w:val="-2"/>
                <w:sz w:val="22"/>
                <w:szCs w:val="22"/>
              </w:rPr>
            </w:pPr>
            <w:r>
              <w:rPr>
                <w:rFonts w:cs="Times New Roman"/>
                <w:spacing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306" w:type="pct"/>
            <w:vAlign w:val="center"/>
          </w:tcPr>
          <w:p>
            <w:pPr>
              <w:ind w:firstLine="432" w:firstLineChars="200"/>
              <w:jc w:val="center"/>
              <w:rPr>
                <w:rFonts w:cs="Times New Roman"/>
                <w:spacing w:val="-2"/>
                <w:sz w:val="22"/>
                <w:szCs w:val="22"/>
              </w:rPr>
            </w:pPr>
          </w:p>
        </w:tc>
        <w:tc>
          <w:tcPr>
            <w:tcW w:w="2941" w:type="pct"/>
            <w:vAlign w:val="center"/>
          </w:tcPr>
          <w:p>
            <w:pPr>
              <w:ind w:firstLine="432" w:firstLineChars="200"/>
              <w:jc w:val="center"/>
              <w:rPr>
                <w:rFonts w:cs="Times New Roman"/>
                <w:spacing w:val="-2"/>
                <w:sz w:val="22"/>
                <w:szCs w:val="22"/>
              </w:rPr>
            </w:pPr>
            <w:r>
              <w:rPr>
                <w:rFonts w:cs="Times New Roman"/>
                <w:spacing w:val="-2"/>
                <w:sz w:val="22"/>
                <w:szCs w:val="22"/>
              </w:rPr>
              <w:t>_________________%</w:t>
            </w:r>
          </w:p>
        </w:tc>
        <w:tc>
          <w:tcPr>
            <w:tcW w:w="753" w:type="pct"/>
            <w:vAlign w:val="center"/>
          </w:tcPr>
          <w:p>
            <w:pPr>
              <w:ind w:firstLine="432" w:firstLineChars="200"/>
              <w:jc w:val="center"/>
              <w:rPr>
                <w:rFonts w:cs="Times New Roman"/>
                <w:spacing w:val="-2"/>
                <w:sz w:val="22"/>
                <w:szCs w:val="22"/>
              </w:rPr>
            </w:pPr>
          </w:p>
        </w:tc>
      </w:tr>
    </w:tbl>
    <w:p>
      <w:pPr>
        <w:ind w:firstLine="432" w:firstLineChars="200"/>
        <w:rPr>
          <w:rFonts w:cs="Times New Roman"/>
          <w:spacing w:val="-2"/>
          <w:sz w:val="22"/>
          <w:szCs w:val="22"/>
        </w:rPr>
      </w:pPr>
    </w:p>
    <w:p>
      <w:pPr>
        <w:ind w:firstLine="432" w:firstLineChars="200"/>
        <w:rPr>
          <w:rFonts w:cs="Times New Roman"/>
          <w:spacing w:val="-2"/>
          <w:sz w:val="22"/>
          <w:szCs w:val="22"/>
        </w:rPr>
      </w:pPr>
      <w:r>
        <w:rPr>
          <w:rFonts w:cs="Times New Roman"/>
          <w:spacing w:val="-2"/>
          <w:sz w:val="22"/>
          <w:szCs w:val="22"/>
        </w:rPr>
        <w:t xml:space="preserve">注： </w:t>
      </w:r>
    </w:p>
    <w:p>
      <w:pPr>
        <w:ind w:firstLine="432" w:firstLineChars="200"/>
        <w:rPr>
          <w:rFonts w:cs="Times New Roman"/>
          <w:spacing w:val="-2"/>
          <w:sz w:val="22"/>
          <w:szCs w:val="22"/>
        </w:rPr>
      </w:pPr>
      <w:r>
        <w:rPr>
          <w:rFonts w:cs="Times New Roman"/>
          <w:spacing w:val="-2"/>
          <w:sz w:val="22"/>
          <w:szCs w:val="22"/>
        </w:rPr>
        <w:t>1.</w:t>
      </w:r>
      <w:r>
        <w:rPr>
          <w:rFonts w:cs="Times New Roman"/>
        </w:rPr>
        <w:t xml:space="preserve"> </w:t>
      </w:r>
      <w:r>
        <w:rPr>
          <w:rFonts w:cs="Times New Roman"/>
          <w:spacing w:val="-2"/>
          <w:sz w:val="22"/>
          <w:szCs w:val="22"/>
        </w:rPr>
        <w:t>投标人需对其填写的数据真实性负责，如发现有弄虚作假现象，将取消其投标/中标资格，并承担所产生的一切后果。</w:t>
      </w:r>
    </w:p>
    <w:p>
      <w:pPr>
        <w:ind w:firstLine="432" w:firstLineChars="200"/>
        <w:rPr>
          <w:rFonts w:cs="Times New Roman"/>
          <w:spacing w:val="-2"/>
          <w:sz w:val="22"/>
          <w:szCs w:val="22"/>
        </w:rPr>
      </w:pPr>
      <w:r>
        <w:rPr>
          <w:rFonts w:cs="Times New Roman"/>
          <w:spacing w:val="-2"/>
          <w:sz w:val="22"/>
          <w:szCs w:val="22"/>
        </w:rPr>
        <w:t>2. 发行成功率=（发行总数-推迟和取消发行只数）/发行总数</w:t>
      </w:r>
    </w:p>
    <w:p>
      <w:pPr>
        <w:ind w:firstLine="432" w:firstLineChars="200"/>
        <w:rPr>
          <w:rFonts w:cs="Times New Roman"/>
          <w:spacing w:val="-2"/>
          <w:sz w:val="22"/>
          <w:szCs w:val="22"/>
        </w:rPr>
      </w:pPr>
      <w:r>
        <w:rPr>
          <w:rFonts w:cs="Times New Roman"/>
          <w:spacing w:val="-2"/>
          <w:sz w:val="22"/>
          <w:szCs w:val="22"/>
        </w:rPr>
        <w:t>3. 业绩证明材料：</w:t>
      </w:r>
      <w:r>
        <w:rPr>
          <w:rFonts w:hint="eastAsia" w:cs="Times New Roman"/>
          <w:spacing w:val="-2"/>
          <w:sz w:val="22"/>
          <w:szCs w:val="22"/>
        </w:rPr>
        <w:t>数据来源：（1）发行总数：债券-专题统计-一级市场-承销统计-债券承销排名( Wind口径)——任意区间：2020年1月1日-2022年12月31日；机构类型：证券；债券分类：公司债；上市地点：全部市场；勾选联主实际比例——债券总承销——只数；（2）推迟和取消发行只数：债券-专题统计-一级市场-新券发行-推迟或取消发行债券——起始日期：2020年1月1日；截止日期：2022年12月31日；债券类型：债券分类（Wind）-公司债；上市地点：全部市场；勾选对应的事件类型；数据筛选主承销商——统计对应只数</w:t>
      </w:r>
      <w:r>
        <w:rPr>
          <w:rFonts w:cs="Times New Roman"/>
          <w:spacing w:val="-2"/>
          <w:sz w:val="22"/>
          <w:szCs w:val="22"/>
        </w:rPr>
        <w:t>。</w:t>
      </w:r>
    </w:p>
    <w:p>
      <w:pPr>
        <w:ind w:firstLine="432" w:firstLineChars="200"/>
        <w:rPr>
          <w:rFonts w:cs="Times New Roman"/>
          <w:spacing w:val="-2"/>
          <w:sz w:val="22"/>
          <w:szCs w:val="22"/>
        </w:rPr>
      </w:pPr>
      <w:r>
        <w:rPr>
          <w:rFonts w:cs="Times New Roman"/>
          <w:spacing w:val="-2"/>
          <w:sz w:val="22"/>
          <w:szCs w:val="22"/>
        </w:rPr>
        <w:t>4. 请于备注提供计算过程。</w:t>
      </w:r>
    </w:p>
    <w:p>
      <w:pPr>
        <w:pStyle w:val="11"/>
        <w:ind w:firstLine="210"/>
        <w:rPr>
          <w:rFonts w:cs="Times New Roman"/>
        </w:rPr>
      </w:pPr>
    </w:p>
    <w:p>
      <w:pPr>
        <w:ind w:left="428" w:leftChars="204" w:firstLine="440" w:firstLineChars="200"/>
        <w:rPr>
          <w:rFonts w:cs="Times New Roman"/>
          <w:sz w:val="22"/>
          <w:szCs w:val="22"/>
        </w:rPr>
      </w:pPr>
    </w:p>
    <w:p>
      <w:pPr>
        <w:spacing w:line="380" w:lineRule="exact"/>
        <w:ind w:firstLine="440" w:firstLineChars="200"/>
        <w:rPr>
          <w:rFonts w:cs="Times New Roman"/>
          <w:sz w:val="22"/>
          <w:szCs w:val="22"/>
        </w:rPr>
      </w:pPr>
      <w:r>
        <w:rPr>
          <w:rFonts w:cs="Times New Roman"/>
          <w:sz w:val="22"/>
          <w:szCs w:val="22"/>
        </w:rPr>
        <w:t>投标人全称（盖章）：</w:t>
      </w:r>
    </w:p>
    <w:p>
      <w:pPr>
        <w:spacing w:line="380" w:lineRule="exact"/>
        <w:ind w:firstLine="440" w:firstLineChars="200"/>
        <w:rPr>
          <w:rFonts w:cs="Times New Roman"/>
          <w:sz w:val="22"/>
          <w:szCs w:val="22"/>
        </w:rPr>
      </w:pPr>
      <w:r>
        <w:rPr>
          <w:rFonts w:cs="Times New Roman"/>
          <w:sz w:val="22"/>
          <w:szCs w:val="22"/>
        </w:rPr>
        <w:t>法定代表人或授权代表（签字或盖章）：</w:t>
      </w:r>
    </w:p>
    <w:p>
      <w:pPr>
        <w:ind w:left="428" w:leftChars="204" w:firstLine="440" w:firstLineChars="200"/>
        <w:rPr>
          <w:rFonts w:cs="Times New Roman"/>
          <w:sz w:val="22"/>
          <w:szCs w:val="22"/>
        </w:rPr>
      </w:pPr>
      <w:r>
        <w:rPr>
          <w:rFonts w:cs="Times New Roman"/>
          <w:sz w:val="22"/>
          <w:szCs w:val="22"/>
        </w:rPr>
        <w:t xml:space="preserve">                                    </w:t>
      </w:r>
    </w:p>
    <w:p>
      <w:pPr>
        <w:ind w:left="428" w:leftChars="204" w:firstLine="440" w:firstLineChars="200"/>
        <w:rPr>
          <w:rFonts w:cs="Times New Roman"/>
          <w:sz w:val="22"/>
          <w:szCs w:val="22"/>
        </w:rPr>
      </w:pPr>
    </w:p>
    <w:p>
      <w:pPr>
        <w:ind w:left="428" w:leftChars="204" w:firstLine="440" w:firstLineChars="200"/>
        <w:rPr>
          <w:rFonts w:cs="Times New Roman"/>
          <w:sz w:val="22"/>
          <w:szCs w:val="22"/>
        </w:rPr>
      </w:pPr>
    </w:p>
    <w:p>
      <w:pPr>
        <w:ind w:left="428" w:leftChars="204" w:firstLine="5500" w:firstLineChars="2500"/>
        <w:rPr>
          <w:rFonts w:cs="Times New Roman"/>
          <w:sz w:val="22"/>
          <w:szCs w:val="22"/>
        </w:rPr>
      </w:pPr>
      <w:r>
        <w:rPr>
          <w:rFonts w:cs="Times New Roman"/>
          <w:sz w:val="22"/>
          <w:szCs w:val="22"/>
        </w:rPr>
        <w:t xml:space="preserve">日期：  年   月  日  </w:t>
      </w:r>
    </w:p>
    <w:p>
      <w:pPr>
        <w:spacing w:line="380" w:lineRule="exact"/>
        <w:ind w:firstLine="440" w:firstLineChars="200"/>
        <w:rPr>
          <w:rFonts w:cs="Times New Roman"/>
          <w:sz w:val="22"/>
          <w:szCs w:val="22"/>
        </w:rPr>
      </w:pPr>
    </w:p>
    <w:p>
      <w:pPr>
        <w:overflowPunct w:val="0"/>
        <w:spacing w:line="380" w:lineRule="exact"/>
        <w:ind w:firstLine="440" w:firstLineChars="200"/>
        <w:rPr>
          <w:rFonts w:cs="Times New Roman"/>
          <w:sz w:val="22"/>
          <w:szCs w:val="22"/>
        </w:rPr>
      </w:pPr>
    </w:p>
    <w:p>
      <w:pPr>
        <w:pStyle w:val="11"/>
        <w:widowControl w:val="0"/>
        <w:overflowPunct w:val="0"/>
        <w:spacing w:line="480" w:lineRule="auto"/>
        <w:ind w:firstLine="221"/>
        <w:textAlignment w:val="auto"/>
        <w:rPr>
          <w:rFonts w:cs="Times New Roman"/>
          <w:b/>
          <w:sz w:val="22"/>
          <w:szCs w:val="22"/>
        </w:rPr>
      </w:pPr>
    </w:p>
    <w:p>
      <w:pPr>
        <w:ind w:firstLine="480" w:firstLineChars="200"/>
        <w:jc w:val="center"/>
        <w:rPr>
          <w:rFonts w:cs="Times New Roman"/>
          <w:sz w:val="24"/>
        </w:rPr>
      </w:pPr>
    </w:p>
    <w:p>
      <w:pPr>
        <w:jc w:val="left"/>
        <w:textAlignment w:val="auto"/>
        <w:rPr>
          <w:rFonts w:cs="Times New Roman"/>
          <w:sz w:val="22"/>
          <w:szCs w:val="22"/>
        </w:rPr>
      </w:pPr>
      <w:r>
        <w:rPr>
          <w:rFonts w:cs="Times New Roman"/>
          <w:sz w:val="22"/>
          <w:szCs w:val="22"/>
        </w:rPr>
        <w:t xml:space="preserve">  </w:t>
      </w:r>
    </w:p>
    <w:p>
      <w:pPr>
        <w:spacing w:line="380" w:lineRule="exact"/>
        <w:ind w:firstLine="440" w:firstLineChars="200"/>
        <w:rPr>
          <w:rFonts w:cs="Times New Roman"/>
          <w:sz w:val="22"/>
          <w:szCs w:val="22"/>
        </w:rPr>
      </w:pPr>
    </w:p>
    <w:p>
      <w:pPr>
        <w:overflowPunct w:val="0"/>
        <w:spacing w:line="380" w:lineRule="exact"/>
        <w:ind w:firstLine="440" w:firstLineChars="200"/>
        <w:rPr>
          <w:rFonts w:cs="Times New Roman"/>
          <w:sz w:val="22"/>
          <w:szCs w:val="22"/>
        </w:rPr>
      </w:pPr>
    </w:p>
    <w:p>
      <w:pPr>
        <w:ind w:firstLine="440" w:firstLineChars="200"/>
        <w:rPr>
          <w:rFonts w:cs="Times New Roman"/>
          <w:sz w:val="22"/>
          <w:szCs w:val="22"/>
        </w:rPr>
      </w:pPr>
      <w:r>
        <w:rPr>
          <w:rFonts w:cs="Times New Roman"/>
          <w:sz w:val="22"/>
          <w:szCs w:val="22"/>
        </w:rPr>
        <w:br w:type="page"/>
      </w:r>
    </w:p>
    <w:p>
      <w:pPr>
        <w:rPr>
          <w:rFonts w:cs="Times New Roman"/>
          <w:sz w:val="24"/>
        </w:rPr>
      </w:pPr>
    </w:p>
    <w:tbl>
      <w:tblPr>
        <w:tblStyle w:val="20"/>
        <w:tblpPr w:leftFromText="180" w:rightFromText="180" w:vertAnchor="page" w:horzAnchor="page" w:tblpX="1447" w:tblpY="2934"/>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4540"/>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2209" w:type="dxa"/>
            <w:vAlign w:val="center"/>
          </w:tcPr>
          <w:p>
            <w:pPr>
              <w:ind w:firstLine="432" w:firstLineChars="200"/>
              <w:rPr>
                <w:rFonts w:cs="Times New Roman"/>
                <w:spacing w:val="-2"/>
                <w:sz w:val="22"/>
                <w:szCs w:val="22"/>
              </w:rPr>
            </w:pPr>
            <w:r>
              <w:rPr>
                <w:rFonts w:cs="Times New Roman"/>
                <w:spacing w:val="-2"/>
                <w:sz w:val="22"/>
                <w:szCs w:val="22"/>
              </w:rPr>
              <w:t>机构名称</w:t>
            </w:r>
          </w:p>
        </w:tc>
        <w:tc>
          <w:tcPr>
            <w:tcW w:w="4540" w:type="dxa"/>
            <w:vAlign w:val="center"/>
          </w:tcPr>
          <w:p>
            <w:pPr>
              <w:pStyle w:val="11"/>
              <w:ind w:firstLine="216"/>
              <w:rPr>
                <w:rFonts w:cs="Times New Roman"/>
              </w:rPr>
            </w:pPr>
            <w:r>
              <w:rPr>
                <w:rFonts w:cs="Times New Roman"/>
                <w:spacing w:val="-2"/>
                <w:sz w:val="22"/>
                <w:szCs w:val="22"/>
              </w:rPr>
              <w:t>2022年度，投标人在浙江省范围内承销的主体评级为AA、无增信措施、3年期及以上的公司债发行时票面利率最低的3只的平均票面利率</w:t>
            </w:r>
          </w:p>
        </w:tc>
        <w:tc>
          <w:tcPr>
            <w:tcW w:w="2811" w:type="dxa"/>
            <w:vAlign w:val="center"/>
          </w:tcPr>
          <w:p>
            <w:pPr>
              <w:ind w:firstLine="432" w:firstLineChars="200"/>
              <w:jc w:val="center"/>
              <w:rPr>
                <w:rFonts w:cs="Times New Roman"/>
                <w:spacing w:val="-2"/>
                <w:sz w:val="22"/>
                <w:szCs w:val="22"/>
              </w:rPr>
            </w:pPr>
            <w:r>
              <w:rPr>
                <w:rFonts w:cs="Times New Roman"/>
                <w:spacing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209" w:type="dxa"/>
            <w:vAlign w:val="center"/>
          </w:tcPr>
          <w:p>
            <w:pPr>
              <w:ind w:firstLine="432" w:firstLineChars="200"/>
              <w:jc w:val="center"/>
              <w:rPr>
                <w:rFonts w:cs="Times New Roman"/>
                <w:spacing w:val="-2"/>
                <w:sz w:val="22"/>
                <w:szCs w:val="22"/>
              </w:rPr>
            </w:pPr>
          </w:p>
        </w:tc>
        <w:tc>
          <w:tcPr>
            <w:tcW w:w="4540" w:type="dxa"/>
            <w:vAlign w:val="center"/>
          </w:tcPr>
          <w:p>
            <w:pPr>
              <w:ind w:firstLine="420" w:firstLineChars="200"/>
              <w:jc w:val="center"/>
              <w:rPr>
                <w:rFonts w:cs="Times New Roman"/>
                <w:spacing w:val="-2"/>
                <w:sz w:val="22"/>
                <w:szCs w:val="22"/>
              </w:rPr>
            </w:pPr>
            <w:r>
              <w:rPr>
                <w:rFonts w:cs="Times New Roman"/>
                <w:kern w:val="0"/>
                <w:szCs w:val="21"/>
                <w:u w:val="single"/>
              </w:rPr>
              <w:t xml:space="preserve">     </w:t>
            </w:r>
            <w:r>
              <w:rPr>
                <w:rFonts w:cs="Times New Roman"/>
                <w:spacing w:val="-2"/>
                <w:sz w:val="22"/>
                <w:szCs w:val="22"/>
                <w:u w:val="single"/>
              </w:rPr>
              <w:t xml:space="preserve">        %</w:t>
            </w:r>
          </w:p>
        </w:tc>
        <w:tc>
          <w:tcPr>
            <w:tcW w:w="2811" w:type="dxa"/>
            <w:vAlign w:val="center"/>
          </w:tcPr>
          <w:p>
            <w:pPr>
              <w:ind w:firstLine="432" w:firstLineChars="200"/>
              <w:jc w:val="center"/>
              <w:rPr>
                <w:rFonts w:cs="Times New Roman"/>
                <w:spacing w:val="-2"/>
                <w:sz w:val="22"/>
                <w:szCs w:val="22"/>
              </w:rPr>
            </w:pPr>
          </w:p>
        </w:tc>
      </w:tr>
    </w:tbl>
    <w:p>
      <w:pPr>
        <w:rPr>
          <w:rFonts w:cs="Times New Roman"/>
          <w:sz w:val="24"/>
        </w:rPr>
      </w:pPr>
      <w:r>
        <w:rPr>
          <w:rFonts w:cs="Times New Roman"/>
          <w:sz w:val="24"/>
        </w:rPr>
        <w:t>7</w:t>
      </w:r>
      <w:r>
        <w:rPr>
          <w:rFonts w:cs="Times New Roman"/>
          <w:sz w:val="24"/>
          <w:lang w:eastAsia="zh-Hans"/>
        </w:rPr>
        <w:t>、</w:t>
      </w:r>
      <w:r>
        <w:rPr>
          <w:rFonts w:hint="eastAsia" w:cs="Times New Roman"/>
          <w:sz w:val="24"/>
          <w:lang w:eastAsia="zh-Hans"/>
        </w:rPr>
        <w:t>投标人</w:t>
      </w:r>
      <w:r>
        <w:rPr>
          <w:rFonts w:cs="Times New Roman"/>
          <w:sz w:val="24"/>
        </w:rPr>
        <w:t>2022</w:t>
      </w:r>
      <w:r>
        <w:rPr>
          <w:rFonts w:cs="Times New Roman"/>
          <w:sz w:val="24"/>
          <w:lang w:eastAsia="zh-Hans"/>
        </w:rPr>
        <w:t>年浙江省范围公司债承销定价能力</w:t>
      </w:r>
    </w:p>
    <w:p>
      <w:pPr>
        <w:pStyle w:val="11"/>
        <w:ind w:firstLine="210"/>
        <w:rPr>
          <w:rFonts w:cs="Times New Roman"/>
        </w:rPr>
      </w:pPr>
    </w:p>
    <w:p>
      <w:pPr>
        <w:ind w:firstLine="432" w:firstLineChars="200"/>
        <w:rPr>
          <w:rFonts w:cs="Times New Roman"/>
          <w:spacing w:val="-2"/>
          <w:sz w:val="22"/>
          <w:szCs w:val="22"/>
        </w:rPr>
      </w:pPr>
    </w:p>
    <w:p>
      <w:pPr>
        <w:ind w:firstLine="432" w:firstLineChars="200"/>
        <w:rPr>
          <w:rFonts w:cs="Times New Roman"/>
          <w:spacing w:val="-2"/>
          <w:sz w:val="22"/>
          <w:szCs w:val="22"/>
        </w:rPr>
      </w:pPr>
    </w:p>
    <w:p>
      <w:pPr>
        <w:ind w:firstLine="432" w:firstLineChars="200"/>
        <w:rPr>
          <w:rFonts w:cs="Times New Roman"/>
          <w:spacing w:val="-2"/>
          <w:sz w:val="22"/>
          <w:szCs w:val="22"/>
        </w:rPr>
      </w:pPr>
    </w:p>
    <w:p>
      <w:pPr>
        <w:ind w:firstLine="432" w:firstLineChars="200"/>
        <w:rPr>
          <w:rFonts w:cs="Times New Roman"/>
          <w:spacing w:val="-2"/>
          <w:sz w:val="22"/>
          <w:szCs w:val="22"/>
        </w:rPr>
      </w:pPr>
      <w:r>
        <w:rPr>
          <w:rFonts w:cs="Times New Roman"/>
          <w:spacing w:val="-2"/>
          <w:sz w:val="22"/>
          <w:szCs w:val="22"/>
        </w:rPr>
        <w:t xml:space="preserve">注： </w:t>
      </w:r>
    </w:p>
    <w:p>
      <w:pPr>
        <w:ind w:firstLine="432" w:firstLineChars="200"/>
        <w:rPr>
          <w:rFonts w:cs="Times New Roman"/>
          <w:spacing w:val="-2"/>
          <w:sz w:val="22"/>
          <w:szCs w:val="22"/>
        </w:rPr>
      </w:pPr>
      <w:r>
        <w:rPr>
          <w:rFonts w:cs="Times New Roman"/>
          <w:spacing w:val="-2"/>
          <w:sz w:val="22"/>
          <w:szCs w:val="22"/>
        </w:rPr>
        <w:t>1. 投标人需对其填写的数据真实性负责，如发现有弄虚作假现象，将取消其投标/中标资格，并承担所产生的一切后果。</w:t>
      </w:r>
    </w:p>
    <w:p>
      <w:pPr>
        <w:ind w:firstLine="432" w:firstLineChars="200"/>
        <w:rPr>
          <w:rFonts w:cs="Times New Roman"/>
          <w:spacing w:val="-2"/>
          <w:sz w:val="22"/>
          <w:szCs w:val="22"/>
        </w:rPr>
      </w:pPr>
      <w:r>
        <w:rPr>
          <w:rFonts w:cs="Times New Roman"/>
          <w:spacing w:val="-2"/>
          <w:sz w:val="22"/>
          <w:szCs w:val="22"/>
        </w:rPr>
        <w:t>2. 平均票面利率=(投标人于2022年度在浙江省范围内承销的主体评级为AA、无增信措施、3年期及以上的公司债发行时票面利率最低的3只的票面利率之和)/3</w:t>
      </w:r>
      <w:r>
        <w:rPr>
          <w:rFonts w:hint="eastAsia" w:cs="Times New Roman"/>
          <w:spacing w:val="-2"/>
          <w:sz w:val="22"/>
          <w:szCs w:val="22"/>
        </w:rPr>
        <w:t>；不及</w:t>
      </w:r>
      <w:r>
        <w:rPr>
          <w:rFonts w:cs="Times New Roman"/>
          <w:spacing w:val="-2"/>
          <w:sz w:val="22"/>
          <w:szCs w:val="22"/>
        </w:rPr>
        <w:t>3</w:t>
      </w:r>
      <w:r>
        <w:rPr>
          <w:rFonts w:hint="eastAsia" w:cs="Times New Roman"/>
          <w:spacing w:val="-2"/>
          <w:sz w:val="22"/>
          <w:szCs w:val="22"/>
        </w:rPr>
        <w:t>只的，按照对应只数的算术平均值计算。</w:t>
      </w:r>
    </w:p>
    <w:p>
      <w:pPr>
        <w:ind w:firstLine="432" w:firstLineChars="200"/>
        <w:rPr>
          <w:rFonts w:cs="Times New Roman"/>
          <w:spacing w:val="-2"/>
          <w:sz w:val="22"/>
          <w:szCs w:val="22"/>
        </w:rPr>
      </w:pPr>
      <w:r>
        <w:rPr>
          <w:rFonts w:cs="Times New Roman"/>
          <w:spacing w:val="-2"/>
          <w:sz w:val="22"/>
          <w:szCs w:val="22"/>
        </w:rPr>
        <w:t>3. 业绩证明材料：</w:t>
      </w:r>
      <w:r>
        <w:rPr>
          <w:rFonts w:hint="eastAsia" w:cs="Times New Roman"/>
          <w:spacing w:val="-2"/>
          <w:sz w:val="22"/>
          <w:szCs w:val="22"/>
        </w:rPr>
        <w:t>数据来源：债券-多维数据-数据浏览器-选取债务主体中文名称、上市首日公司属性、发行起始日、发行总额、债券期限（年）票面利率（发行时）、发行时主体评级、发行时债项评级、主承销商、担保人、省份；勾选债券分类（Wind）-公司债；筛选发行起始日为2022年1月1日-2022年12月31日；筛选发行时主体评级AA；筛选担保人为（空白）；筛选债券期限（年）为≥3年）；筛选省份为浙江省；筛选对应主承销商；从低到高排列票面利率（发行时）并计算票面利率（发行时）最低的3只债券的平均票面利率</w:t>
      </w:r>
      <w:r>
        <w:rPr>
          <w:rFonts w:cs="Times New Roman"/>
          <w:spacing w:val="-2"/>
          <w:sz w:val="22"/>
          <w:szCs w:val="22"/>
        </w:rPr>
        <w:t>。</w:t>
      </w:r>
    </w:p>
    <w:p>
      <w:pPr>
        <w:ind w:firstLine="432" w:firstLineChars="200"/>
        <w:rPr>
          <w:rFonts w:cs="Times New Roman"/>
          <w:spacing w:val="-2"/>
          <w:sz w:val="22"/>
          <w:szCs w:val="22"/>
        </w:rPr>
      </w:pPr>
      <w:r>
        <w:rPr>
          <w:rFonts w:cs="Times New Roman"/>
          <w:spacing w:val="-2"/>
          <w:sz w:val="22"/>
          <w:szCs w:val="22"/>
        </w:rPr>
        <w:t>4. 请于备注提供计算过程。</w:t>
      </w:r>
    </w:p>
    <w:p>
      <w:pPr>
        <w:pStyle w:val="11"/>
        <w:ind w:firstLine="210"/>
        <w:rPr>
          <w:rFonts w:cs="Times New Roman"/>
        </w:rPr>
      </w:pPr>
    </w:p>
    <w:p>
      <w:pPr>
        <w:ind w:left="428" w:leftChars="204" w:firstLine="440" w:firstLineChars="200"/>
        <w:rPr>
          <w:rFonts w:cs="Times New Roman"/>
          <w:sz w:val="22"/>
          <w:szCs w:val="22"/>
        </w:rPr>
      </w:pPr>
    </w:p>
    <w:p>
      <w:pPr>
        <w:ind w:firstLine="440" w:firstLineChars="200"/>
        <w:rPr>
          <w:rFonts w:cs="Times New Roman"/>
          <w:sz w:val="22"/>
          <w:szCs w:val="22"/>
        </w:rPr>
      </w:pPr>
    </w:p>
    <w:p>
      <w:pPr>
        <w:ind w:left="428" w:leftChars="204" w:firstLine="440" w:firstLineChars="200"/>
        <w:rPr>
          <w:rFonts w:cs="Times New Roman"/>
          <w:sz w:val="22"/>
          <w:szCs w:val="22"/>
        </w:rPr>
      </w:pPr>
    </w:p>
    <w:p>
      <w:pPr>
        <w:spacing w:line="380" w:lineRule="exact"/>
        <w:ind w:firstLine="440" w:firstLineChars="200"/>
        <w:rPr>
          <w:rFonts w:cs="Times New Roman"/>
          <w:sz w:val="22"/>
          <w:szCs w:val="22"/>
        </w:rPr>
      </w:pPr>
      <w:r>
        <w:rPr>
          <w:rFonts w:cs="Times New Roman"/>
          <w:sz w:val="22"/>
          <w:szCs w:val="22"/>
        </w:rPr>
        <w:t>投标人全称（盖章）：</w:t>
      </w:r>
    </w:p>
    <w:p>
      <w:pPr>
        <w:spacing w:line="380" w:lineRule="exact"/>
        <w:ind w:firstLine="440" w:firstLineChars="200"/>
        <w:rPr>
          <w:rFonts w:cs="Times New Roman"/>
          <w:sz w:val="22"/>
          <w:szCs w:val="22"/>
        </w:rPr>
      </w:pPr>
      <w:r>
        <w:rPr>
          <w:rFonts w:cs="Times New Roman"/>
          <w:sz w:val="22"/>
          <w:szCs w:val="22"/>
        </w:rPr>
        <w:t>法定代表人或授权代表（签字或盖章）：</w:t>
      </w:r>
    </w:p>
    <w:p>
      <w:pPr>
        <w:ind w:left="428" w:leftChars="204" w:firstLine="440" w:firstLineChars="200"/>
        <w:rPr>
          <w:rFonts w:cs="Times New Roman"/>
          <w:sz w:val="22"/>
          <w:szCs w:val="22"/>
        </w:rPr>
      </w:pPr>
      <w:r>
        <w:rPr>
          <w:rFonts w:cs="Times New Roman"/>
          <w:sz w:val="22"/>
          <w:szCs w:val="22"/>
        </w:rPr>
        <w:t xml:space="preserve">                                    日期：  年   月  日  </w:t>
      </w:r>
    </w:p>
    <w:p>
      <w:pPr>
        <w:spacing w:line="380" w:lineRule="exact"/>
        <w:ind w:firstLine="440" w:firstLineChars="200"/>
        <w:rPr>
          <w:rFonts w:cs="Times New Roman"/>
          <w:sz w:val="22"/>
          <w:szCs w:val="22"/>
        </w:rPr>
      </w:pPr>
    </w:p>
    <w:p>
      <w:pPr>
        <w:ind w:firstLine="442" w:firstLineChars="200"/>
        <w:rPr>
          <w:rFonts w:cs="Times New Roman"/>
        </w:rPr>
      </w:pPr>
      <w:r>
        <w:rPr>
          <w:rFonts w:cs="Times New Roman"/>
          <w:b/>
          <w:bCs/>
          <w:sz w:val="22"/>
          <w:szCs w:val="22"/>
        </w:rPr>
        <w:br w:type="page"/>
      </w:r>
    </w:p>
    <w:p>
      <w:pPr>
        <w:rPr>
          <w:rFonts w:cs="Times New Roman"/>
        </w:rPr>
      </w:pPr>
      <w:r>
        <w:rPr>
          <w:rFonts w:cs="Times New Roman"/>
          <w:sz w:val="24"/>
        </w:rPr>
        <w:t>8</w:t>
      </w:r>
      <w:r>
        <w:rPr>
          <w:rFonts w:cs="Times New Roman"/>
          <w:sz w:val="24"/>
          <w:lang w:eastAsia="zh-Hans"/>
        </w:rPr>
        <w:t>、投标人2022年全国范围公司债</w:t>
      </w:r>
      <w:r>
        <w:rPr>
          <w:rFonts w:hint="eastAsia" w:cs="Times New Roman"/>
          <w:sz w:val="24"/>
          <w:lang w:eastAsia="zh-Hans"/>
        </w:rPr>
        <w:t>同类型主体的承销经验</w:t>
      </w:r>
    </w:p>
    <w:tbl>
      <w:tblPr>
        <w:tblStyle w:val="20"/>
        <w:tblpPr w:leftFromText="180" w:rightFromText="180" w:vertAnchor="page" w:horzAnchor="page" w:tblpX="1114" w:tblpY="2979"/>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5291"/>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2150" w:type="dxa"/>
            <w:vAlign w:val="center"/>
          </w:tcPr>
          <w:p>
            <w:pPr>
              <w:ind w:firstLine="432" w:firstLineChars="200"/>
              <w:jc w:val="center"/>
              <w:rPr>
                <w:rFonts w:cs="Times New Roman"/>
                <w:spacing w:val="-2"/>
                <w:sz w:val="22"/>
                <w:szCs w:val="22"/>
              </w:rPr>
            </w:pPr>
            <w:r>
              <w:rPr>
                <w:rFonts w:cs="Times New Roman"/>
                <w:spacing w:val="-2"/>
                <w:sz w:val="22"/>
                <w:szCs w:val="22"/>
              </w:rPr>
              <w:t>机构名称</w:t>
            </w:r>
          </w:p>
        </w:tc>
        <w:tc>
          <w:tcPr>
            <w:tcW w:w="5291" w:type="dxa"/>
            <w:vAlign w:val="center"/>
          </w:tcPr>
          <w:p>
            <w:pPr>
              <w:pStyle w:val="11"/>
              <w:ind w:firstLine="220"/>
              <w:rPr>
                <w:rFonts w:cs="Times New Roman"/>
              </w:rPr>
            </w:pPr>
            <w:r>
              <w:rPr>
                <w:rFonts w:cs="Times New Roman"/>
                <w:spacing w:val="-2"/>
                <w:sz w:val="22"/>
                <w:szCs w:val="22"/>
              </w:rPr>
              <w:t>2022年，</w:t>
            </w:r>
            <w:r>
              <w:rPr>
                <w:rFonts w:hint="eastAsia" w:cs="Times New Roman"/>
                <w:spacing w:val="-2"/>
                <w:sz w:val="22"/>
                <w:szCs w:val="22"/>
              </w:rPr>
              <w:t>投标人作为主承销商在全国范围内承销的主体评级为AA的公司债承销规模占该投标人同期公司债总承销规模</w:t>
            </w:r>
            <w:r>
              <w:rPr>
                <w:rFonts w:cs="Times New Roman"/>
                <w:spacing w:val="-2"/>
                <w:sz w:val="22"/>
                <w:szCs w:val="22"/>
              </w:rPr>
              <w:t>比例</w:t>
            </w:r>
          </w:p>
        </w:tc>
        <w:tc>
          <w:tcPr>
            <w:tcW w:w="2347" w:type="dxa"/>
            <w:vAlign w:val="center"/>
          </w:tcPr>
          <w:p>
            <w:pPr>
              <w:ind w:firstLine="432" w:firstLineChars="200"/>
              <w:jc w:val="center"/>
              <w:rPr>
                <w:rFonts w:cs="Times New Roman"/>
                <w:spacing w:val="-2"/>
                <w:sz w:val="22"/>
                <w:szCs w:val="22"/>
              </w:rPr>
            </w:pPr>
            <w:r>
              <w:rPr>
                <w:rFonts w:cs="Times New Roman"/>
                <w:spacing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50" w:type="dxa"/>
            <w:vAlign w:val="center"/>
          </w:tcPr>
          <w:p>
            <w:pPr>
              <w:ind w:firstLine="432" w:firstLineChars="200"/>
              <w:jc w:val="center"/>
              <w:rPr>
                <w:rFonts w:cs="Times New Roman"/>
                <w:spacing w:val="-2"/>
                <w:sz w:val="22"/>
                <w:szCs w:val="22"/>
              </w:rPr>
            </w:pPr>
          </w:p>
        </w:tc>
        <w:tc>
          <w:tcPr>
            <w:tcW w:w="5291" w:type="dxa"/>
            <w:vAlign w:val="center"/>
          </w:tcPr>
          <w:p>
            <w:pPr>
              <w:ind w:firstLine="420" w:firstLineChars="200"/>
              <w:rPr>
                <w:rFonts w:cs="Times New Roman"/>
                <w:spacing w:val="-2"/>
                <w:sz w:val="22"/>
                <w:szCs w:val="22"/>
              </w:rPr>
            </w:pPr>
            <w:r>
              <w:rPr>
                <w:rFonts w:cs="Times New Roman"/>
                <w:kern w:val="0"/>
                <w:szCs w:val="21"/>
                <w:u w:val="single"/>
              </w:rPr>
              <w:t xml:space="preserve">  </w:t>
            </w:r>
            <w:r>
              <w:rPr>
                <w:rFonts w:hint="eastAsia" w:cs="Times New Roman"/>
                <w:kern w:val="0"/>
                <w:szCs w:val="21"/>
                <w:u w:val="single"/>
              </w:rPr>
              <w:t xml:space="preserve">                    </w:t>
            </w:r>
            <w:r>
              <w:rPr>
                <w:rFonts w:cs="Times New Roman"/>
                <w:kern w:val="0"/>
                <w:szCs w:val="21"/>
                <w:u w:val="single"/>
              </w:rPr>
              <w:t xml:space="preserve">  %</w:t>
            </w:r>
          </w:p>
        </w:tc>
        <w:tc>
          <w:tcPr>
            <w:tcW w:w="2347" w:type="dxa"/>
            <w:vAlign w:val="center"/>
          </w:tcPr>
          <w:p>
            <w:pPr>
              <w:ind w:firstLine="432" w:firstLineChars="200"/>
              <w:jc w:val="center"/>
              <w:rPr>
                <w:rFonts w:cs="Times New Roman"/>
                <w:spacing w:val="-2"/>
                <w:sz w:val="22"/>
                <w:szCs w:val="22"/>
              </w:rPr>
            </w:pPr>
          </w:p>
        </w:tc>
      </w:tr>
    </w:tbl>
    <w:p>
      <w:pPr>
        <w:ind w:firstLine="432" w:firstLineChars="200"/>
        <w:rPr>
          <w:rFonts w:cs="Times New Roman"/>
          <w:spacing w:val="-2"/>
          <w:sz w:val="22"/>
          <w:szCs w:val="22"/>
        </w:rPr>
      </w:pPr>
    </w:p>
    <w:p>
      <w:pPr>
        <w:ind w:firstLine="432" w:firstLineChars="200"/>
        <w:rPr>
          <w:rFonts w:cs="Times New Roman"/>
          <w:spacing w:val="-2"/>
          <w:sz w:val="22"/>
          <w:szCs w:val="22"/>
        </w:rPr>
      </w:pPr>
    </w:p>
    <w:p>
      <w:pPr>
        <w:ind w:firstLine="432" w:firstLineChars="200"/>
        <w:rPr>
          <w:rFonts w:cs="Times New Roman"/>
          <w:spacing w:val="-2"/>
          <w:sz w:val="22"/>
          <w:szCs w:val="22"/>
        </w:rPr>
      </w:pPr>
    </w:p>
    <w:p>
      <w:pPr>
        <w:ind w:firstLine="432" w:firstLineChars="200"/>
        <w:rPr>
          <w:rFonts w:cs="Times New Roman"/>
          <w:spacing w:val="-2"/>
          <w:sz w:val="22"/>
          <w:szCs w:val="22"/>
        </w:rPr>
      </w:pPr>
      <w:r>
        <w:rPr>
          <w:rFonts w:cs="Times New Roman"/>
          <w:spacing w:val="-2"/>
          <w:sz w:val="22"/>
          <w:szCs w:val="22"/>
        </w:rPr>
        <w:t xml:space="preserve">注： </w:t>
      </w:r>
    </w:p>
    <w:p>
      <w:pPr>
        <w:ind w:firstLine="432" w:firstLineChars="200"/>
        <w:rPr>
          <w:rFonts w:cs="Times New Roman"/>
          <w:spacing w:val="-2"/>
          <w:sz w:val="22"/>
          <w:szCs w:val="22"/>
        </w:rPr>
      </w:pPr>
      <w:r>
        <w:rPr>
          <w:rFonts w:cs="Times New Roman"/>
          <w:spacing w:val="-2"/>
          <w:sz w:val="22"/>
          <w:szCs w:val="22"/>
        </w:rPr>
        <w:t>1. 投标人需对其填写的数据真实性负责，如发现有弄虚作假现象，将取消其投标/中标资格，并承担所产生的一切后果。</w:t>
      </w:r>
    </w:p>
    <w:p>
      <w:pPr>
        <w:ind w:firstLine="432" w:firstLineChars="200"/>
        <w:rPr>
          <w:rFonts w:cs="Times New Roman"/>
          <w:spacing w:val="-2"/>
          <w:sz w:val="22"/>
          <w:szCs w:val="22"/>
        </w:rPr>
      </w:pPr>
      <w:r>
        <w:rPr>
          <w:rFonts w:cs="Times New Roman"/>
          <w:spacing w:val="-2"/>
          <w:sz w:val="22"/>
          <w:szCs w:val="22"/>
        </w:rPr>
        <w:t xml:space="preserve">2. </w:t>
      </w:r>
      <w:r>
        <w:rPr>
          <w:rFonts w:hint="eastAsia" w:cs="Times New Roman"/>
          <w:spacing w:val="-2"/>
          <w:sz w:val="22"/>
          <w:szCs w:val="22"/>
        </w:rPr>
        <w:t>规模比例=投标人2022年承销AA主体公司债发行总额/投标人2022年公司债承销总金额</w:t>
      </w:r>
    </w:p>
    <w:p>
      <w:pPr>
        <w:ind w:firstLine="432" w:firstLineChars="200"/>
        <w:rPr>
          <w:rFonts w:cs="Times New Roman"/>
          <w:spacing w:val="-2"/>
          <w:sz w:val="22"/>
          <w:szCs w:val="22"/>
        </w:rPr>
      </w:pPr>
      <w:r>
        <w:rPr>
          <w:rFonts w:cs="Times New Roman"/>
          <w:spacing w:val="-2"/>
          <w:sz w:val="22"/>
          <w:szCs w:val="22"/>
        </w:rPr>
        <w:t>3. 业绩证明材料：</w:t>
      </w:r>
      <w:r>
        <w:rPr>
          <w:rFonts w:hint="eastAsia" w:cs="Times New Roman"/>
          <w:spacing w:val="-2"/>
          <w:sz w:val="22"/>
          <w:szCs w:val="22"/>
        </w:rPr>
        <w:t>数据来源：（1）投标人2022年公司债承销总金额：债券-专题统计-一级市场-承销统计-债券承销排名( Wind口径)——任意区间：2022年1月1日-2022年12月31日；机构类型：证券；债券分类：公司债；上市地点：全部市场；勾选联主实际比例；（2）投标人2022年承销AA主体公司债发行总额：债券-专题统计-一级市场-承销统计-债券承销排名( Wind口径) ——任意区间：2022年1月1日-2022年12月31日；机构类型：证券；债券分类：公司债；上市地点：全部市场；勾选联主实际比例，在投标人对应承销明细中筛选发行主体评级AA的债券，计算对应的实际承销金额</w:t>
      </w:r>
      <w:r>
        <w:rPr>
          <w:rFonts w:cs="Times New Roman"/>
          <w:spacing w:val="-2"/>
          <w:sz w:val="22"/>
          <w:szCs w:val="22"/>
        </w:rPr>
        <w:t>。</w:t>
      </w:r>
    </w:p>
    <w:p>
      <w:pPr>
        <w:ind w:firstLine="432" w:firstLineChars="200"/>
        <w:rPr>
          <w:rFonts w:cs="Times New Roman"/>
          <w:spacing w:val="-2"/>
          <w:sz w:val="22"/>
          <w:szCs w:val="22"/>
        </w:rPr>
      </w:pPr>
      <w:r>
        <w:rPr>
          <w:rFonts w:cs="Times New Roman"/>
          <w:spacing w:val="-2"/>
          <w:sz w:val="22"/>
          <w:szCs w:val="22"/>
        </w:rPr>
        <w:t>4. 请于备注提供计算过程。</w:t>
      </w:r>
    </w:p>
    <w:p>
      <w:pPr>
        <w:ind w:left="428" w:leftChars="204" w:firstLine="440" w:firstLineChars="200"/>
        <w:rPr>
          <w:rFonts w:cs="Times New Roman"/>
          <w:sz w:val="22"/>
          <w:szCs w:val="22"/>
        </w:rPr>
      </w:pPr>
    </w:p>
    <w:p>
      <w:pPr>
        <w:ind w:firstLine="440" w:firstLineChars="200"/>
        <w:rPr>
          <w:rFonts w:cs="Times New Roman"/>
          <w:sz w:val="22"/>
          <w:szCs w:val="22"/>
        </w:rPr>
      </w:pPr>
    </w:p>
    <w:p>
      <w:pPr>
        <w:ind w:left="428" w:leftChars="204" w:firstLine="440" w:firstLineChars="200"/>
        <w:rPr>
          <w:rFonts w:cs="Times New Roman"/>
          <w:sz w:val="22"/>
          <w:szCs w:val="22"/>
        </w:rPr>
      </w:pPr>
    </w:p>
    <w:p>
      <w:pPr>
        <w:spacing w:line="380" w:lineRule="exact"/>
        <w:ind w:firstLine="440" w:firstLineChars="200"/>
        <w:rPr>
          <w:rFonts w:cs="Times New Roman"/>
          <w:sz w:val="22"/>
          <w:szCs w:val="22"/>
        </w:rPr>
      </w:pPr>
      <w:r>
        <w:rPr>
          <w:rFonts w:cs="Times New Roman"/>
          <w:sz w:val="22"/>
          <w:szCs w:val="22"/>
        </w:rPr>
        <w:t>投标人全称（盖章）：</w:t>
      </w:r>
    </w:p>
    <w:p>
      <w:pPr>
        <w:spacing w:line="380" w:lineRule="exact"/>
        <w:ind w:firstLine="440" w:firstLineChars="200"/>
        <w:rPr>
          <w:rFonts w:cs="Times New Roman"/>
          <w:sz w:val="22"/>
          <w:szCs w:val="22"/>
        </w:rPr>
      </w:pPr>
      <w:r>
        <w:rPr>
          <w:rFonts w:cs="Times New Roman"/>
          <w:sz w:val="22"/>
          <w:szCs w:val="22"/>
        </w:rPr>
        <w:t>法定代表人或授权代表（签字或盖章）：</w:t>
      </w:r>
    </w:p>
    <w:p>
      <w:pPr>
        <w:pStyle w:val="11"/>
        <w:ind w:firstLine="210"/>
        <w:rPr>
          <w:rFonts w:cs="Times New Roman"/>
        </w:rPr>
      </w:pPr>
    </w:p>
    <w:p>
      <w:pPr>
        <w:pStyle w:val="12"/>
        <w:ind w:firstLine="360"/>
        <w:rPr>
          <w:rFonts w:ascii="Times New Roman" w:hAnsi="Times New Roman" w:cs="Times New Roman"/>
        </w:rPr>
      </w:pPr>
    </w:p>
    <w:p>
      <w:pPr>
        <w:rPr>
          <w:rFonts w:cs="Times New Roman"/>
        </w:rPr>
      </w:pPr>
    </w:p>
    <w:p>
      <w:pPr>
        <w:ind w:left="428" w:leftChars="204" w:firstLine="440" w:firstLineChars="200"/>
        <w:rPr>
          <w:rFonts w:cs="Times New Roman"/>
          <w:sz w:val="22"/>
          <w:szCs w:val="22"/>
        </w:rPr>
      </w:pPr>
      <w:r>
        <w:rPr>
          <w:rFonts w:cs="Times New Roman"/>
          <w:sz w:val="22"/>
          <w:szCs w:val="22"/>
        </w:rPr>
        <w:t xml:space="preserve">                                    日期：  年   月  日  </w:t>
      </w:r>
    </w:p>
    <w:p>
      <w:pPr>
        <w:pStyle w:val="11"/>
        <w:ind w:firstLine="210"/>
        <w:rPr>
          <w:rFonts w:cs="Times New Roman"/>
        </w:rPr>
      </w:pPr>
      <w:r>
        <w:rPr>
          <w:rFonts w:cs="Times New Roman"/>
        </w:rPr>
        <w:br w:type="page"/>
      </w:r>
    </w:p>
    <w:p>
      <w:pPr>
        <w:ind w:firstLine="480" w:firstLineChars="200"/>
        <w:jc w:val="left"/>
        <w:rPr>
          <w:rFonts w:cs="Times New Roman"/>
          <w:bCs/>
          <w:sz w:val="24"/>
        </w:rPr>
      </w:pPr>
    </w:p>
    <w:p>
      <w:pPr>
        <w:ind w:firstLine="480" w:firstLineChars="200"/>
        <w:jc w:val="left"/>
        <w:rPr>
          <w:rFonts w:cs="Times New Roman"/>
          <w:bCs/>
          <w:sz w:val="24"/>
        </w:rPr>
      </w:pPr>
      <w:r>
        <w:rPr>
          <w:rFonts w:cs="Times New Roman"/>
          <w:bCs/>
          <w:sz w:val="24"/>
        </w:rPr>
        <w:t>9、投标人提供的债券投资机构对本次债券出具拟投资的认购意向函（提供债券投资机构对本次债券出具拟投资意向函并加盖投资机构公章）</w:t>
      </w:r>
    </w:p>
    <w:p>
      <w:pPr>
        <w:ind w:firstLine="480" w:firstLineChars="200"/>
        <w:jc w:val="left"/>
        <w:rPr>
          <w:rFonts w:cs="Times New Roman"/>
          <w:bCs/>
          <w:sz w:val="24"/>
        </w:rPr>
      </w:pPr>
    </w:p>
    <w:p>
      <w:pPr>
        <w:ind w:firstLine="480" w:firstLineChars="200"/>
        <w:jc w:val="left"/>
        <w:rPr>
          <w:rFonts w:cs="Times New Roman"/>
          <w:bCs/>
          <w:sz w:val="24"/>
        </w:rPr>
      </w:pPr>
      <w:r>
        <w:rPr>
          <w:rFonts w:cs="Times New Roman"/>
          <w:bCs/>
          <w:sz w:val="24"/>
        </w:rPr>
        <w:t>10、</w:t>
      </w:r>
      <w:r>
        <w:rPr>
          <w:rFonts w:hint="eastAsia" w:cs="Times New Roman"/>
          <w:bCs/>
          <w:sz w:val="24"/>
        </w:rPr>
        <w:t>投标人最新的主体评级（提供投标人最新的主体评级报告并加盖投标人公章）</w:t>
      </w:r>
    </w:p>
    <w:p>
      <w:pPr>
        <w:ind w:firstLine="480" w:firstLineChars="200"/>
        <w:jc w:val="left"/>
        <w:rPr>
          <w:rFonts w:cs="Times New Roman"/>
          <w:bCs/>
          <w:sz w:val="24"/>
        </w:rPr>
      </w:pPr>
      <w:r>
        <w:rPr>
          <w:rFonts w:hint="eastAsia" w:cs="Times New Roman"/>
          <w:bCs/>
          <w:sz w:val="24"/>
        </w:rPr>
        <w:t>1</w:t>
      </w:r>
      <w:r>
        <w:rPr>
          <w:rFonts w:cs="Times New Roman"/>
          <w:bCs/>
          <w:sz w:val="24"/>
        </w:rPr>
        <w:t>1</w:t>
      </w:r>
      <w:r>
        <w:rPr>
          <w:rFonts w:hint="eastAsia" w:cs="Times New Roman"/>
          <w:bCs/>
          <w:sz w:val="24"/>
        </w:rPr>
        <w:t>、</w:t>
      </w:r>
      <w:r>
        <w:rPr>
          <w:rFonts w:cs="Times New Roman"/>
          <w:bCs/>
          <w:sz w:val="24"/>
        </w:rPr>
        <w:t>投标人在温州地区的分支机构情况（提供相关公司机构国家企业信用信息公示系统截图并加盖投标人公章）</w:t>
      </w:r>
    </w:p>
    <w:p>
      <w:pPr>
        <w:pStyle w:val="11"/>
        <w:ind w:firstLine="210"/>
        <w:rPr>
          <w:rFonts w:cs="Times New Roman"/>
          <w:bCs/>
        </w:rPr>
      </w:pPr>
    </w:p>
    <w:p>
      <w:pPr>
        <w:ind w:firstLine="480" w:firstLineChars="200"/>
        <w:jc w:val="left"/>
        <w:rPr>
          <w:rFonts w:cs="Times New Roman"/>
          <w:bCs/>
          <w:sz w:val="24"/>
        </w:rPr>
      </w:pPr>
      <w:r>
        <w:rPr>
          <w:rFonts w:cs="Times New Roman"/>
          <w:bCs/>
          <w:sz w:val="24"/>
        </w:rPr>
        <w:t>12、</w:t>
      </w:r>
      <w:r>
        <w:rPr>
          <w:rFonts w:hint="eastAsia" w:cs="Times New Roman"/>
          <w:bCs/>
          <w:sz w:val="24"/>
        </w:rPr>
        <w:t>投标人</w:t>
      </w:r>
      <w:r>
        <w:rPr>
          <w:rFonts w:cs="Times New Roman"/>
          <w:bCs/>
          <w:sz w:val="24"/>
        </w:rPr>
        <w:t>对本次债券派出的项目团队情况，包括不限于项目负责人简历、能力、工作经验，项目团队人员配置等（提供本次债券项目团队构成及团队成员的相关基本情况、证明材料并加盖投标人公章）</w:t>
      </w:r>
    </w:p>
    <w:p>
      <w:pPr>
        <w:ind w:left="428" w:leftChars="204" w:firstLine="440" w:firstLineChars="200"/>
        <w:rPr>
          <w:rFonts w:cs="Times New Roman"/>
          <w:bCs/>
          <w:sz w:val="22"/>
          <w:szCs w:val="22"/>
        </w:rPr>
      </w:pPr>
    </w:p>
    <w:p>
      <w:pPr>
        <w:ind w:firstLine="442" w:firstLineChars="200"/>
        <w:rPr>
          <w:rFonts w:cs="Times New Roman"/>
        </w:rPr>
      </w:pPr>
      <w:r>
        <w:rPr>
          <w:rFonts w:cs="Times New Roman"/>
          <w:b/>
          <w:bCs/>
          <w:sz w:val="22"/>
          <w:szCs w:val="22"/>
        </w:rPr>
        <w:br w:type="page"/>
      </w:r>
    </w:p>
    <w:p>
      <w:pPr>
        <w:spacing w:line="400" w:lineRule="exact"/>
        <w:jc w:val="center"/>
        <w:rPr>
          <w:rFonts w:cs="Times New Roman"/>
          <w:sz w:val="32"/>
          <w:szCs w:val="32"/>
        </w:rPr>
      </w:pPr>
    </w:p>
    <w:p>
      <w:pPr>
        <w:spacing w:line="400" w:lineRule="exact"/>
        <w:rPr>
          <w:rFonts w:cs="Times New Roman"/>
          <w:sz w:val="32"/>
          <w:szCs w:val="32"/>
        </w:rPr>
      </w:pPr>
      <w:r>
        <w:rPr>
          <w:rFonts w:cs="Times New Roman"/>
          <w:sz w:val="32"/>
          <w:szCs w:val="32"/>
        </w:rPr>
        <w:t>附件八</w:t>
      </w:r>
    </w:p>
    <w:p>
      <w:pPr>
        <w:spacing w:line="400" w:lineRule="exact"/>
        <w:jc w:val="center"/>
        <w:rPr>
          <w:rFonts w:cs="Times New Roman"/>
          <w:color w:val="000000"/>
          <w:sz w:val="32"/>
          <w:szCs w:val="32"/>
        </w:rPr>
      </w:pPr>
      <w:r>
        <w:rPr>
          <w:rFonts w:cs="Times New Roman"/>
          <w:sz w:val="32"/>
          <w:szCs w:val="32"/>
        </w:rPr>
        <w:t>项目方案说明（</w:t>
      </w:r>
      <w:r>
        <w:rPr>
          <w:rFonts w:cs="Times New Roman"/>
          <w:b/>
          <w:sz w:val="32"/>
          <w:szCs w:val="32"/>
        </w:rPr>
        <w:t>自行编制</w:t>
      </w:r>
      <w:r>
        <w:rPr>
          <w:rFonts w:cs="Times New Roman"/>
          <w:sz w:val="32"/>
          <w:szCs w:val="32"/>
        </w:rPr>
        <w:t>）</w:t>
      </w:r>
    </w:p>
    <w:p>
      <w:pPr>
        <w:spacing w:line="400" w:lineRule="exact"/>
        <w:jc w:val="left"/>
        <w:rPr>
          <w:rFonts w:cs="Times New Roman"/>
          <w:color w:val="000000"/>
          <w:sz w:val="24"/>
        </w:rPr>
      </w:pPr>
      <w:r>
        <w:rPr>
          <w:rFonts w:cs="Times New Roman"/>
          <w:color w:val="000000"/>
          <w:sz w:val="24"/>
        </w:rPr>
        <w:t>项目名称：</w:t>
      </w:r>
    </w:p>
    <w:p>
      <w:pPr>
        <w:spacing w:line="400" w:lineRule="exact"/>
        <w:jc w:val="left"/>
        <w:rPr>
          <w:rFonts w:cs="Times New Roman"/>
          <w:color w:val="000000"/>
          <w:sz w:val="24"/>
        </w:rPr>
      </w:pPr>
      <w:r>
        <w:rPr>
          <w:rFonts w:cs="Times New Roman"/>
          <w:color w:val="000000"/>
          <w:sz w:val="24"/>
        </w:rPr>
        <w:t>项目编号：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2" w:hRule="atLeast"/>
        </w:trPr>
        <w:tc>
          <w:tcPr>
            <w:tcW w:w="9288" w:type="dxa"/>
            <w:noWrap/>
          </w:tcPr>
          <w:p>
            <w:pPr>
              <w:spacing w:line="360" w:lineRule="auto"/>
              <w:jc w:val="center"/>
              <w:rPr>
                <w:rFonts w:cs="Times New Roman"/>
                <w:color w:val="000000"/>
                <w:sz w:val="32"/>
                <w:szCs w:val="32"/>
              </w:rPr>
            </w:pPr>
          </w:p>
        </w:tc>
      </w:tr>
    </w:tbl>
    <w:p>
      <w:pPr>
        <w:spacing w:line="360" w:lineRule="auto"/>
        <w:jc w:val="left"/>
        <w:rPr>
          <w:rFonts w:cs="Times New Roman"/>
          <w:color w:val="000000"/>
          <w:sz w:val="28"/>
          <w:szCs w:val="28"/>
        </w:rPr>
      </w:pPr>
    </w:p>
    <w:p>
      <w:pPr>
        <w:spacing w:line="360" w:lineRule="auto"/>
        <w:jc w:val="left"/>
        <w:rPr>
          <w:rFonts w:cs="Times New Roman"/>
          <w:color w:val="000000"/>
          <w:sz w:val="28"/>
          <w:szCs w:val="28"/>
          <w:u w:val="single"/>
        </w:rPr>
      </w:pPr>
      <w:r>
        <w:rPr>
          <w:rFonts w:cs="Times New Roman"/>
          <w:color w:val="000000"/>
          <w:sz w:val="28"/>
          <w:szCs w:val="28"/>
          <w:u w:val="single"/>
        </w:rPr>
        <w:t>注明：以上内容格式不限</w:t>
      </w:r>
    </w:p>
    <w:p>
      <w:pPr>
        <w:spacing w:line="360" w:lineRule="auto"/>
        <w:ind w:firstLine="480" w:firstLineChars="200"/>
        <w:rPr>
          <w:rFonts w:cs="Times New Roman"/>
          <w:color w:val="000000"/>
          <w:sz w:val="24"/>
          <w:szCs w:val="28"/>
        </w:rPr>
      </w:pPr>
    </w:p>
    <w:p>
      <w:pPr>
        <w:spacing w:line="360" w:lineRule="auto"/>
        <w:ind w:firstLine="480" w:firstLineChars="200"/>
        <w:rPr>
          <w:rFonts w:cs="Times New Roman"/>
          <w:color w:val="000000"/>
          <w:sz w:val="24"/>
          <w:szCs w:val="28"/>
        </w:rPr>
      </w:pPr>
    </w:p>
    <w:p>
      <w:pPr>
        <w:spacing w:line="360" w:lineRule="auto"/>
        <w:rPr>
          <w:rFonts w:cs="Times New Roman"/>
          <w:color w:val="000000"/>
          <w:sz w:val="24"/>
          <w:szCs w:val="28"/>
        </w:rPr>
      </w:pPr>
      <w:r>
        <w:rPr>
          <w:rFonts w:cs="Times New Roman"/>
          <w:color w:val="000000"/>
          <w:sz w:val="24"/>
          <w:szCs w:val="28"/>
        </w:rPr>
        <w:t>投标供应商（盖章）：</w:t>
      </w:r>
    </w:p>
    <w:p>
      <w:pPr>
        <w:spacing w:line="360" w:lineRule="auto"/>
        <w:rPr>
          <w:rFonts w:cs="Times New Roman"/>
          <w:color w:val="000000"/>
          <w:sz w:val="24"/>
          <w:szCs w:val="28"/>
        </w:rPr>
      </w:pPr>
      <w:r>
        <w:rPr>
          <w:rFonts w:cs="Times New Roman"/>
          <w:color w:val="000000"/>
          <w:sz w:val="24"/>
          <w:szCs w:val="28"/>
        </w:rPr>
        <w:t>法定代表人或授权代表（签字）：</w:t>
      </w:r>
    </w:p>
    <w:p>
      <w:pPr>
        <w:spacing w:line="360" w:lineRule="auto"/>
        <w:rPr>
          <w:rFonts w:cs="Times New Roman"/>
          <w:color w:val="000000"/>
          <w:sz w:val="24"/>
          <w:szCs w:val="28"/>
        </w:rPr>
      </w:pPr>
      <w:r>
        <w:rPr>
          <w:rFonts w:cs="Times New Roman"/>
          <w:color w:val="000000"/>
          <w:sz w:val="24"/>
          <w:szCs w:val="28"/>
        </w:rPr>
        <w:t>日期：</w:t>
      </w:r>
    </w:p>
    <w:p>
      <w:pPr>
        <w:spacing w:line="360" w:lineRule="auto"/>
        <w:rPr>
          <w:rFonts w:cs="Times New Roman"/>
          <w:color w:val="000000"/>
          <w:sz w:val="32"/>
          <w:szCs w:val="32"/>
        </w:rPr>
      </w:pPr>
    </w:p>
    <w:p>
      <w:pPr>
        <w:spacing w:line="360" w:lineRule="auto"/>
        <w:rPr>
          <w:rFonts w:cs="Times New Roman"/>
          <w:color w:val="000000"/>
          <w:sz w:val="32"/>
          <w:szCs w:val="32"/>
        </w:rPr>
      </w:pPr>
    </w:p>
    <w:p>
      <w:pPr>
        <w:pStyle w:val="30"/>
        <w:snapToGrid w:val="0"/>
        <w:spacing w:line="400" w:lineRule="exact"/>
        <w:rPr>
          <w:rStyle w:val="27"/>
          <w:rFonts w:cs="Times New Roman"/>
          <w:b/>
          <w:bCs/>
          <w:sz w:val="28"/>
          <w:szCs w:val="24"/>
          <w:lang w:val="zh-CN"/>
        </w:rPr>
      </w:pPr>
    </w:p>
    <w:p>
      <w:pPr>
        <w:pStyle w:val="30"/>
        <w:snapToGrid w:val="0"/>
        <w:spacing w:line="400" w:lineRule="exact"/>
        <w:jc w:val="center"/>
        <w:rPr>
          <w:rStyle w:val="27"/>
          <w:rFonts w:cs="Times New Roman"/>
          <w:b/>
          <w:bCs/>
          <w:sz w:val="28"/>
          <w:szCs w:val="24"/>
        </w:rPr>
      </w:pPr>
      <w:r>
        <w:rPr>
          <w:rStyle w:val="27"/>
          <w:rFonts w:cs="Times New Roman"/>
          <w:b/>
          <w:bCs/>
          <w:sz w:val="28"/>
          <w:szCs w:val="24"/>
          <w:lang w:val="zh-CN"/>
        </w:rPr>
        <w:t>第六部分</w:t>
      </w:r>
      <w:r>
        <w:rPr>
          <w:rStyle w:val="27"/>
          <w:rFonts w:cs="Times New Roman"/>
          <w:b/>
          <w:bCs/>
          <w:sz w:val="28"/>
          <w:szCs w:val="24"/>
        </w:rPr>
        <w:t xml:space="preserve">  评审办法</w:t>
      </w:r>
    </w:p>
    <w:p>
      <w:pPr>
        <w:widowControl w:val="0"/>
        <w:spacing w:line="440" w:lineRule="exact"/>
        <w:ind w:firstLine="480" w:firstLineChars="200"/>
        <w:textAlignment w:val="auto"/>
        <w:rPr>
          <w:rFonts w:cs="Times New Roman"/>
          <w:bCs/>
          <w:kern w:val="28"/>
          <w:sz w:val="24"/>
          <w:szCs w:val="24"/>
        </w:rPr>
      </w:pPr>
      <w:r>
        <w:rPr>
          <w:rFonts w:hint="eastAsia" w:cs="Times New Roman"/>
          <w:bCs/>
          <w:kern w:val="28"/>
          <w:sz w:val="24"/>
          <w:szCs w:val="24"/>
        </w:rPr>
        <w:t>参照</w:t>
      </w:r>
      <w:r>
        <w:rPr>
          <w:rFonts w:cs="Times New Roman"/>
          <w:bCs/>
          <w:kern w:val="28"/>
          <w:sz w:val="24"/>
          <w:szCs w:val="24"/>
        </w:rPr>
        <w:t>《中华人民共和国政府采购法》和《政府采购货物和服务招标投标管理办法》等相关法规和本项目招标文件，特制定本办法。</w:t>
      </w:r>
    </w:p>
    <w:p>
      <w:pPr>
        <w:widowControl w:val="0"/>
        <w:spacing w:line="440" w:lineRule="exact"/>
        <w:textAlignment w:val="auto"/>
        <w:rPr>
          <w:rFonts w:cs="Times New Roman"/>
          <w:b/>
          <w:bCs/>
          <w:kern w:val="28"/>
          <w:sz w:val="24"/>
          <w:szCs w:val="24"/>
        </w:rPr>
      </w:pPr>
      <w:r>
        <w:rPr>
          <w:rFonts w:cs="Times New Roman"/>
          <w:b/>
          <w:bCs/>
          <w:kern w:val="28"/>
          <w:sz w:val="24"/>
          <w:szCs w:val="24"/>
        </w:rPr>
        <w:t>一、 评标原则</w:t>
      </w:r>
    </w:p>
    <w:p>
      <w:pPr>
        <w:widowControl w:val="0"/>
        <w:spacing w:line="440" w:lineRule="exact"/>
        <w:ind w:firstLine="480" w:firstLineChars="200"/>
        <w:textAlignment w:val="auto"/>
        <w:rPr>
          <w:rFonts w:cs="Times New Roman"/>
          <w:bCs/>
          <w:kern w:val="28"/>
          <w:sz w:val="24"/>
          <w:szCs w:val="24"/>
        </w:rPr>
      </w:pPr>
      <w:r>
        <w:rPr>
          <w:rFonts w:cs="Times New Roman"/>
          <w:bCs/>
          <w:kern w:val="28"/>
          <w:sz w:val="24"/>
          <w:szCs w:val="24"/>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pPr>
        <w:widowControl w:val="0"/>
        <w:spacing w:line="440" w:lineRule="exact"/>
        <w:ind w:firstLine="480" w:firstLineChars="200"/>
        <w:textAlignment w:val="auto"/>
        <w:rPr>
          <w:rFonts w:cs="Times New Roman"/>
          <w:bCs/>
          <w:kern w:val="28"/>
          <w:sz w:val="24"/>
          <w:szCs w:val="24"/>
        </w:rPr>
      </w:pPr>
      <w:r>
        <w:rPr>
          <w:rFonts w:cs="Times New Roman"/>
          <w:bCs/>
          <w:kern w:val="28"/>
          <w:sz w:val="24"/>
          <w:szCs w:val="24"/>
        </w:rPr>
        <w:t>评标应遵循公平、公正、科学、择优的原则推荐备选中标人。</w:t>
      </w:r>
    </w:p>
    <w:p>
      <w:pPr>
        <w:widowControl w:val="0"/>
        <w:spacing w:line="440" w:lineRule="exact"/>
        <w:textAlignment w:val="auto"/>
        <w:rPr>
          <w:rFonts w:cs="Times New Roman"/>
          <w:b/>
          <w:bCs/>
          <w:kern w:val="28"/>
          <w:sz w:val="24"/>
          <w:szCs w:val="24"/>
        </w:rPr>
      </w:pPr>
      <w:r>
        <w:rPr>
          <w:rFonts w:cs="Times New Roman"/>
          <w:b/>
          <w:bCs/>
          <w:kern w:val="28"/>
          <w:sz w:val="24"/>
          <w:szCs w:val="24"/>
        </w:rPr>
        <w:t>二、评标组织</w:t>
      </w:r>
    </w:p>
    <w:p>
      <w:pPr>
        <w:widowControl w:val="0"/>
        <w:spacing w:line="440" w:lineRule="exact"/>
        <w:ind w:firstLine="480" w:firstLineChars="200"/>
        <w:textAlignment w:val="auto"/>
        <w:rPr>
          <w:rFonts w:cs="Times New Roman"/>
          <w:bCs/>
          <w:kern w:val="28"/>
          <w:sz w:val="24"/>
          <w:szCs w:val="24"/>
        </w:rPr>
      </w:pPr>
      <w:r>
        <w:rPr>
          <w:rFonts w:cs="Times New Roman"/>
          <w:bCs/>
          <w:kern w:val="28"/>
          <w:sz w:val="24"/>
          <w:szCs w:val="24"/>
        </w:rPr>
        <w:t>评标工作由采购机构随机抽取的评标委员会负责，评标过程由有关部门负责指导监督。评标委员会由</w:t>
      </w:r>
      <w:r>
        <w:rPr>
          <w:rFonts w:cs="Times New Roman"/>
          <w:sz w:val="24"/>
          <w:szCs w:val="24"/>
        </w:rPr>
        <w:t>采购</w:t>
      </w:r>
      <w:r>
        <w:rPr>
          <w:rFonts w:cs="Times New Roman"/>
          <w:bCs/>
          <w:kern w:val="28"/>
          <w:sz w:val="24"/>
          <w:szCs w:val="24"/>
        </w:rPr>
        <w:t xml:space="preserve">人的代表和有关专家组成，成员人数为五人或五人以上单数。 </w:t>
      </w:r>
    </w:p>
    <w:p>
      <w:pPr>
        <w:widowControl w:val="0"/>
        <w:spacing w:line="440" w:lineRule="exact"/>
        <w:textAlignment w:val="auto"/>
        <w:rPr>
          <w:rFonts w:cs="Times New Roman"/>
          <w:b/>
          <w:bCs/>
          <w:kern w:val="28"/>
          <w:sz w:val="24"/>
          <w:szCs w:val="24"/>
        </w:rPr>
      </w:pPr>
      <w:r>
        <w:rPr>
          <w:rFonts w:cs="Times New Roman"/>
          <w:b/>
          <w:bCs/>
          <w:kern w:val="28"/>
          <w:sz w:val="24"/>
          <w:szCs w:val="24"/>
        </w:rPr>
        <w:t>三、评标办法</w:t>
      </w:r>
    </w:p>
    <w:p>
      <w:pPr>
        <w:widowControl w:val="0"/>
        <w:spacing w:line="440" w:lineRule="exact"/>
        <w:ind w:firstLine="480" w:firstLineChars="200"/>
        <w:textAlignment w:val="auto"/>
        <w:rPr>
          <w:rFonts w:cs="Times New Roman"/>
          <w:bCs/>
          <w:kern w:val="28"/>
          <w:sz w:val="24"/>
          <w:szCs w:val="24"/>
        </w:rPr>
      </w:pPr>
      <w:r>
        <w:rPr>
          <w:rFonts w:cs="Times New Roman"/>
          <w:bCs/>
          <w:kern w:val="28"/>
          <w:sz w:val="24"/>
          <w:szCs w:val="24"/>
        </w:rPr>
        <w:t>1、采用技术资信标合格通过后的综合评分法（百分制法），即投标人最大限度地满足招标文件实质性要求前提下，按照本评标方法的各项评分标准对其技术资信标进行综合评审。并最终根据各技术资信标合格投标人的技术资信标和商务标的合计得分由高到低确定中标候选人。</w:t>
      </w:r>
    </w:p>
    <w:p>
      <w:pPr>
        <w:widowControl w:val="0"/>
        <w:spacing w:line="440" w:lineRule="exact"/>
        <w:ind w:firstLine="330"/>
        <w:textAlignment w:val="auto"/>
        <w:rPr>
          <w:rFonts w:cs="Times New Roman"/>
          <w:bCs/>
          <w:kern w:val="28"/>
          <w:sz w:val="24"/>
          <w:szCs w:val="24"/>
        </w:rPr>
      </w:pPr>
      <w:r>
        <w:rPr>
          <w:rFonts w:cs="Times New Roman"/>
          <w:bCs/>
          <w:kern w:val="28"/>
          <w:sz w:val="24"/>
          <w:szCs w:val="24"/>
        </w:rPr>
        <w:t>2、开标后，采购人会首先对投标人资格性检查进行初审，初审合格后由</w:t>
      </w:r>
      <w:r>
        <w:rPr>
          <w:rFonts w:cs="Times New Roman"/>
          <w:sz w:val="24"/>
          <w:szCs w:val="24"/>
        </w:rPr>
        <w:t>评标委员会</w:t>
      </w:r>
      <w:r>
        <w:rPr>
          <w:rFonts w:cs="Times New Roman"/>
          <w:bCs/>
          <w:kern w:val="28"/>
          <w:sz w:val="24"/>
          <w:szCs w:val="24"/>
        </w:rPr>
        <w:t>进行符合性检查，凡投标书实质性内容和格式严重不符合有关规定或不响应招标文件要求者，经评标委员会认定作为无效投标，予以废除，不再进入后续评审。</w:t>
      </w:r>
      <w:r>
        <w:rPr>
          <w:rFonts w:cs="Times New Roman"/>
          <w:sz w:val="24"/>
          <w:szCs w:val="24"/>
        </w:rPr>
        <w:t>对投标文件中含义不明确，同类问题表达不一致或者有明显文字和计算错误的内容，评标委员会可以书面形式（应当由评标委员会专家签字）要求投标人做出必要的澄清、说明或者纠正。投标人的澄清、说明和纠正应当采用书面形式，由其授权代表人签字，并不得超出投标文件的范围或者改变投标文件的实质内容。</w:t>
      </w:r>
      <w:r>
        <w:rPr>
          <w:rFonts w:cs="Times New Roman"/>
          <w:bCs/>
          <w:kern w:val="28"/>
          <w:sz w:val="24"/>
          <w:szCs w:val="24"/>
        </w:rPr>
        <w:t>投标人做出书面答复作为投标书的补充文件。</w:t>
      </w:r>
    </w:p>
    <w:p>
      <w:pPr>
        <w:widowControl w:val="0"/>
        <w:spacing w:line="440" w:lineRule="exact"/>
        <w:ind w:firstLine="330"/>
        <w:textAlignment w:val="auto"/>
        <w:rPr>
          <w:rFonts w:cs="Times New Roman"/>
          <w:sz w:val="24"/>
          <w:szCs w:val="24"/>
        </w:rPr>
      </w:pPr>
      <w:r>
        <w:rPr>
          <w:rFonts w:cs="Times New Roman"/>
          <w:sz w:val="24"/>
          <w:szCs w:val="24"/>
        </w:rPr>
        <w:t>3、评标委员会按照招标文件中规定的评标方法和标准，对符合性审查合格的投标文件进行商务和技术评估，综合比较与评价。</w:t>
      </w:r>
    </w:p>
    <w:p>
      <w:pPr>
        <w:widowControl w:val="0"/>
        <w:spacing w:line="440" w:lineRule="exact"/>
        <w:textAlignment w:val="auto"/>
        <w:rPr>
          <w:rFonts w:cs="Times New Roman"/>
          <w:b/>
          <w:sz w:val="24"/>
          <w:szCs w:val="24"/>
          <w:u w:val="single"/>
        </w:rPr>
      </w:pPr>
      <w:r>
        <w:rPr>
          <w:rFonts w:cs="Times New Roman"/>
          <w:b/>
          <w:sz w:val="24"/>
          <w:szCs w:val="24"/>
          <w:u w:val="single"/>
        </w:rPr>
        <w:t>（1）采用百分制打分法，其中技术资信标80分，商务标20分。</w:t>
      </w:r>
    </w:p>
    <w:p>
      <w:pPr>
        <w:widowControl w:val="0"/>
        <w:spacing w:line="440" w:lineRule="exact"/>
        <w:textAlignment w:val="auto"/>
        <w:rPr>
          <w:rFonts w:cs="Times New Roman"/>
          <w:b/>
          <w:sz w:val="24"/>
          <w:szCs w:val="24"/>
          <w:u w:val="single"/>
        </w:rPr>
      </w:pPr>
      <w:r>
        <w:rPr>
          <w:rFonts w:cs="Times New Roman"/>
          <w:b/>
          <w:sz w:val="24"/>
          <w:szCs w:val="24"/>
          <w:u w:val="single"/>
        </w:rPr>
        <w:t>（2）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widowControl w:val="0"/>
        <w:spacing w:line="440" w:lineRule="exact"/>
        <w:textAlignment w:val="auto"/>
        <w:rPr>
          <w:rFonts w:cs="Times New Roman"/>
          <w:b/>
          <w:sz w:val="24"/>
          <w:szCs w:val="24"/>
          <w:u w:val="single"/>
        </w:rPr>
      </w:pPr>
    </w:p>
    <w:p>
      <w:pPr>
        <w:widowControl w:val="0"/>
        <w:spacing w:line="440" w:lineRule="exact"/>
        <w:textAlignment w:val="auto"/>
        <w:rPr>
          <w:rFonts w:cs="Times New Roman"/>
          <w:b/>
          <w:bCs/>
          <w:kern w:val="28"/>
          <w:sz w:val="24"/>
          <w:szCs w:val="24"/>
        </w:rPr>
      </w:pPr>
      <w:r>
        <w:rPr>
          <w:rFonts w:cs="Times New Roman"/>
          <w:b/>
          <w:bCs/>
          <w:kern w:val="28"/>
          <w:sz w:val="24"/>
          <w:szCs w:val="24"/>
        </w:rPr>
        <w:t>四、评分细则</w:t>
      </w:r>
    </w:p>
    <w:p>
      <w:pPr>
        <w:pStyle w:val="13"/>
        <w:adjustRightInd w:val="0"/>
        <w:snapToGrid w:val="0"/>
        <w:spacing w:line="440" w:lineRule="atLeast"/>
        <w:rPr>
          <w:rFonts w:ascii="Times New Roman" w:hAnsi="Times New Roman" w:cs="Times New Roman"/>
          <w:sz w:val="22"/>
          <w:szCs w:val="22"/>
        </w:rPr>
      </w:pPr>
      <w:r>
        <w:rPr>
          <w:rFonts w:ascii="Times New Roman" w:hAnsi="Times New Roman" w:cs="Times New Roman"/>
          <w:sz w:val="22"/>
          <w:szCs w:val="22"/>
        </w:rPr>
        <w:t>一、</w:t>
      </w:r>
      <w:r>
        <w:rPr>
          <w:rFonts w:ascii="Times New Roman" w:hAnsi="Times New Roman" w:cs="Times New Roman"/>
          <w:sz w:val="22"/>
          <w:szCs w:val="22"/>
          <w:u w:val="single"/>
        </w:rPr>
        <w:t>商务报价评分</w:t>
      </w:r>
      <w:r>
        <w:rPr>
          <w:rFonts w:ascii="Times New Roman" w:hAnsi="Times New Roman" w:cs="Times New Roman"/>
          <w:sz w:val="22"/>
          <w:szCs w:val="22"/>
        </w:rPr>
        <w:t>20分</w:t>
      </w:r>
    </w:p>
    <w:p>
      <w:pPr>
        <w:overflowPunct w:val="0"/>
        <w:spacing w:line="420" w:lineRule="exact"/>
        <w:ind w:firstLine="440" w:firstLineChars="200"/>
        <w:rPr>
          <w:rFonts w:cs="Times New Roman"/>
          <w:sz w:val="22"/>
          <w:szCs w:val="22"/>
        </w:rPr>
      </w:pPr>
      <w:r>
        <w:rPr>
          <w:rFonts w:cs="Times New Roman"/>
          <w:sz w:val="22"/>
          <w:szCs w:val="22"/>
        </w:rPr>
        <w:t>1. 商务报价分为20分:评选委员会成员按各供应商的商务报价计算给分。</w:t>
      </w:r>
    </w:p>
    <w:p>
      <w:pPr>
        <w:overflowPunct w:val="0"/>
        <w:spacing w:line="420" w:lineRule="exact"/>
        <w:ind w:firstLine="440" w:firstLineChars="200"/>
        <w:rPr>
          <w:rFonts w:cs="Times New Roman"/>
          <w:sz w:val="22"/>
          <w:szCs w:val="22"/>
        </w:rPr>
      </w:pPr>
      <w:r>
        <w:rPr>
          <w:rFonts w:cs="Times New Roman"/>
          <w:sz w:val="22"/>
          <w:szCs w:val="22"/>
        </w:rPr>
        <w:t>2. 以有效的年承销费率商务报价算术平均值为评标基准价；商务报价等于评标基准价的商务得分为满分20分，其他供应商的商务报价得分按下列公式计算：</w:t>
      </w:r>
    </w:p>
    <w:p>
      <w:pPr>
        <w:overflowPunct w:val="0"/>
        <w:spacing w:line="420" w:lineRule="exact"/>
        <w:ind w:firstLine="440" w:firstLineChars="200"/>
        <w:rPr>
          <w:rFonts w:cs="Times New Roman"/>
          <w:sz w:val="22"/>
          <w:szCs w:val="22"/>
        </w:rPr>
      </w:pPr>
      <w:r>
        <w:rPr>
          <w:rFonts w:cs="Times New Roman"/>
          <w:sz w:val="22"/>
          <w:szCs w:val="22"/>
        </w:rPr>
        <w:t>每高于基准价1个bp扣1分，每低于基准价1个bp扣0.5分，扣完为止。</w:t>
      </w:r>
    </w:p>
    <w:p>
      <w:pPr>
        <w:overflowPunct w:val="0"/>
        <w:spacing w:line="420" w:lineRule="exact"/>
        <w:ind w:firstLine="440" w:firstLineChars="200"/>
        <w:rPr>
          <w:rFonts w:cs="Times New Roman"/>
          <w:sz w:val="22"/>
          <w:szCs w:val="22"/>
        </w:rPr>
      </w:pPr>
      <w:r>
        <w:rPr>
          <w:rFonts w:cs="Times New Roman"/>
          <w:sz w:val="22"/>
          <w:szCs w:val="22"/>
        </w:rPr>
        <w:t>即：投标报价＞评标基准价：20-（投标报价-评标基准价）*1</w:t>
      </w:r>
    </w:p>
    <w:p>
      <w:pPr>
        <w:overflowPunct w:val="0"/>
        <w:spacing w:line="420" w:lineRule="exact"/>
        <w:ind w:firstLine="880" w:firstLineChars="400"/>
        <w:rPr>
          <w:rFonts w:cs="Times New Roman"/>
          <w:sz w:val="22"/>
          <w:szCs w:val="22"/>
        </w:rPr>
      </w:pPr>
      <w:r>
        <w:rPr>
          <w:rFonts w:cs="Times New Roman"/>
          <w:sz w:val="22"/>
          <w:szCs w:val="22"/>
        </w:rPr>
        <w:t>投标报价＜评标基准价：20-（评标基准价-投标报价）*0.5</w:t>
      </w:r>
    </w:p>
    <w:p>
      <w:pPr>
        <w:overflowPunct w:val="0"/>
        <w:spacing w:line="420" w:lineRule="exact"/>
        <w:ind w:firstLine="440" w:firstLineChars="200"/>
        <w:rPr>
          <w:rFonts w:cs="Times New Roman"/>
          <w:sz w:val="22"/>
          <w:szCs w:val="22"/>
        </w:rPr>
      </w:pPr>
      <w:r>
        <w:rPr>
          <w:rFonts w:cs="Times New Roman"/>
          <w:sz w:val="22"/>
          <w:szCs w:val="22"/>
        </w:rPr>
        <w:t>以上报价得分保留小数2位。</w:t>
      </w:r>
    </w:p>
    <w:p>
      <w:pPr>
        <w:pStyle w:val="11"/>
        <w:ind w:firstLine="0" w:firstLineChars="0"/>
        <w:rPr>
          <w:rFonts w:cs="Times New Roman"/>
        </w:rPr>
      </w:pPr>
      <w:r>
        <w:rPr>
          <w:rFonts w:cs="Times New Roman"/>
          <w:sz w:val="22"/>
          <w:szCs w:val="22"/>
        </w:rPr>
        <w:t>二、技术资信综合评分80分</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750"/>
        <w:gridCol w:w="777"/>
        <w:gridCol w:w="600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shd w:val="clear" w:color="auto" w:fill="auto"/>
            <w:vAlign w:val="center"/>
          </w:tcPr>
          <w:p>
            <w:pPr>
              <w:jc w:val="center"/>
              <w:rPr>
                <w:rFonts w:eastAsia="等线" w:cs="Times New Roman"/>
                <w:b/>
                <w:bCs/>
                <w:color w:val="000000"/>
                <w:kern w:val="0"/>
                <w:szCs w:val="21"/>
              </w:rPr>
            </w:pPr>
            <w:r>
              <w:rPr>
                <w:rFonts w:hint="eastAsia" w:ascii="宋体" w:hAnsi="宋体" w:cs="Times New Roman"/>
                <w:b/>
                <w:bCs/>
                <w:color w:val="000000"/>
                <w:kern w:val="0"/>
                <w:szCs w:val="21"/>
              </w:rPr>
              <w:t>序号</w:t>
            </w:r>
          </w:p>
        </w:tc>
        <w:tc>
          <w:tcPr>
            <w:tcW w:w="410" w:type="pct"/>
            <w:shd w:val="clear" w:color="auto" w:fill="auto"/>
            <w:vAlign w:val="center"/>
          </w:tcPr>
          <w:p>
            <w:pPr>
              <w:jc w:val="center"/>
              <w:rPr>
                <w:rFonts w:eastAsia="等线" w:cs="Times New Roman"/>
                <w:b/>
                <w:bCs/>
                <w:color w:val="000000"/>
                <w:kern w:val="0"/>
                <w:szCs w:val="21"/>
              </w:rPr>
            </w:pPr>
            <w:r>
              <w:rPr>
                <w:rFonts w:hint="eastAsia" w:ascii="宋体" w:hAnsi="宋体" w:cs="Times New Roman"/>
                <w:b/>
                <w:bCs/>
                <w:color w:val="000000"/>
                <w:kern w:val="0"/>
                <w:szCs w:val="21"/>
              </w:rPr>
              <w:t>评分目标</w:t>
            </w:r>
          </w:p>
        </w:tc>
        <w:tc>
          <w:tcPr>
            <w:tcW w:w="425" w:type="pct"/>
            <w:shd w:val="clear" w:color="auto" w:fill="auto"/>
            <w:vAlign w:val="center"/>
          </w:tcPr>
          <w:p>
            <w:pPr>
              <w:jc w:val="center"/>
              <w:rPr>
                <w:rFonts w:eastAsia="等线" w:cs="Times New Roman"/>
                <w:b/>
                <w:bCs/>
                <w:color w:val="000000"/>
                <w:kern w:val="0"/>
                <w:szCs w:val="21"/>
              </w:rPr>
            </w:pPr>
            <w:r>
              <w:rPr>
                <w:rFonts w:hint="eastAsia" w:ascii="宋体" w:hAnsi="宋体" w:cs="Times New Roman"/>
                <w:b/>
                <w:bCs/>
                <w:color w:val="000000"/>
                <w:kern w:val="0"/>
                <w:szCs w:val="21"/>
              </w:rPr>
              <w:t>分值</w:t>
            </w:r>
          </w:p>
        </w:tc>
        <w:tc>
          <w:tcPr>
            <w:tcW w:w="3284" w:type="pct"/>
            <w:shd w:val="clear" w:color="auto" w:fill="auto"/>
            <w:vAlign w:val="center"/>
          </w:tcPr>
          <w:p>
            <w:pPr>
              <w:jc w:val="center"/>
              <w:rPr>
                <w:rFonts w:eastAsia="等线" w:cs="Times New Roman"/>
                <w:b/>
                <w:bCs/>
                <w:color w:val="000000"/>
                <w:kern w:val="0"/>
                <w:szCs w:val="21"/>
              </w:rPr>
            </w:pPr>
            <w:r>
              <w:rPr>
                <w:rFonts w:hint="eastAsia" w:ascii="宋体" w:hAnsi="宋体" w:cs="Times New Roman"/>
                <w:b/>
                <w:bCs/>
                <w:color w:val="000000"/>
                <w:kern w:val="0"/>
                <w:szCs w:val="21"/>
              </w:rPr>
              <w:t>评分标准</w:t>
            </w:r>
          </w:p>
        </w:tc>
        <w:tc>
          <w:tcPr>
            <w:tcW w:w="609" w:type="pct"/>
            <w:shd w:val="clear" w:color="auto" w:fill="auto"/>
            <w:vAlign w:val="center"/>
          </w:tcPr>
          <w:p>
            <w:pPr>
              <w:jc w:val="center"/>
              <w:rPr>
                <w:rFonts w:eastAsia="等线" w:cs="Times New Roman"/>
                <w:b/>
                <w:bCs/>
                <w:color w:val="000000"/>
                <w:kern w:val="0"/>
                <w:szCs w:val="21"/>
              </w:rPr>
            </w:pPr>
            <w:r>
              <w:rPr>
                <w:rFonts w:hint="eastAsia" w:ascii="宋体" w:hAnsi="宋体" w:cs="Times New Roman"/>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72" w:type="pct"/>
            <w:vMerge w:val="restar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1</w:t>
            </w:r>
          </w:p>
        </w:tc>
        <w:tc>
          <w:tcPr>
            <w:tcW w:w="410" w:type="pct"/>
            <w:vMerge w:val="restar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浙江省范围债券承销能力</w:t>
            </w:r>
          </w:p>
        </w:tc>
        <w:tc>
          <w:tcPr>
            <w:tcW w:w="425" w:type="pct"/>
            <w:vMerge w:val="restar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15</w:t>
            </w:r>
            <w:r>
              <w:rPr>
                <w:rFonts w:hint="eastAsia" w:eastAsia="等线" w:cs="Times New Roman"/>
                <w:color w:val="000000"/>
                <w:kern w:val="0"/>
                <w:szCs w:val="21"/>
              </w:rPr>
              <w:t>分</w:t>
            </w: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投标人</w:t>
            </w:r>
            <w:r>
              <w:rPr>
                <w:rFonts w:eastAsia="等线" w:cs="Times New Roman"/>
                <w:color w:val="000000"/>
                <w:kern w:val="0"/>
                <w:szCs w:val="21"/>
              </w:rPr>
              <w:t>2020</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日作为主承销商在浙江省范围内公司债承销金额（以</w:t>
            </w:r>
            <w:r>
              <w:rPr>
                <w:rFonts w:eastAsia="等线" w:cs="Times New Roman"/>
                <w:color w:val="000000"/>
                <w:kern w:val="0"/>
                <w:szCs w:val="21"/>
              </w:rPr>
              <w:t>Wind</w:t>
            </w:r>
            <w:r>
              <w:rPr>
                <w:rFonts w:hint="eastAsia" w:ascii="宋体" w:hAnsi="宋体" w:cs="Times New Roman"/>
                <w:color w:val="000000"/>
                <w:kern w:val="0"/>
                <w:szCs w:val="21"/>
              </w:rPr>
              <w:t>数据为准）。以实际承销金额作为评分指标，按发行金额每累计满</w:t>
            </w:r>
            <w:r>
              <w:rPr>
                <w:rFonts w:eastAsia="等线" w:cs="Times New Roman"/>
                <w:color w:val="000000"/>
                <w:kern w:val="0"/>
                <w:szCs w:val="21"/>
              </w:rPr>
              <w:t>100.00</w:t>
            </w:r>
            <w:r>
              <w:rPr>
                <w:rFonts w:hint="eastAsia" w:ascii="宋体" w:hAnsi="宋体" w:cs="Times New Roman"/>
                <w:color w:val="000000"/>
                <w:kern w:val="0"/>
                <w:szCs w:val="21"/>
              </w:rPr>
              <w:t>亿元得</w:t>
            </w:r>
            <w:r>
              <w:rPr>
                <w:rFonts w:eastAsia="等线" w:cs="Times New Roman"/>
                <w:color w:val="000000"/>
                <w:kern w:val="0"/>
                <w:szCs w:val="21"/>
              </w:rPr>
              <w:t>1</w:t>
            </w:r>
            <w:r>
              <w:rPr>
                <w:rFonts w:hint="eastAsia" w:ascii="宋体" w:hAnsi="宋体" w:cs="Times New Roman"/>
                <w:color w:val="000000"/>
                <w:kern w:val="0"/>
                <w:szCs w:val="21"/>
              </w:rPr>
              <w:t>分，满分</w:t>
            </w:r>
            <w:r>
              <w:rPr>
                <w:rFonts w:eastAsia="等线" w:cs="Times New Roman"/>
                <w:color w:val="000000"/>
                <w:kern w:val="0"/>
                <w:szCs w:val="21"/>
              </w:rPr>
              <w:t>15</w:t>
            </w:r>
            <w:r>
              <w:rPr>
                <w:rFonts w:hint="eastAsia" w:ascii="宋体" w:hAnsi="宋体" w:cs="Times New Roman"/>
                <w:color w:val="000000"/>
                <w:kern w:val="0"/>
                <w:szCs w:val="21"/>
              </w:rPr>
              <w:t>分计算：</w:t>
            </w:r>
          </w:p>
        </w:tc>
        <w:tc>
          <w:tcPr>
            <w:tcW w:w="609" w:type="pct"/>
            <w:vMerge w:val="restar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提供</w:t>
            </w:r>
            <w:r>
              <w:rPr>
                <w:rFonts w:eastAsia="等线" w:cs="Times New Roman"/>
                <w:color w:val="000000"/>
                <w:kern w:val="0"/>
                <w:szCs w:val="21"/>
              </w:rPr>
              <w:t>WIND</w:t>
            </w:r>
            <w:r>
              <w:rPr>
                <w:rFonts w:hint="eastAsia" w:ascii="宋体" w:hAnsi="宋体" w:cs="Times New Roman"/>
                <w:color w:val="000000"/>
                <w:kern w:val="0"/>
                <w:szCs w:val="21"/>
              </w:rPr>
              <w:t>页面查询截图并加盖投标人公章，以采购人查询</w:t>
            </w:r>
            <w:r>
              <w:rPr>
                <w:rFonts w:eastAsia="等线" w:cs="Times New Roman"/>
                <w:color w:val="000000"/>
                <w:kern w:val="0"/>
                <w:szCs w:val="21"/>
              </w:rPr>
              <w:t>WIND</w:t>
            </w:r>
            <w:r>
              <w:rPr>
                <w:rFonts w:hint="eastAsia" w:ascii="宋体" w:hAnsi="宋体" w:cs="Times New Roman"/>
                <w:color w:val="000000"/>
                <w:kern w:val="0"/>
                <w:szCs w:val="21"/>
              </w:rPr>
              <w:t>相关统计数据为准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w:t>
            </w:r>
            <w:r>
              <w:rPr>
                <w:rFonts w:hint="eastAsia" w:ascii="宋体" w:hAnsi="宋体" w:cs="Times New Roman"/>
                <w:color w:val="000000"/>
                <w:kern w:val="0"/>
                <w:szCs w:val="21"/>
              </w:rPr>
              <w:t>）</w:t>
            </w:r>
            <w:r>
              <w:rPr>
                <w:rFonts w:eastAsia="等线" w:cs="Times New Roman"/>
                <w:color w:val="000000"/>
                <w:kern w:val="0"/>
                <w:szCs w:val="21"/>
              </w:rPr>
              <w:t>1500.00</w:t>
            </w:r>
            <w:r>
              <w:rPr>
                <w:rFonts w:hint="eastAsia" w:ascii="宋体" w:hAnsi="宋体" w:cs="Times New Roman"/>
                <w:color w:val="000000"/>
                <w:kern w:val="0"/>
                <w:szCs w:val="21"/>
              </w:rPr>
              <w:t>亿元（含）及以上得</w:t>
            </w:r>
            <w:r>
              <w:rPr>
                <w:rFonts w:eastAsia="等线" w:cs="Times New Roman"/>
                <w:color w:val="000000"/>
                <w:kern w:val="0"/>
                <w:szCs w:val="21"/>
              </w:rPr>
              <w:t>15</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2</w:t>
            </w:r>
            <w:r>
              <w:rPr>
                <w:rFonts w:hint="eastAsia" w:ascii="宋体" w:hAnsi="宋体" w:cs="Times New Roman"/>
                <w:color w:val="000000"/>
                <w:kern w:val="0"/>
                <w:szCs w:val="21"/>
              </w:rPr>
              <w:t>）</w:t>
            </w:r>
            <w:r>
              <w:rPr>
                <w:rFonts w:eastAsia="等线" w:cs="Times New Roman"/>
                <w:color w:val="000000"/>
                <w:kern w:val="0"/>
                <w:szCs w:val="21"/>
              </w:rPr>
              <w:t>1400.00</w:t>
            </w:r>
            <w:r>
              <w:rPr>
                <w:rFonts w:hint="eastAsia" w:ascii="宋体" w:hAnsi="宋体" w:cs="Times New Roman"/>
                <w:color w:val="000000"/>
                <w:kern w:val="0"/>
                <w:szCs w:val="21"/>
              </w:rPr>
              <w:t>亿元（含）至</w:t>
            </w:r>
            <w:r>
              <w:rPr>
                <w:rFonts w:eastAsia="等线" w:cs="Times New Roman"/>
                <w:color w:val="000000"/>
                <w:kern w:val="0"/>
                <w:szCs w:val="21"/>
              </w:rPr>
              <w:t>1500.00</w:t>
            </w:r>
            <w:r>
              <w:rPr>
                <w:rFonts w:hint="eastAsia" w:ascii="宋体" w:hAnsi="宋体" w:cs="Times New Roman"/>
                <w:color w:val="000000"/>
                <w:kern w:val="0"/>
                <w:szCs w:val="21"/>
              </w:rPr>
              <w:t>亿元（不含）；得</w:t>
            </w:r>
            <w:r>
              <w:rPr>
                <w:rFonts w:eastAsia="等线" w:cs="Times New Roman"/>
                <w:color w:val="000000"/>
                <w:kern w:val="0"/>
                <w:szCs w:val="21"/>
              </w:rPr>
              <w:t>14</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3</w:t>
            </w:r>
            <w:r>
              <w:rPr>
                <w:rFonts w:hint="eastAsia" w:ascii="宋体" w:hAnsi="宋体" w:cs="Times New Roman"/>
                <w:color w:val="000000"/>
                <w:kern w:val="0"/>
                <w:szCs w:val="21"/>
              </w:rPr>
              <w:t>）</w:t>
            </w:r>
            <w:r>
              <w:rPr>
                <w:rFonts w:eastAsia="等线" w:cs="Times New Roman"/>
                <w:color w:val="000000"/>
                <w:kern w:val="0"/>
                <w:szCs w:val="21"/>
              </w:rPr>
              <w:t>1300.00</w:t>
            </w:r>
            <w:r>
              <w:rPr>
                <w:rFonts w:hint="eastAsia" w:ascii="宋体" w:hAnsi="宋体" w:cs="Times New Roman"/>
                <w:color w:val="000000"/>
                <w:kern w:val="0"/>
                <w:szCs w:val="21"/>
              </w:rPr>
              <w:t>亿元（含）至</w:t>
            </w:r>
            <w:r>
              <w:rPr>
                <w:rFonts w:eastAsia="等线" w:cs="Times New Roman"/>
                <w:color w:val="000000"/>
                <w:kern w:val="0"/>
                <w:szCs w:val="21"/>
              </w:rPr>
              <w:t>1400.00</w:t>
            </w:r>
            <w:r>
              <w:rPr>
                <w:rFonts w:hint="eastAsia" w:ascii="宋体" w:hAnsi="宋体" w:cs="Times New Roman"/>
                <w:color w:val="000000"/>
                <w:kern w:val="0"/>
                <w:szCs w:val="21"/>
              </w:rPr>
              <w:t>亿元（不含）；得</w:t>
            </w:r>
            <w:r>
              <w:rPr>
                <w:rFonts w:eastAsia="等线" w:cs="Times New Roman"/>
                <w:color w:val="000000"/>
                <w:kern w:val="0"/>
                <w:szCs w:val="21"/>
              </w:rPr>
              <w:t>13</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4</w:t>
            </w:r>
            <w:r>
              <w:rPr>
                <w:rFonts w:hint="eastAsia" w:ascii="宋体" w:hAnsi="宋体" w:cs="Times New Roman"/>
                <w:color w:val="000000"/>
                <w:kern w:val="0"/>
                <w:szCs w:val="21"/>
              </w:rPr>
              <w:t>）</w:t>
            </w:r>
            <w:r>
              <w:rPr>
                <w:rFonts w:eastAsia="等线" w:cs="Times New Roman"/>
                <w:color w:val="000000"/>
                <w:kern w:val="0"/>
                <w:szCs w:val="21"/>
              </w:rPr>
              <w:t>1200.00</w:t>
            </w:r>
            <w:r>
              <w:rPr>
                <w:rFonts w:hint="eastAsia" w:ascii="宋体" w:hAnsi="宋体" w:cs="Times New Roman"/>
                <w:color w:val="000000"/>
                <w:kern w:val="0"/>
                <w:szCs w:val="21"/>
              </w:rPr>
              <w:t>亿元（含）至</w:t>
            </w:r>
            <w:r>
              <w:rPr>
                <w:rFonts w:eastAsia="等线" w:cs="Times New Roman"/>
                <w:color w:val="000000"/>
                <w:kern w:val="0"/>
                <w:szCs w:val="21"/>
              </w:rPr>
              <w:t>1300.00</w:t>
            </w:r>
            <w:r>
              <w:rPr>
                <w:rFonts w:hint="eastAsia" w:ascii="宋体" w:hAnsi="宋体" w:cs="Times New Roman"/>
                <w:color w:val="000000"/>
                <w:kern w:val="0"/>
                <w:szCs w:val="21"/>
              </w:rPr>
              <w:t>亿元（不含）；得</w:t>
            </w:r>
            <w:r>
              <w:rPr>
                <w:rFonts w:eastAsia="等线" w:cs="Times New Roman"/>
                <w:color w:val="000000"/>
                <w:kern w:val="0"/>
                <w:szCs w:val="21"/>
              </w:rPr>
              <w:t>12</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5</w:t>
            </w:r>
            <w:r>
              <w:rPr>
                <w:rFonts w:hint="eastAsia" w:ascii="宋体" w:hAnsi="宋体" w:cs="Times New Roman"/>
                <w:color w:val="000000"/>
                <w:kern w:val="0"/>
                <w:szCs w:val="21"/>
              </w:rPr>
              <w:t>）</w:t>
            </w:r>
            <w:r>
              <w:rPr>
                <w:rFonts w:eastAsia="等线" w:cs="Times New Roman"/>
                <w:color w:val="000000"/>
                <w:kern w:val="0"/>
                <w:szCs w:val="21"/>
              </w:rPr>
              <w:t>1100.00</w:t>
            </w:r>
            <w:r>
              <w:rPr>
                <w:rFonts w:hint="eastAsia" w:ascii="宋体" w:hAnsi="宋体" w:cs="Times New Roman"/>
                <w:color w:val="000000"/>
                <w:kern w:val="0"/>
                <w:szCs w:val="21"/>
              </w:rPr>
              <w:t>亿元（含）至</w:t>
            </w:r>
            <w:r>
              <w:rPr>
                <w:rFonts w:eastAsia="等线" w:cs="Times New Roman"/>
                <w:color w:val="000000"/>
                <w:kern w:val="0"/>
                <w:szCs w:val="21"/>
              </w:rPr>
              <w:t>1200.00</w:t>
            </w:r>
            <w:r>
              <w:rPr>
                <w:rFonts w:hint="eastAsia" w:ascii="宋体" w:hAnsi="宋体" w:cs="Times New Roman"/>
                <w:color w:val="000000"/>
                <w:kern w:val="0"/>
                <w:szCs w:val="21"/>
              </w:rPr>
              <w:t>亿元（不含）；得</w:t>
            </w:r>
            <w:r>
              <w:rPr>
                <w:rFonts w:eastAsia="等线" w:cs="Times New Roman"/>
                <w:color w:val="000000"/>
                <w:kern w:val="0"/>
                <w:szCs w:val="21"/>
              </w:rPr>
              <w:t>11</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6</w:t>
            </w:r>
            <w:r>
              <w:rPr>
                <w:rFonts w:hint="eastAsia" w:ascii="宋体" w:hAnsi="宋体" w:cs="Times New Roman"/>
                <w:color w:val="000000"/>
                <w:kern w:val="0"/>
                <w:szCs w:val="21"/>
              </w:rPr>
              <w:t>）</w:t>
            </w:r>
            <w:r>
              <w:rPr>
                <w:rFonts w:eastAsia="等线" w:cs="Times New Roman"/>
                <w:color w:val="000000"/>
                <w:kern w:val="0"/>
                <w:szCs w:val="21"/>
              </w:rPr>
              <w:t>1000.00</w:t>
            </w:r>
            <w:r>
              <w:rPr>
                <w:rFonts w:hint="eastAsia" w:ascii="宋体" w:hAnsi="宋体" w:cs="Times New Roman"/>
                <w:color w:val="000000"/>
                <w:kern w:val="0"/>
                <w:szCs w:val="21"/>
              </w:rPr>
              <w:t>亿元（含）至</w:t>
            </w:r>
            <w:r>
              <w:rPr>
                <w:rFonts w:eastAsia="等线" w:cs="Times New Roman"/>
                <w:color w:val="000000"/>
                <w:kern w:val="0"/>
                <w:szCs w:val="21"/>
              </w:rPr>
              <w:t>1100.00</w:t>
            </w:r>
            <w:r>
              <w:rPr>
                <w:rFonts w:hint="eastAsia" w:ascii="宋体" w:hAnsi="宋体" w:cs="Times New Roman"/>
                <w:color w:val="000000"/>
                <w:kern w:val="0"/>
                <w:szCs w:val="21"/>
              </w:rPr>
              <w:t>亿元（不含）；得</w:t>
            </w:r>
            <w:r>
              <w:rPr>
                <w:rFonts w:eastAsia="等线" w:cs="Times New Roman"/>
                <w:color w:val="000000"/>
                <w:kern w:val="0"/>
                <w:szCs w:val="21"/>
              </w:rPr>
              <w:t>10</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7</w:t>
            </w:r>
            <w:r>
              <w:rPr>
                <w:rFonts w:hint="eastAsia" w:ascii="宋体" w:hAnsi="宋体" w:cs="Times New Roman"/>
                <w:color w:val="000000"/>
                <w:kern w:val="0"/>
                <w:szCs w:val="21"/>
              </w:rPr>
              <w:t>）</w:t>
            </w:r>
            <w:r>
              <w:rPr>
                <w:rFonts w:eastAsia="等线" w:cs="Times New Roman"/>
                <w:color w:val="000000"/>
                <w:kern w:val="0"/>
                <w:szCs w:val="21"/>
              </w:rPr>
              <w:t>900.00</w:t>
            </w:r>
            <w:r>
              <w:rPr>
                <w:rFonts w:hint="eastAsia" w:ascii="宋体" w:hAnsi="宋体" w:cs="Times New Roman"/>
                <w:color w:val="000000"/>
                <w:kern w:val="0"/>
                <w:szCs w:val="21"/>
              </w:rPr>
              <w:t>亿元（含）至</w:t>
            </w:r>
            <w:r>
              <w:rPr>
                <w:rFonts w:eastAsia="等线" w:cs="Times New Roman"/>
                <w:color w:val="000000"/>
                <w:kern w:val="0"/>
                <w:szCs w:val="21"/>
              </w:rPr>
              <w:t>1000.00</w:t>
            </w:r>
            <w:r>
              <w:rPr>
                <w:rFonts w:hint="eastAsia" w:ascii="宋体" w:hAnsi="宋体" w:cs="Times New Roman"/>
                <w:color w:val="000000"/>
                <w:kern w:val="0"/>
                <w:szCs w:val="21"/>
              </w:rPr>
              <w:t>亿元（不含）得</w:t>
            </w:r>
            <w:r>
              <w:rPr>
                <w:rFonts w:eastAsia="等线" w:cs="Times New Roman"/>
                <w:color w:val="000000"/>
                <w:kern w:val="0"/>
                <w:szCs w:val="21"/>
              </w:rPr>
              <w:t>9</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8</w:t>
            </w:r>
            <w:r>
              <w:rPr>
                <w:rFonts w:hint="eastAsia" w:ascii="宋体" w:hAnsi="宋体" w:cs="Times New Roman"/>
                <w:color w:val="000000"/>
                <w:kern w:val="0"/>
                <w:szCs w:val="21"/>
              </w:rPr>
              <w:t>）</w:t>
            </w:r>
            <w:r>
              <w:rPr>
                <w:rFonts w:eastAsia="等线" w:cs="Times New Roman"/>
                <w:color w:val="000000"/>
                <w:kern w:val="0"/>
                <w:szCs w:val="21"/>
              </w:rPr>
              <w:t>800.00</w:t>
            </w:r>
            <w:r>
              <w:rPr>
                <w:rFonts w:hint="eastAsia" w:ascii="宋体" w:hAnsi="宋体" w:cs="Times New Roman"/>
                <w:color w:val="000000"/>
                <w:kern w:val="0"/>
                <w:szCs w:val="21"/>
              </w:rPr>
              <w:t>亿元（含）至</w:t>
            </w:r>
            <w:r>
              <w:rPr>
                <w:rFonts w:eastAsia="等线" w:cs="Times New Roman"/>
                <w:color w:val="000000"/>
                <w:kern w:val="0"/>
                <w:szCs w:val="21"/>
              </w:rPr>
              <w:t>900.00</w:t>
            </w:r>
            <w:r>
              <w:rPr>
                <w:rFonts w:hint="eastAsia" w:ascii="宋体" w:hAnsi="宋体" w:cs="Times New Roman"/>
                <w:color w:val="000000"/>
                <w:kern w:val="0"/>
                <w:szCs w:val="21"/>
              </w:rPr>
              <w:t>亿元（不含）得</w:t>
            </w:r>
            <w:r>
              <w:rPr>
                <w:rFonts w:eastAsia="等线" w:cs="Times New Roman"/>
                <w:color w:val="000000"/>
                <w:kern w:val="0"/>
                <w:szCs w:val="21"/>
              </w:rPr>
              <w:t>8</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9</w:t>
            </w:r>
            <w:r>
              <w:rPr>
                <w:rFonts w:hint="eastAsia" w:ascii="宋体" w:hAnsi="宋体" w:cs="Times New Roman"/>
                <w:color w:val="000000"/>
                <w:kern w:val="0"/>
                <w:szCs w:val="21"/>
              </w:rPr>
              <w:t>）</w:t>
            </w:r>
            <w:r>
              <w:rPr>
                <w:rFonts w:eastAsia="等线" w:cs="Times New Roman"/>
                <w:color w:val="000000"/>
                <w:kern w:val="0"/>
                <w:szCs w:val="21"/>
              </w:rPr>
              <w:t>700.00</w:t>
            </w:r>
            <w:r>
              <w:rPr>
                <w:rFonts w:hint="eastAsia" w:ascii="宋体" w:hAnsi="宋体" w:cs="Times New Roman"/>
                <w:color w:val="000000"/>
                <w:kern w:val="0"/>
                <w:szCs w:val="21"/>
              </w:rPr>
              <w:t>亿元（含）至</w:t>
            </w:r>
            <w:r>
              <w:rPr>
                <w:rFonts w:eastAsia="等线" w:cs="Times New Roman"/>
                <w:color w:val="000000"/>
                <w:kern w:val="0"/>
                <w:szCs w:val="21"/>
              </w:rPr>
              <w:t>800.00</w:t>
            </w:r>
            <w:r>
              <w:rPr>
                <w:rFonts w:hint="eastAsia" w:ascii="宋体" w:hAnsi="宋体" w:cs="Times New Roman"/>
                <w:color w:val="000000"/>
                <w:kern w:val="0"/>
                <w:szCs w:val="21"/>
              </w:rPr>
              <w:t>亿元（不含）得</w:t>
            </w:r>
            <w:r>
              <w:rPr>
                <w:rFonts w:eastAsia="等线" w:cs="Times New Roman"/>
                <w:color w:val="000000"/>
                <w:kern w:val="0"/>
                <w:szCs w:val="21"/>
              </w:rPr>
              <w:t>7</w:t>
            </w:r>
            <w:r>
              <w:rPr>
                <w:rFonts w:hint="eastAsia" w:ascii="宋体" w:hAnsi="宋体" w:cs="Times New Roman"/>
                <w:color w:val="000000"/>
                <w:kern w:val="0"/>
                <w:szCs w:val="21"/>
              </w:rPr>
              <w:t>分</w:t>
            </w:r>
            <w:r>
              <w:rPr>
                <w:rFonts w:eastAsia="等线" w:cs="Times New Roman"/>
                <w:color w:val="000000"/>
                <w:kern w:val="0"/>
                <w:szCs w:val="21"/>
              </w:rPr>
              <w:t>;</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10</w:t>
            </w:r>
            <w:r>
              <w:rPr>
                <w:rFonts w:hint="eastAsia" w:ascii="宋体" w:hAnsi="宋体" w:cs="Times New Roman"/>
                <w:color w:val="000000"/>
                <w:kern w:val="0"/>
                <w:szCs w:val="21"/>
              </w:rPr>
              <w:t>）</w:t>
            </w:r>
            <w:r>
              <w:rPr>
                <w:rFonts w:eastAsia="等线" w:cs="Times New Roman"/>
                <w:color w:val="000000"/>
                <w:kern w:val="0"/>
                <w:szCs w:val="21"/>
              </w:rPr>
              <w:t>600.00</w:t>
            </w:r>
            <w:r>
              <w:rPr>
                <w:rFonts w:hint="eastAsia" w:ascii="宋体" w:hAnsi="宋体" w:cs="Times New Roman"/>
                <w:color w:val="000000"/>
                <w:kern w:val="0"/>
                <w:szCs w:val="21"/>
              </w:rPr>
              <w:t>亿元（含）至</w:t>
            </w:r>
            <w:r>
              <w:rPr>
                <w:rFonts w:eastAsia="等线" w:cs="Times New Roman"/>
                <w:color w:val="000000"/>
                <w:kern w:val="0"/>
                <w:szCs w:val="21"/>
              </w:rPr>
              <w:t>700.00</w:t>
            </w:r>
            <w:r>
              <w:rPr>
                <w:rFonts w:hint="eastAsia" w:ascii="宋体" w:hAnsi="宋体" w:cs="Times New Roman"/>
                <w:color w:val="000000"/>
                <w:kern w:val="0"/>
                <w:szCs w:val="21"/>
              </w:rPr>
              <w:t>亿元（不含）得</w:t>
            </w:r>
            <w:r>
              <w:rPr>
                <w:rFonts w:eastAsia="等线" w:cs="Times New Roman"/>
                <w:color w:val="000000"/>
                <w:kern w:val="0"/>
                <w:szCs w:val="21"/>
              </w:rPr>
              <w:t>6</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11</w:t>
            </w:r>
            <w:r>
              <w:rPr>
                <w:rFonts w:hint="eastAsia" w:ascii="宋体" w:hAnsi="宋体" w:cs="Times New Roman"/>
                <w:color w:val="000000"/>
                <w:kern w:val="0"/>
                <w:szCs w:val="21"/>
              </w:rPr>
              <w:t>）</w:t>
            </w:r>
            <w:r>
              <w:rPr>
                <w:rFonts w:eastAsia="等线" w:cs="Times New Roman"/>
                <w:color w:val="000000"/>
                <w:kern w:val="0"/>
                <w:szCs w:val="21"/>
              </w:rPr>
              <w:t>500.00</w:t>
            </w:r>
            <w:r>
              <w:rPr>
                <w:rFonts w:hint="eastAsia" w:ascii="宋体" w:hAnsi="宋体" w:cs="Times New Roman"/>
                <w:color w:val="000000"/>
                <w:kern w:val="0"/>
                <w:szCs w:val="21"/>
              </w:rPr>
              <w:t>亿元（含）至</w:t>
            </w:r>
            <w:r>
              <w:rPr>
                <w:rFonts w:eastAsia="等线" w:cs="Times New Roman"/>
                <w:color w:val="000000"/>
                <w:kern w:val="0"/>
                <w:szCs w:val="21"/>
              </w:rPr>
              <w:t>600.00</w:t>
            </w:r>
            <w:r>
              <w:rPr>
                <w:rFonts w:hint="eastAsia" w:ascii="宋体" w:hAnsi="宋体" w:cs="Times New Roman"/>
                <w:color w:val="000000"/>
                <w:kern w:val="0"/>
                <w:szCs w:val="21"/>
              </w:rPr>
              <w:t>亿元（不含）得</w:t>
            </w:r>
            <w:r>
              <w:rPr>
                <w:rFonts w:eastAsia="等线" w:cs="Times New Roman"/>
                <w:color w:val="000000"/>
                <w:kern w:val="0"/>
                <w:szCs w:val="21"/>
              </w:rPr>
              <w:t>5</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12</w:t>
            </w:r>
            <w:r>
              <w:rPr>
                <w:rFonts w:hint="eastAsia" w:ascii="宋体" w:hAnsi="宋体" w:cs="Times New Roman"/>
                <w:color w:val="000000"/>
                <w:kern w:val="0"/>
                <w:szCs w:val="21"/>
              </w:rPr>
              <w:t>）</w:t>
            </w:r>
            <w:r>
              <w:rPr>
                <w:rFonts w:eastAsia="等线" w:cs="Times New Roman"/>
                <w:color w:val="000000"/>
                <w:kern w:val="0"/>
                <w:szCs w:val="21"/>
              </w:rPr>
              <w:t>400.00</w:t>
            </w:r>
            <w:r>
              <w:rPr>
                <w:rFonts w:hint="eastAsia" w:ascii="宋体" w:hAnsi="宋体" w:cs="Times New Roman"/>
                <w:color w:val="000000"/>
                <w:kern w:val="0"/>
                <w:szCs w:val="21"/>
              </w:rPr>
              <w:t>亿元（含）至</w:t>
            </w:r>
            <w:r>
              <w:rPr>
                <w:rFonts w:eastAsia="等线" w:cs="Times New Roman"/>
                <w:color w:val="000000"/>
                <w:kern w:val="0"/>
                <w:szCs w:val="21"/>
              </w:rPr>
              <w:t>500.00</w:t>
            </w:r>
            <w:r>
              <w:rPr>
                <w:rFonts w:hint="eastAsia" w:ascii="宋体" w:hAnsi="宋体" w:cs="Times New Roman"/>
                <w:color w:val="000000"/>
                <w:kern w:val="0"/>
                <w:szCs w:val="21"/>
              </w:rPr>
              <w:t>亿元（不含）得</w:t>
            </w:r>
            <w:r>
              <w:rPr>
                <w:rFonts w:eastAsia="等线" w:cs="Times New Roman"/>
                <w:color w:val="000000"/>
                <w:kern w:val="0"/>
                <w:szCs w:val="21"/>
              </w:rPr>
              <w:t>4</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13</w:t>
            </w:r>
            <w:r>
              <w:rPr>
                <w:rFonts w:hint="eastAsia" w:ascii="宋体" w:hAnsi="宋体" w:cs="Times New Roman"/>
                <w:color w:val="000000"/>
                <w:kern w:val="0"/>
                <w:szCs w:val="21"/>
              </w:rPr>
              <w:t>）</w:t>
            </w:r>
            <w:r>
              <w:rPr>
                <w:rFonts w:eastAsia="等线" w:cs="Times New Roman"/>
                <w:color w:val="000000"/>
                <w:kern w:val="0"/>
                <w:szCs w:val="21"/>
              </w:rPr>
              <w:t>300.00</w:t>
            </w:r>
            <w:r>
              <w:rPr>
                <w:rFonts w:hint="eastAsia" w:ascii="宋体" w:hAnsi="宋体" w:cs="Times New Roman"/>
                <w:color w:val="000000"/>
                <w:kern w:val="0"/>
                <w:szCs w:val="21"/>
              </w:rPr>
              <w:t>亿元（含）至</w:t>
            </w:r>
            <w:r>
              <w:rPr>
                <w:rFonts w:eastAsia="等线" w:cs="Times New Roman"/>
                <w:color w:val="000000"/>
                <w:kern w:val="0"/>
                <w:szCs w:val="21"/>
              </w:rPr>
              <w:t>400.00</w:t>
            </w:r>
            <w:r>
              <w:rPr>
                <w:rFonts w:hint="eastAsia" w:ascii="宋体" w:hAnsi="宋体" w:cs="Times New Roman"/>
                <w:color w:val="000000"/>
                <w:kern w:val="0"/>
                <w:szCs w:val="21"/>
              </w:rPr>
              <w:t>亿元（不含）得</w:t>
            </w:r>
            <w:r>
              <w:rPr>
                <w:rFonts w:eastAsia="等线" w:cs="Times New Roman"/>
                <w:color w:val="000000"/>
                <w:kern w:val="0"/>
                <w:szCs w:val="21"/>
              </w:rPr>
              <w:t>3</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14</w:t>
            </w:r>
            <w:r>
              <w:rPr>
                <w:rFonts w:hint="eastAsia" w:ascii="宋体" w:hAnsi="宋体" w:cs="Times New Roman"/>
                <w:color w:val="000000"/>
                <w:kern w:val="0"/>
                <w:szCs w:val="21"/>
              </w:rPr>
              <w:t>）</w:t>
            </w:r>
            <w:r>
              <w:rPr>
                <w:rFonts w:eastAsia="等线" w:cs="Times New Roman"/>
                <w:color w:val="000000"/>
                <w:kern w:val="0"/>
                <w:szCs w:val="21"/>
              </w:rPr>
              <w:t>200.00</w:t>
            </w:r>
            <w:r>
              <w:rPr>
                <w:rFonts w:hint="eastAsia" w:ascii="宋体" w:hAnsi="宋体" w:cs="Times New Roman"/>
                <w:color w:val="000000"/>
                <w:kern w:val="0"/>
                <w:szCs w:val="21"/>
              </w:rPr>
              <w:t>亿元（含）至</w:t>
            </w:r>
            <w:r>
              <w:rPr>
                <w:rFonts w:eastAsia="等线" w:cs="Times New Roman"/>
                <w:color w:val="000000"/>
                <w:kern w:val="0"/>
                <w:szCs w:val="21"/>
              </w:rPr>
              <w:t>300.00</w:t>
            </w:r>
            <w:r>
              <w:rPr>
                <w:rFonts w:hint="eastAsia" w:ascii="宋体" w:hAnsi="宋体" w:cs="Times New Roman"/>
                <w:color w:val="000000"/>
                <w:kern w:val="0"/>
                <w:szCs w:val="21"/>
              </w:rPr>
              <w:t>亿元（不含）得</w:t>
            </w:r>
            <w:r>
              <w:rPr>
                <w:rFonts w:eastAsia="等线" w:cs="Times New Roman"/>
                <w:color w:val="000000"/>
                <w:kern w:val="0"/>
                <w:szCs w:val="21"/>
              </w:rPr>
              <w:t>2</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15</w:t>
            </w:r>
            <w:r>
              <w:rPr>
                <w:rFonts w:hint="eastAsia" w:ascii="宋体" w:hAnsi="宋体" w:cs="Times New Roman"/>
                <w:color w:val="000000"/>
                <w:kern w:val="0"/>
                <w:szCs w:val="21"/>
              </w:rPr>
              <w:t>）</w:t>
            </w:r>
            <w:r>
              <w:rPr>
                <w:rFonts w:eastAsia="等线" w:cs="Times New Roman"/>
                <w:color w:val="000000"/>
                <w:kern w:val="0"/>
                <w:szCs w:val="21"/>
              </w:rPr>
              <w:t>100.00</w:t>
            </w:r>
            <w:r>
              <w:rPr>
                <w:rFonts w:hint="eastAsia" w:ascii="宋体" w:hAnsi="宋体" w:cs="Times New Roman"/>
                <w:color w:val="000000"/>
                <w:kern w:val="0"/>
                <w:szCs w:val="21"/>
              </w:rPr>
              <w:t>亿元（含）至</w:t>
            </w:r>
            <w:r>
              <w:rPr>
                <w:rFonts w:eastAsia="等线" w:cs="Times New Roman"/>
                <w:color w:val="000000"/>
                <w:kern w:val="0"/>
                <w:szCs w:val="21"/>
              </w:rPr>
              <w:t>200.00</w:t>
            </w:r>
            <w:r>
              <w:rPr>
                <w:rFonts w:hint="eastAsia" w:ascii="宋体" w:hAnsi="宋体" w:cs="Times New Roman"/>
                <w:color w:val="000000"/>
                <w:kern w:val="0"/>
                <w:szCs w:val="21"/>
              </w:rPr>
              <w:t>亿元（不含）得</w:t>
            </w:r>
            <w:r>
              <w:rPr>
                <w:rFonts w:eastAsia="等线" w:cs="Times New Roman"/>
                <w:color w:val="000000"/>
                <w:kern w:val="0"/>
                <w:szCs w:val="21"/>
              </w:rPr>
              <w:t>1</w:t>
            </w:r>
            <w:r>
              <w:rPr>
                <w:rFonts w:hint="eastAsia" w:ascii="宋体" w:hAnsi="宋体" w:cs="Times New Roman"/>
                <w:color w:val="000000"/>
                <w:kern w:val="0"/>
                <w:szCs w:val="21"/>
              </w:rPr>
              <w:t>分</w:t>
            </w:r>
            <w:r>
              <w:rPr>
                <w:rFonts w:eastAsia="等线" w:cs="Times New Roman"/>
                <w:color w:val="000000"/>
                <w:kern w:val="0"/>
                <w:szCs w:val="21"/>
              </w:rPr>
              <w:t>;</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16</w:t>
            </w:r>
            <w:r>
              <w:rPr>
                <w:rFonts w:hint="eastAsia" w:ascii="宋体" w:hAnsi="宋体" w:cs="Times New Roman"/>
                <w:color w:val="000000"/>
                <w:kern w:val="0"/>
                <w:szCs w:val="21"/>
              </w:rPr>
              <w:t>）</w:t>
            </w:r>
            <w:r>
              <w:rPr>
                <w:rFonts w:eastAsia="等线" w:cs="Times New Roman"/>
                <w:color w:val="000000"/>
                <w:kern w:val="0"/>
                <w:szCs w:val="21"/>
              </w:rPr>
              <w:t>100.00</w:t>
            </w:r>
            <w:r>
              <w:rPr>
                <w:rFonts w:hint="eastAsia" w:ascii="宋体" w:hAnsi="宋体" w:cs="Times New Roman"/>
                <w:color w:val="000000"/>
                <w:kern w:val="0"/>
                <w:szCs w:val="21"/>
              </w:rPr>
              <w:t>亿元（不含）以下不得分。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（数据来源：债券</w:t>
            </w:r>
            <w:r>
              <w:rPr>
                <w:rFonts w:eastAsia="等线" w:cs="Times New Roman"/>
                <w:color w:val="000000"/>
                <w:kern w:val="0"/>
                <w:szCs w:val="21"/>
              </w:rPr>
              <w:t>-</w:t>
            </w:r>
            <w:r>
              <w:rPr>
                <w:rFonts w:hint="eastAsia" w:ascii="宋体" w:hAnsi="宋体" w:cs="Times New Roman"/>
                <w:color w:val="000000"/>
                <w:kern w:val="0"/>
                <w:szCs w:val="21"/>
              </w:rPr>
              <w:t>专题统计</w:t>
            </w:r>
            <w:r>
              <w:rPr>
                <w:rFonts w:eastAsia="等线" w:cs="Times New Roman"/>
                <w:color w:val="000000"/>
                <w:kern w:val="0"/>
                <w:szCs w:val="21"/>
              </w:rPr>
              <w:t>-</w:t>
            </w:r>
            <w:r>
              <w:rPr>
                <w:rFonts w:hint="eastAsia" w:ascii="宋体" w:hAnsi="宋体" w:cs="Times New Roman"/>
                <w:color w:val="000000"/>
                <w:kern w:val="0"/>
                <w:szCs w:val="21"/>
              </w:rPr>
              <w:t>一级市场</w:t>
            </w:r>
            <w:r>
              <w:rPr>
                <w:rFonts w:eastAsia="等线" w:cs="Times New Roman"/>
                <w:color w:val="000000"/>
                <w:kern w:val="0"/>
                <w:szCs w:val="21"/>
              </w:rPr>
              <w:t>-</w:t>
            </w:r>
            <w:r>
              <w:rPr>
                <w:rFonts w:hint="eastAsia" w:ascii="宋体" w:hAnsi="宋体" w:cs="Times New Roman"/>
                <w:color w:val="000000"/>
                <w:kern w:val="0"/>
                <w:szCs w:val="21"/>
              </w:rPr>
              <w:t>承销统计</w:t>
            </w:r>
            <w:r>
              <w:rPr>
                <w:rFonts w:eastAsia="等线" w:cs="Times New Roman"/>
                <w:color w:val="000000"/>
                <w:kern w:val="0"/>
                <w:szCs w:val="21"/>
              </w:rPr>
              <w:t>-</w:t>
            </w:r>
            <w:r>
              <w:rPr>
                <w:rFonts w:hint="eastAsia" w:ascii="宋体" w:hAnsi="宋体" w:cs="Times New Roman"/>
                <w:color w:val="000000"/>
                <w:kern w:val="0"/>
                <w:szCs w:val="21"/>
              </w:rPr>
              <w:t>债券承销分地域排名</w:t>
            </w:r>
            <w:r>
              <w:rPr>
                <w:rFonts w:eastAsia="等线" w:cs="Times New Roman"/>
                <w:color w:val="000000"/>
                <w:kern w:val="0"/>
                <w:szCs w:val="21"/>
              </w:rPr>
              <w:t>——</w:t>
            </w:r>
            <w:r>
              <w:rPr>
                <w:rFonts w:hint="eastAsia" w:ascii="宋体" w:hAnsi="宋体" w:cs="Times New Roman"/>
                <w:color w:val="000000"/>
                <w:kern w:val="0"/>
                <w:szCs w:val="21"/>
              </w:rPr>
              <w:t>选择板块：债券分类（</w:t>
            </w:r>
            <w:r>
              <w:rPr>
                <w:rFonts w:eastAsia="等线" w:cs="Times New Roman"/>
                <w:color w:val="000000"/>
                <w:kern w:val="0"/>
                <w:szCs w:val="21"/>
              </w:rPr>
              <w:t>wind</w:t>
            </w:r>
            <w:r>
              <w:rPr>
                <w:rFonts w:hint="eastAsia" w:ascii="宋体" w:hAnsi="宋体" w:cs="Times New Roman"/>
                <w:color w:val="000000"/>
                <w:kern w:val="0"/>
                <w:szCs w:val="21"/>
              </w:rPr>
              <w:t>）</w:t>
            </w:r>
            <w:r>
              <w:rPr>
                <w:rFonts w:eastAsia="等线" w:cs="Times New Roman"/>
                <w:color w:val="000000"/>
                <w:kern w:val="0"/>
                <w:szCs w:val="21"/>
              </w:rPr>
              <w:t>-</w:t>
            </w:r>
            <w:r>
              <w:rPr>
                <w:rFonts w:hint="eastAsia" w:ascii="宋体" w:hAnsi="宋体" w:cs="Times New Roman"/>
                <w:color w:val="000000"/>
                <w:kern w:val="0"/>
                <w:szCs w:val="21"/>
              </w:rPr>
              <w:t>公司债；任意区间：</w:t>
            </w:r>
            <w:r>
              <w:rPr>
                <w:rFonts w:eastAsia="等线" w:cs="Times New Roman"/>
                <w:color w:val="000000"/>
                <w:kern w:val="0"/>
                <w:szCs w:val="21"/>
              </w:rPr>
              <w:t>2020</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日；机构类型：证券；主体口径：穿透信用主体；未合并母子公司；选取浙江；地域承销商排名</w:t>
            </w:r>
            <w:r>
              <w:rPr>
                <w:rFonts w:eastAsia="等线" w:cs="Times New Roman"/>
                <w:color w:val="000000"/>
                <w:kern w:val="0"/>
                <w:szCs w:val="21"/>
              </w:rPr>
              <w:t>-</w:t>
            </w:r>
            <w:r>
              <w:rPr>
                <w:rFonts w:hint="eastAsia" w:ascii="宋体" w:hAnsi="宋体" w:cs="Times New Roman"/>
                <w:color w:val="000000"/>
                <w:kern w:val="0"/>
                <w:szCs w:val="21"/>
              </w:rPr>
              <w:t>提取数据</w:t>
            </w:r>
            <w:r>
              <w:rPr>
                <w:rFonts w:eastAsia="等线" w:cs="Times New Roman"/>
                <w:color w:val="000000"/>
                <w:kern w:val="0"/>
                <w:szCs w:val="21"/>
              </w:rPr>
              <w:t>——</w:t>
            </w:r>
            <w:r>
              <w:rPr>
                <w:rFonts w:hint="eastAsia" w:ascii="宋体" w:hAnsi="宋体" w:cs="Times New Roman"/>
                <w:color w:val="000000"/>
                <w:kern w:val="0"/>
                <w:szCs w:val="21"/>
              </w:rPr>
              <w:t>承销金额）</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72" w:type="pct"/>
            <w:vMerge w:val="restar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2</w:t>
            </w:r>
          </w:p>
        </w:tc>
        <w:tc>
          <w:tcPr>
            <w:tcW w:w="410" w:type="pct"/>
            <w:vMerge w:val="restar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发行落地能力</w:t>
            </w:r>
          </w:p>
        </w:tc>
        <w:tc>
          <w:tcPr>
            <w:tcW w:w="425" w:type="pct"/>
            <w:vMerge w:val="restar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15</w:t>
            </w:r>
            <w:r>
              <w:rPr>
                <w:rFonts w:hint="eastAsia" w:eastAsia="等线" w:cs="Times New Roman"/>
                <w:color w:val="000000"/>
                <w:kern w:val="0"/>
                <w:szCs w:val="21"/>
              </w:rPr>
              <w:t>分</w:t>
            </w: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投标人作为主承销商在</w:t>
            </w:r>
            <w:r>
              <w:rPr>
                <w:rFonts w:eastAsia="等线" w:cs="Times New Roman"/>
                <w:color w:val="000000"/>
                <w:kern w:val="0"/>
                <w:szCs w:val="21"/>
              </w:rPr>
              <w:t>2020</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日在全国范围内发行成功公司债案例情况：发行成功率</w:t>
            </w:r>
            <w:r>
              <w:rPr>
                <w:rFonts w:eastAsia="等线" w:cs="Times New Roman"/>
                <w:color w:val="000000"/>
                <w:kern w:val="0"/>
                <w:szCs w:val="21"/>
              </w:rPr>
              <w:t>97.00%</w:t>
            </w:r>
            <w:r>
              <w:rPr>
                <w:rFonts w:hint="eastAsia" w:ascii="宋体" w:hAnsi="宋体" w:cs="Times New Roman"/>
                <w:color w:val="000000"/>
                <w:kern w:val="0"/>
                <w:szCs w:val="21"/>
              </w:rPr>
              <w:t>及以上得</w:t>
            </w:r>
            <w:r>
              <w:rPr>
                <w:rFonts w:eastAsia="等线" w:cs="Times New Roman"/>
                <w:color w:val="000000"/>
                <w:kern w:val="0"/>
                <w:szCs w:val="21"/>
              </w:rPr>
              <w:t>15</w:t>
            </w:r>
            <w:r>
              <w:rPr>
                <w:rFonts w:hint="eastAsia" w:ascii="宋体" w:hAnsi="宋体" w:cs="Times New Roman"/>
                <w:color w:val="000000"/>
                <w:kern w:val="0"/>
                <w:szCs w:val="21"/>
              </w:rPr>
              <w:t>分，每下降</w:t>
            </w:r>
            <w:r>
              <w:rPr>
                <w:rFonts w:eastAsia="等线" w:cs="Times New Roman"/>
                <w:color w:val="000000"/>
                <w:kern w:val="0"/>
                <w:szCs w:val="21"/>
              </w:rPr>
              <w:t>1</w:t>
            </w:r>
            <w:r>
              <w:rPr>
                <w:rFonts w:hint="eastAsia" w:ascii="宋体" w:hAnsi="宋体" w:cs="Times New Roman"/>
                <w:color w:val="000000"/>
                <w:kern w:val="0"/>
                <w:szCs w:val="21"/>
              </w:rPr>
              <w:t>个百分点扣</w:t>
            </w:r>
            <w:r>
              <w:rPr>
                <w:rFonts w:eastAsia="等线" w:cs="Times New Roman"/>
                <w:color w:val="000000"/>
                <w:kern w:val="0"/>
                <w:szCs w:val="21"/>
              </w:rPr>
              <w:t>2</w:t>
            </w:r>
            <w:r>
              <w:rPr>
                <w:rFonts w:hint="eastAsia" w:ascii="宋体" w:hAnsi="宋体" w:cs="Times New Roman"/>
                <w:color w:val="000000"/>
                <w:kern w:val="0"/>
                <w:szCs w:val="21"/>
              </w:rPr>
              <w:t>分（不足一个百分点按一个百分点算），扣完为止。其中发行成功率</w:t>
            </w:r>
            <w:r>
              <w:rPr>
                <w:rFonts w:eastAsia="等线" w:cs="Times New Roman"/>
                <w:color w:val="000000"/>
                <w:kern w:val="0"/>
                <w:szCs w:val="21"/>
              </w:rPr>
              <w:t>=</w:t>
            </w:r>
            <w:r>
              <w:rPr>
                <w:rFonts w:hint="eastAsia" w:ascii="宋体" w:hAnsi="宋体" w:cs="Times New Roman"/>
                <w:color w:val="000000"/>
                <w:kern w:val="0"/>
                <w:szCs w:val="21"/>
              </w:rPr>
              <w:t>（发行总数</w:t>
            </w:r>
            <w:r>
              <w:rPr>
                <w:rFonts w:eastAsia="等线" w:cs="Times New Roman"/>
                <w:color w:val="000000"/>
                <w:kern w:val="0"/>
                <w:szCs w:val="21"/>
              </w:rPr>
              <w:t>-</w:t>
            </w:r>
            <w:r>
              <w:rPr>
                <w:rFonts w:hint="eastAsia" w:ascii="宋体" w:hAnsi="宋体" w:cs="Times New Roman"/>
                <w:color w:val="000000"/>
                <w:kern w:val="0"/>
                <w:szCs w:val="21"/>
              </w:rPr>
              <w:t>推迟和取消发行只数）</w:t>
            </w:r>
            <w:r>
              <w:rPr>
                <w:rFonts w:eastAsia="等线" w:cs="Times New Roman"/>
                <w:color w:val="000000"/>
                <w:kern w:val="0"/>
                <w:szCs w:val="21"/>
              </w:rPr>
              <w:t>/</w:t>
            </w:r>
            <w:r>
              <w:rPr>
                <w:rFonts w:hint="eastAsia" w:ascii="宋体" w:hAnsi="宋体" w:cs="Times New Roman"/>
                <w:color w:val="000000"/>
                <w:kern w:val="0"/>
                <w:szCs w:val="21"/>
              </w:rPr>
              <w:t>发行总数。</w:t>
            </w:r>
          </w:p>
        </w:tc>
        <w:tc>
          <w:tcPr>
            <w:tcW w:w="609" w:type="pct"/>
            <w:vMerge w:val="restar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提供</w:t>
            </w:r>
            <w:r>
              <w:rPr>
                <w:rFonts w:eastAsia="等线" w:cs="Times New Roman"/>
                <w:color w:val="000000"/>
                <w:kern w:val="0"/>
                <w:szCs w:val="21"/>
              </w:rPr>
              <w:t>WIND</w:t>
            </w:r>
            <w:r>
              <w:rPr>
                <w:rFonts w:hint="eastAsia" w:ascii="宋体" w:hAnsi="宋体" w:cs="Times New Roman"/>
                <w:color w:val="000000"/>
                <w:kern w:val="0"/>
                <w:szCs w:val="21"/>
              </w:rPr>
              <w:t>页面查询截图、发行成功率计算表并加盖投标人公章，以采购人查询</w:t>
            </w:r>
            <w:r>
              <w:rPr>
                <w:rFonts w:eastAsia="等线" w:cs="Times New Roman"/>
                <w:color w:val="000000"/>
                <w:kern w:val="0"/>
                <w:szCs w:val="21"/>
              </w:rPr>
              <w:t>WIND</w:t>
            </w:r>
            <w:r>
              <w:rPr>
                <w:rFonts w:hint="eastAsia" w:ascii="宋体" w:hAnsi="宋体" w:cs="Times New Roman"/>
                <w:color w:val="000000"/>
                <w:kern w:val="0"/>
                <w:szCs w:val="21"/>
              </w:rPr>
              <w:t>相关统计数据为准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（数据来源：（</w:t>
            </w:r>
            <w:r>
              <w:rPr>
                <w:rFonts w:eastAsia="等线" w:cs="Times New Roman"/>
                <w:color w:val="000000"/>
                <w:kern w:val="0"/>
                <w:szCs w:val="21"/>
              </w:rPr>
              <w:t>1</w:t>
            </w:r>
            <w:r>
              <w:rPr>
                <w:rFonts w:hint="eastAsia" w:ascii="宋体" w:hAnsi="宋体" w:cs="Times New Roman"/>
                <w:color w:val="000000"/>
                <w:kern w:val="0"/>
                <w:szCs w:val="21"/>
              </w:rPr>
              <w:t>）发行总数：债券</w:t>
            </w:r>
            <w:r>
              <w:rPr>
                <w:rFonts w:eastAsia="等线" w:cs="Times New Roman"/>
                <w:color w:val="000000"/>
                <w:kern w:val="0"/>
                <w:szCs w:val="21"/>
              </w:rPr>
              <w:t>-</w:t>
            </w:r>
            <w:r>
              <w:rPr>
                <w:rFonts w:hint="eastAsia" w:ascii="宋体" w:hAnsi="宋体" w:cs="Times New Roman"/>
                <w:color w:val="000000"/>
                <w:kern w:val="0"/>
                <w:szCs w:val="21"/>
              </w:rPr>
              <w:t>专题统计</w:t>
            </w:r>
            <w:r>
              <w:rPr>
                <w:rFonts w:eastAsia="等线" w:cs="Times New Roman"/>
                <w:color w:val="000000"/>
                <w:kern w:val="0"/>
                <w:szCs w:val="21"/>
              </w:rPr>
              <w:t>-</w:t>
            </w:r>
            <w:r>
              <w:rPr>
                <w:rFonts w:hint="eastAsia" w:ascii="宋体" w:hAnsi="宋体" w:cs="Times New Roman"/>
                <w:color w:val="000000"/>
                <w:kern w:val="0"/>
                <w:szCs w:val="21"/>
              </w:rPr>
              <w:t>一级市场</w:t>
            </w:r>
            <w:r>
              <w:rPr>
                <w:rFonts w:eastAsia="等线" w:cs="Times New Roman"/>
                <w:color w:val="000000"/>
                <w:kern w:val="0"/>
                <w:szCs w:val="21"/>
              </w:rPr>
              <w:t>-</w:t>
            </w:r>
            <w:r>
              <w:rPr>
                <w:rFonts w:hint="eastAsia" w:ascii="宋体" w:hAnsi="宋体" w:cs="Times New Roman"/>
                <w:color w:val="000000"/>
                <w:kern w:val="0"/>
                <w:szCs w:val="21"/>
              </w:rPr>
              <w:t>承销统计</w:t>
            </w:r>
            <w:r>
              <w:rPr>
                <w:rFonts w:eastAsia="等线" w:cs="Times New Roman"/>
                <w:color w:val="000000"/>
                <w:kern w:val="0"/>
                <w:szCs w:val="21"/>
              </w:rPr>
              <w:t>-</w:t>
            </w:r>
            <w:r>
              <w:rPr>
                <w:rFonts w:hint="eastAsia" w:ascii="宋体" w:hAnsi="宋体" w:cs="Times New Roman"/>
                <w:color w:val="000000"/>
                <w:kern w:val="0"/>
                <w:szCs w:val="21"/>
              </w:rPr>
              <w:t>债券承销排名</w:t>
            </w:r>
            <w:r>
              <w:rPr>
                <w:rFonts w:eastAsia="等线" w:cs="Times New Roman"/>
                <w:color w:val="000000"/>
                <w:kern w:val="0"/>
                <w:szCs w:val="21"/>
              </w:rPr>
              <w:t>( Wind</w:t>
            </w:r>
            <w:r>
              <w:rPr>
                <w:rFonts w:hint="eastAsia" w:ascii="宋体" w:hAnsi="宋体" w:cs="Times New Roman"/>
                <w:color w:val="000000"/>
                <w:kern w:val="0"/>
                <w:szCs w:val="21"/>
              </w:rPr>
              <w:t>口径</w:t>
            </w:r>
            <w:r>
              <w:rPr>
                <w:rFonts w:eastAsia="等线" w:cs="Times New Roman"/>
                <w:color w:val="000000"/>
                <w:kern w:val="0"/>
                <w:szCs w:val="21"/>
              </w:rPr>
              <w:t>)——</w:t>
            </w:r>
            <w:r>
              <w:rPr>
                <w:rFonts w:hint="eastAsia" w:ascii="宋体" w:hAnsi="宋体" w:cs="Times New Roman"/>
                <w:color w:val="000000"/>
                <w:kern w:val="0"/>
                <w:szCs w:val="21"/>
              </w:rPr>
              <w:t>任意区间：</w:t>
            </w:r>
            <w:r>
              <w:rPr>
                <w:rFonts w:eastAsia="等线" w:cs="Times New Roman"/>
                <w:color w:val="000000"/>
                <w:kern w:val="0"/>
                <w:szCs w:val="21"/>
              </w:rPr>
              <w:t>2020</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日；机构类型：证券；债券分类：公司债；上市地点：全部市场；勾选联主实际比例</w:t>
            </w:r>
            <w:r>
              <w:rPr>
                <w:rFonts w:eastAsia="等线" w:cs="Times New Roman"/>
                <w:color w:val="000000"/>
                <w:kern w:val="0"/>
                <w:szCs w:val="21"/>
              </w:rPr>
              <w:t>——</w:t>
            </w:r>
            <w:r>
              <w:rPr>
                <w:rFonts w:hint="eastAsia" w:ascii="宋体" w:hAnsi="宋体" w:cs="Times New Roman"/>
                <w:color w:val="000000"/>
                <w:kern w:val="0"/>
                <w:szCs w:val="21"/>
              </w:rPr>
              <w:t>债券总承销</w:t>
            </w:r>
            <w:r>
              <w:rPr>
                <w:rFonts w:eastAsia="等线" w:cs="Times New Roman"/>
                <w:color w:val="000000"/>
                <w:kern w:val="0"/>
                <w:szCs w:val="21"/>
              </w:rPr>
              <w:t>——</w:t>
            </w:r>
            <w:r>
              <w:rPr>
                <w:rFonts w:hint="eastAsia" w:ascii="宋体" w:hAnsi="宋体" w:cs="Times New Roman"/>
                <w:color w:val="000000"/>
                <w:kern w:val="0"/>
                <w:szCs w:val="21"/>
              </w:rPr>
              <w:t>只数；（</w:t>
            </w:r>
            <w:r>
              <w:rPr>
                <w:rFonts w:eastAsia="等线" w:cs="Times New Roman"/>
                <w:color w:val="000000"/>
                <w:kern w:val="0"/>
                <w:szCs w:val="21"/>
              </w:rPr>
              <w:t>2</w:t>
            </w:r>
            <w:r>
              <w:rPr>
                <w:rFonts w:hint="eastAsia" w:ascii="宋体" w:hAnsi="宋体" w:cs="Times New Roman"/>
                <w:color w:val="000000"/>
                <w:kern w:val="0"/>
                <w:szCs w:val="21"/>
              </w:rPr>
              <w:t>）推迟和取消发行只数：债券</w:t>
            </w:r>
            <w:r>
              <w:rPr>
                <w:rFonts w:eastAsia="等线" w:cs="Times New Roman"/>
                <w:color w:val="000000"/>
                <w:kern w:val="0"/>
                <w:szCs w:val="21"/>
              </w:rPr>
              <w:t>-</w:t>
            </w:r>
            <w:r>
              <w:rPr>
                <w:rFonts w:hint="eastAsia" w:ascii="宋体" w:hAnsi="宋体" w:cs="Times New Roman"/>
                <w:color w:val="000000"/>
                <w:kern w:val="0"/>
                <w:szCs w:val="21"/>
              </w:rPr>
              <w:t>专题统计</w:t>
            </w:r>
            <w:r>
              <w:rPr>
                <w:rFonts w:eastAsia="等线" w:cs="Times New Roman"/>
                <w:color w:val="000000"/>
                <w:kern w:val="0"/>
                <w:szCs w:val="21"/>
              </w:rPr>
              <w:t>-</w:t>
            </w:r>
            <w:r>
              <w:rPr>
                <w:rFonts w:hint="eastAsia" w:ascii="宋体" w:hAnsi="宋体" w:cs="Times New Roman"/>
                <w:color w:val="000000"/>
                <w:kern w:val="0"/>
                <w:szCs w:val="21"/>
              </w:rPr>
              <w:t>一级市场</w:t>
            </w:r>
            <w:r>
              <w:rPr>
                <w:rFonts w:eastAsia="等线" w:cs="Times New Roman"/>
                <w:color w:val="000000"/>
                <w:kern w:val="0"/>
                <w:szCs w:val="21"/>
              </w:rPr>
              <w:t>-</w:t>
            </w:r>
            <w:r>
              <w:rPr>
                <w:rFonts w:hint="eastAsia" w:ascii="宋体" w:hAnsi="宋体" w:cs="Times New Roman"/>
                <w:color w:val="000000"/>
                <w:kern w:val="0"/>
                <w:szCs w:val="21"/>
              </w:rPr>
              <w:t>新券发行</w:t>
            </w:r>
            <w:r>
              <w:rPr>
                <w:rFonts w:eastAsia="等线" w:cs="Times New Roman"/>
                <w:color w:val="000000"/>
                <w:kern w:val="0"/>
                <w:szCs w:val="21"/>
              </w:rPr>
              <w:t>-</w:t>
            </w:r>
            <w:r>
              <w:rPr>
                <w:rFonts w:hint="eastAsia" w:ascii="宋体" w:hAnsi="宋体" w:cs="Times New Roman"/>
                <w:color w:val="000000"/>
                <w:kern w:val="0"/>
                <w:szCs w:val="21"/>
              </w:rPr>
              <w:t>推迟或取消发行债券</w:t>
            </w:r>
            <w:r>
              <w:rPr>
                <w:rFonts w:eastAsia="等线" w:cs="Times New Roman"/>
                <w:color w:val="000000"/>
                <w:kern w:val="0"/>
                <w:szCs w:val="21"/>
              </w:rPr>
              <w:t>——</w:t>
            </w:r>
            <w:r>
              <w:rPr>
                <w:rFonts w:hint="eastAsia" w:ascii="宋体" w:hAnsi="宋体" w:cs="Times New Roman"/>
                <w:color w:val="000000"/>
                <w:kern w:val="0"/>
                <w:szCs w:val="21"/>
              </w:rPr>
              <w:t>起始日期：</w:t>
            </w:r>
            <w:r>
              <w:rPr>
                <w:rFonts w:eastAsia="等线" w:cs="Times New Roman"/>
                <w:color w:val="000000"/>
                <w:kern w:val="0"/>
                <w:szCs w:val="21"/>
              </w:rPr>
              <w:t>2020</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日；截止日期：</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日；债券类型：债券分类（</w:t>
            </w:r>
            <w:r>
              <w:rPr>
                <w:rFonts w:eastAsia="等线" w:cs="Times New Roman"/>
                <w:color w:val="000000"/>
                <w:kern w:val="0"/>
                <w:szCs w:val="21"/>
              </w:rPr>
              <w:t>Wind</w:t>
            </w:r>
            <w:r>
              <w:rPr>
                <w:rFonts w:hint="eastAsia" w:ascii="宋体" w:hAnsi="宋体" w:cs="Times New Roman"/>
                <w:color w:val="000000"/>
                <w:kern w:val="0"/>
                <w:szCs w:val="21"/>
              </w:rPr>
              <w:t>）</w:t>
            </w:r>
            <w:r>
              <w:rPr>
                <w:rFonts w:eastAsia="等线" w:cs="Times New Roman"/>
                <w:color w:val="000000"/>
                <w:kern w:val="0"/>
                <w:szCs w:val="21"/>
              </w:rPr>
              <w:t>-</w:t>
            </w:r>
            <w:r>
              <w:rPr>
                <w:rFonts w:hint="eastAsia" w:ascii="宋体" w:hAnsi="宋体" w:cs="Times New Roman"/>
                <w:color w:val="000000"/>
                <w:kern w:val="0"/>
                <w:szCs w:val="21"/>
              </w:rPr>
              <w:t>公司债；上市地点：全部市场；勾选对应的事件类型；数据筛选主承销商</w:t>
            </w:r>
            <w:r>
              <w:rPr>
                <w:rFonts w:eastAsia="等线" w:cs="Times New Roman"/>
                <w:color w:val="000000"/>
                <w:kern w:val="0"/>
                <w:szCs w:val="21"/>
              </w:rPr>
              <w:t>——</w:t>
            </w:r>
            <w:r>
              <w:rPr>
                <w:rFonts w:hint="eastAsia" w:ascii="宋体" w:hAnsi="宋体" w:cs="Times New Roman"/>
                <w:color w:val="000000"/>
                <w:kern w:val="0"/>
                <w:szCs w:val="21"/>
              </w:rPr>
              <w:t>统计对应只数）</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72" w:type="pct"/>
            <w:vMerge w:val="restar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3</w:t>
            </w:r>
          </w:p>
        </w:tc>
        <w:tc>
          <w:tcPr>
            <w:tcW w:w="410" w:type="pct"/>
            <w:vMerge w:val="restar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定价能力</w:t>
            </w:r>
          </w:p>
        </w:tc>
        <w:tc>
          <w:tcPr>
            <w:tcW w:w="425" w:type="pct"/>
            <w:vMerge w:val="restar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15</w:t>
            </w:r>
            <w:r>
              <w:rPr>
                <w:rFonts w:hint="eastAsia" w:ascii="宋体" w:hAnsi="宋体" w:cs="Times New Roman"/>
                <w:color w:val="000000"/>
                <w:kern w:val="0"/>
                <w:szCs w:val="21"/>
              </w:rPr>
              <w:t>分</w:t>
            </w: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投标人作为主承销商在</w:t>
            </w:r>
            <w:r>
              <w:rPr>
                <w:rFonts w:eastAsia="等线" w:cs="Times New Roman"/>
                <w:color w:val="000000"/>
                <w:kern w:val="0"/>
                <w:szCs w:val="21"/>
              </w:rPr>
              <w:t>2022</w:t>
            </w:r>
            <w:r>
              <w:rPr>
                <w:rFonts w:hint="eastAsia" w:ascii="宋体" w:hAnsi="宋体" w:cs="Times New Roman"/>
                <w:color w:val="000000"/>
                <w:kern w:val="0"/>
                <w:szCs w:val="21"/>
              </w:rPr>
              <w:t>年度（以发行起始日为准）在浙江省范围内承销的主体评级为</w:t>
            </w:r>
            <w:r>
              <w:rPr>
                <w:rFonts w:eastAsia="等线" w:cs="Times New Roman"/>
                <w:color w:val="000000"/>
                <w:kern w:val="0"/>
                <w:szCs w:val="21"/>
              </w:rPr>
              <w:t>AA</w:t>
            </w:r>
            <w:r>
              <w:rPr>
                <w:rFonts w:hint="eastAsia" w:ascii="宋体" w:hAnsi="宋体" w:cs="Times New Roman"/>
                <w:color w:val="000000"/>
                <w:kern w:val="0"/>
                <w:szCs w:val="21"/>
              </w:rPr>
              <w:t>、无增信措施、</w:t>
            </w:r>
            <w:r>
              <w:rPr>
                <w:rFonts w:eastAsia="等线" w:cs="Times New Roman"/>
                <w:color w:val="000000"/>
                <w:kern w:val="0"/>
                <w:szCs w:val="21"/>
              </w:rPr>
              <w:t>3</w:t>
            </w:r>
            <w:r>
              <w:rPr>
                <w:rFonts w:hint="eastAsia" w:ascii="宋体" w:hAnsi="宋体" w:cs="Times New Roman"/>
                <w:color w:val="000000"/>
                <w:kern w:val="0"/>
                <w:szCs w:val="21"/>
              </w:rPr>
              <w:t>年期及以上的公司债发行时票面利率最低的</w:t>
            </w:r>
            <w:r>
              <w:rPr>
                <w:rFonts w:eastAsia="等线" w:cs="Times New Roman"/>
                <w:color w:val="000000"/>
                <w:kern w:val="0"/>
                <w:szCs w:val="21"/>
              </w:rPr>
              <w:t>3</w:t>
            </w:r>
            <w:r>
              <w:rPr>
                <w:rFonts w:hint="eastAsia" w:ascii="宋体" w:hAnsi="宋体" w:cs="Times New Roman"/>
                <w:color w:val="000000"/>
                <w:kern w:val="0"/>
                <w:szCs w:val="21"/>
              </w:rPr>
              <w:t>只的平均票面利率的情况评分：评分范围为发行时主体评级为</w:t>
            </w:r>
            <w:r>
              <w:rPr>
                <w:rFonts w:eastAsia="等线" w:cs="Times New Roman"/>
                <w:color w:val="000000"/>
                <w:kern w:val="0"/>
                <w:szCs w:val="21"/>
              </w:rPr>
              <w:t>AA</w:t>
            </w:r>
            <w:r>
              <w:rPr>
                <w:rFonts w:hint="eastAsia" w:ascii="宋体" w:hAnsi="宋体" w:cs="Times New Roman"/>
                <w:color w:val="000000"/>
                <w:kern w:val="0"/>
                <w:szCs w:val="21"/>
              </w:rPr>
              <w:t>、无增信措施、期限为</w:t>
            </w:r>
            <w:r>
              <w:rPr>
                <w:rFonts w:eastAsia="等线" w:cs="Times New Roman"/>
                <w:color w:val="000000"/>
                <w:kern w:val="0"/>
                <w:szCs w:val="21"/>
              </w:rPr>
              <w:t>3</w:t>
            </w:r>
            <w:r>
              <w:rPr>
                <w:rFonts w:hint="eastAsia" w:ascii="宋体" w:hAnsi="宋体" w:cs="Times New Roman"/>
                <w:color w:val="000000"/>
                <w:kern w:val="0"/>
                <w:szCs w:val="21"/>
              </w:rPr>
              <w:t>年及以上地方国有企业成功发行公司债券票面利率最低的</w:t>
            </w:r>
            <w:r>
              <w:rPr>
                <w:rFonts w:eastAsia="等线" w:cs="Times New Roman"/>
                <w:color w:val="000000"/>
                <w:kern w:val="0"/>
                <w:szCs w:val="21"/>
              </w:rPr>
              <w:t>3</w:t>
            </w:r>
            <w:r>
              <w:rPr>
                <w:rFonts w:hint="eastAsia" w:ascii="宋体" w:hAnsi="宋体" w:cs="Times New Roman"/>
                <w:color w:val="000000"/>
                <w:kern w:val="0"/>
                <w:szCs w:val="21"/>
              </w:rPr>
              <w:t>只案例，并计算该</w:t>
            </w:r>
            <w:r>
              <w:rPr>
                <w:rFonts w:eastAsia="等线" w:cs="Times New Roman"/>
                <w:color w:val="000000"/>
                <w:kern w:val="0"/>
                <w:szCs w:val="21"/>
              </w:rPr>
              <w:t>3</w:t>
            </w:r>
            <w:r>
              <w:rPr>
                <w:rFonts w:hint="eastAsia" w:ascii="宋体" w:hAnsi="宋体" w:cs="Times New Roman"/>
                <w:color w:val="000000"/>
                <w:kern w:val="0"/>
                <w:szCs w:val="21"/>
              </w:rPr>
              <w:t>只债券的平均票面利率。按平均票面利率从低到高依次排名，第一名得</w:t>
            </w:r>
            <w:r>
              <w:rPr>
                <w:rFonts w:eastAsia="等线" w:cs="Times New Roman"/>
                <w:color w:val="000000"/>
                <w:kern w:val="0"/>
                <w:szCs w:val="21"/>
              </w:rPr>
              <w:t>15</w:t>
            </w:r>
            <w:r>
              <w:rPr>
                <w:rFonts w:hint="eastAsia" w:ascii="宋体" w:hAnsi="宋体" w:cs="Times New Roman"/>
                <w:color w:val="000000"/>
                <w:kern w:val="0"/>
                <w:szCs w:val="21"/>
              </w:rPr>
              <w:t>分，排名下降一位扣</w:t>
            </w:r>
            <w:r>
              <w:rPr>
                <w:rFonts w:hint="eastAsia" w:eastAsia="等线" w:cs="Times New Roman"/>
                <w:color w:val="000000"/>
                <w:kern w:val="0"/>
                <w:szCs w:val="21"/>
              </w:rPr>
              <w:t>5</w:t>
            </w:r>
            <w:r>
              <w:rPr>
                <w:rFonts w:hint="eastAsia" w:ascii="宋体" w:hAnsi="宋体" w:cs="Times New Roman"/>
                <w:color w:val="000000"/>
                <w:kern w:val="0"/>
                <w:szCs w:val="21"/>
              </w:rPr>
              <w:t>分，扣完为止；不及</w:t>
            </w:r>
            <w:r>
              <w:rPr>
                <w:rFonts w:eastAsia="等线" w:cs="Times New Roman"/>
                <w:color w:val="000000"/>
                <w:kern w:val="0"/>
                <w:szCs w:val="21"/>
              </w:rPr>
              <w:t>3</w:t>
            </w:r>
            <w:r>
              <w:rPr>
                <w:rFonts w:hint="eastAsia" w:ascii="宋体" w:hAnsi="宋体" w:cs="Times New Roman"/>
                <w:color w:val="000000"/>
                <w:kern w:val="0"/>
                <w:szCs w:val="21"/>
              </w:rPr>
              <w:t>只的计算相应只数的算术平均值，无上述要素债券成功发行情况的投标人不得分。</w:t>
            </w:r>
          </w:p>
        </w:tc>
        <w:tc>
          <w:tcPr>
            <w:tcW w:w="609" w:type="pct"/>
            <w:vMerge w:val="restar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提供</w:t>
            </w:r>
            <w:r>
              <w:rPr>
                <w:rFonts w:eastAsia="等线" w:cs="Times New Roman"/>
                <w:color w:val="000000"/>
                <w:kern w:val="0"/>
                <w:szCs w:val="21"/>
              </w:rPr>
              <w:t>WIND</w:t>
            </w:r>
            <w:r>
              <w:rPr>
                <w:rFonts w:hint="eastAsia" w:ascii="宋体" w:hAnsi="宋体" w:cs="Times New Roman"/>
                <w:color w:val="000000"/>
                <w:kern w:val="0"/>
                <w:szCs w:val="21"/>
              </w:rPr>
              <w:t>页面查询截图、平均票面利率计算表并加盖投标人公章，以采购人查询</w:t>
            </w:r>
            <w:r>
              <w:rPr>
                <w:rFonts w:eastAsia="等线" w:cs="Times New Roman"/>
                <w:color w:val="000000"/>
                <w:kern w:val="0"/>
                <w:szCs w:val="21"/>
              </w:rPr>
              <w:t>WIND</w:t>
            </w:r>
            <w:r>
              <w:rPr>
                <w:rFonts w:hint="eastAsia" w:ascii="宋体" w:hAnsi="宋体" w:cs="Times New Roman"/>
                <w:color w:val="000000"/>
                <w:kern w:val="0"/>
                <w:szCs w:val="21"/>
              </w:rPr>
              <w:t>相关统计数据为准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eastAsia="等线" w:cs="Times New Roman"/>
                <w:color w:val="000000"/>
                <w:kern w:val="0"/>
                <w:szCs w:val="21"/>
              </w:rPr>
              <w:t>*</w:t>
            </w:r>
            <w:r>
              <w:rPr>
                <w:rFonts w:hint="eastAsia" w:ascii="宋体" w:hAnsi="宋体" w:cs="Times New Roman"/>
                <w:color w:val="000000"/>
                <w:kern w:val="0"/>
                <w:szCs w:val="21"/>
              </w:rPr>
              <w:t>投标人提供作为主承销商在</w:t>
            </w:r>
            <w:r>
              <w:rPr>
                <w:rFonts w:eastAsia="等线" w:cs="Times New Roman"/>
                <w:color w:val="000000"/>
                <w:kern w:val="0"/>
                <w:szCs w:val="21"/>
              </w:rPr>
              <w:t>2022</w:t>
            </w:r>
            <w:r>
              <w:rPr>
                <w:rFonts w:hint="eastAsia" w:ascii="宋体" w:hAnsi="宋体" w:cs="Times New Roman"/>
                <w:color w:val="000000"/>
                <w:kern w:val="0"/>
                <w:szCs w:val="21"/>
              </w:rPr>
              <w:t>年度（以发行起始日为准）成功发行浙江省范围内主体评级为</w:t>
            </w:r>
            <w:r>
              <w:rPr>
                <w:rFonts w:eastAsia="等线" w:cs="Times New Roman"/>
                <w:color w:val="000000"/>
                <w:kern w:val="0"/>
                <w:szCs w:val="21"/>
              </w:rPr>
              <w:t>AA</w:t>
            </w:r>
            <w:r>
              <w:rPr>
                <w:rFonts w:hint="eastAsia" w:ascii="宋体" w:hAnsi="宋体" w:cs="Times New Roman"/>
                <w:color w:val="000000"/>
                <w:kern w:val="0"/>
                <w:szCs w:val="21"/>
              </w:rPr>
              <w:t>、无增信措施、</w:t>
            </w:r>
            <w:r>
              <w:rPr>
                <w:rFonts w:eastAsia="等线" w:cs="Times New Roman"/>
                <w:color w:val="000000"/>
                <w:kern w:val="0"/>
                <w:szCs w:val="21"/>
              </w:rPr>
              <w:t>3</w:t>
            </w:r>
            <w:r>
              <w:rPr>
                <w:rFonts w:hint="eastAsia" w:ascii="宋体" w:hAnsi="宋体" w:cs="Times New Roman"/>
                <w:color w:val="000000"/>
                <w:kern w:val="0"/>
                <w:szCs w:val="21"/>
              </w:rPr>
              <w:t>年期及以上的公司债发行明细（</w:t>
            </w:r>
            <w:r>
              <w:rPr>
                <w:rFonts w:eastAsia="等线" w:cs="Times New Roman"/>
                <w:color w:val="000000"/>
                <w:kern w:val="0"/>
                <w:szCs w:val="21"/>
              </w:rPr>
              <w:t>Wind</w:t>
            </w:r>
            <w:r>
              <w:rPr>
                <w:rFonts w:hint="eastAsia" w:ascii="宋体" w:hAnsi="宋体" w:cs="Times New Roman"/>
                <w:color w:val="000000"/>
                <w:kern w:val="0"/>
                <w:szCs w:val="21"/>
              </w:rPr>
              <w:t>截图）及平均票面利率计算表。</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（数据来源：债券</w:t>
            </w:r>
            <w:r>
              <w:rPr>
                <w:rFonts w:eastAsia="等线" w:cs="Times New Roman"/>
                <w:color w:val="000000"/>
                <w:kern w:val="0"/>
                <w:szCs w:val="21"/>
              </w:rPr>
              <w:t>-</w:t>
            </w:r>
            <w:r>
              <w:rPr>
                <w:rFonts w:hint="eastAsia" w:ascii="宋体" w:hAnsi="宋体" w:cs="Times New Roman"/>
                <w:color w:val="000000"/>
                <w:kern w:val="0"/>
                <w:szCs w:val="21"/>
              </w:rPr>
              <w:t>多维数据</w:t>
            </w:r>
            <w:r>
              <w:rPr>
                <w:rFonts w:eastAsia="等线" w:cs="Times New Roman"/>
                <w:color w:val="000000"/>
                <w:kern w:val="0"/>
                <w:szCs w:val="21"/>
              </w:rPr>
              <w:t>-</w:t>
            </w:r>
            <w:r>
              <w:rPr>
                <w:rFonts w:hint="eastAsia" w:ascii="宋体" w:hAnsi="宋体" w:cs="Times New Roman"/>
                <w:color w:val="000000"/>
                <w:kern w:val="0"/>
                <w:szCs w:val="21"/>
              </w:rPr>
              <w:t>数据浏览器</w:t>
            </w:r>
            <w:r>
              <w:rPr>
                <w:rFonts w:eastAsia="等线" w:cs="Times New Roman"/>
                <w:color w:val="000000"/>
                <w:kern w:val="0"/>
                <w:szCs w:val="21"/>
              </w:rPr>
              <w:t>-</w:t>
            </w:r>
            <w:r>
              <w:rPr>
                <w:rFonts w:hint="eastAsia" w:ascii="宋体" w:hAnsi="宋体" w:cs="Times New Roman"/>
                <w:color w:val="000000"/>
                <w:kern w:val="0"/>
                <w:szCs w:val="21"/>
              </w:rPr>
              <w:t>选取债务主体中文名称、上市首日公司属性、发行起始日、发行总额、债券期限（年）票面利率（发行时）、发行时主体评级、发行时债项评级、主承销商、担保人、省份；勾选债券分类（</w:t>
            </w:r>
            <w:r>
              <w:rPr>
                <w:rFonts w:eastAsia="等线" w:cs="Times New Roman"/>
                <w:color w:val="000000"/>
                <w:kern w:val="0"/>
                <w:szCs w:val="21"/>
              </w:rPr>
              <w:t>Wind</w:t>
            </w:r>
            <w:r>
              <w:rPr>
                <w:rFonts w:hint="eastAsia" w:ascii="宋体" w:hAnsi="宋体" w:cs="Times New Roman"/>
                <w:color w:val="000000"/>
                <w:kern w:val="0"/>
                <w:szCs w:val="21"/>
              </w:rPr>
              <w:t>）</w:t>
            </w:r>
            <w:r>
              <w:rPr>
                <w:rFonts w:eastAsia="等线" w:cs="Times New Roman"/>
                <w:color w:val="000000"/>
                <w:kern w:val="0"/>
                <w:szCs w:val="21"/>
              </w:rPr>
              <w:t>-</w:t>
            </w:r>
            <w:r>
              <w:rPr>
                <w:rFonts w:hint="eastAsia" w:ascii="宋体" w:hAnsi="宋体" w:cs="Times New Roman"/>
                <w:color w:val="000000"/>
                <w:kern w:val="0"/>
                <w:szCs w:val="21"/>
              </w:rPr>
              <w:t>公司债；筛选发行起始日为</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日；筛选发行时主体评级</w:t>
            </w:r>
            <w:r>
              <w:rPr>
                <w:rFonts w:eastAsia="等线" w:cs="Times New Roman"/>
                <w:color w:val="000000"/>
                <w:kern w:val="0"/>
                <w:szCs w:val="21"/>
              </w:rPr>
              <w:t>AA</w:t>
            </w:r>
            <w:r>
              <w:rPr>
                <w:rFonts w:hint="eastAsia" w:ascii="宋体" w:hAnsi="宋体" w:cs="Times New Roman"/>
                <w:color w:val="000000"/>
                <w:kern w:val="0"/>
                <w:szCs w:val="21"/>
              </w:rPr>
              <w:t>；筛选担保人为（空白）；筛选债券期限（年）为</w:t>
            </w:r>
            <w:r>
              <w:rPr>
                <w:rFonts w:ascii="Cambria Math" w:hAnsi="Cambria Math" w:eastAsia="等线" w:cs="Times New Roman"/>
                <w:color w:val="000000"/>
                <w:kern w:val="0"/>
                <w:szCs w:val="21"/>
              </w:rPr>
              <w:t>≥</w:t>
            </w:r>
            <w:r>
              <w:rPr>
                <w:rFonts w:eastAsia="等线" w:cs="Times New Roman"/>
                <w:color w:val="000000"/>
                <w:kern w:val="0"/>
                <w:szCs w:val="21"/>
              </w:rPr>
              <w:t>3</w:t>
            </w:r>
            <w:r>
              <w:rPr>
                <w:rFonts w:hint="eastAsia" w:ascii="宋体" w:hAnsi="宋体" w:cs="Times New Roman"/>
                <w:color w:val="000000"/>
                <w:kern w:val="0"/>
                <w:szCs w:val="21"/>
              </w:rPr>
              <w:t>年）；筛选省份为浙江省；筛选对应主承销商；从低到高排列票面利率（发行时）并计算票面利率（发行时）最低的</w:t>
            </w:r>
            <w:r>
              <w:rPr>
                <w:rFonts w:eastAsia="等线" w:cs="Times New Roman"/>
                <w:color w:val="000000"/>
                <w:kern w:val="0"/>
                <w:szCs w:val="21"/>
              </w:rPr>
              <w:t>3</w:t>
            </w:r>
            <w:r>
              <w:rPr>
                <w:rFonts w:hint="eastAsia" w:ascii="宋体" w:hAnsi="宋体" w:cs="Times New Roman"/>
                <w:color w:val="000000"/>
                <w:kern w:val="0"/>
                <w:szCs w:val="21"/>
              </w:rPr>
              <w:t>只债券的平均票面利率）</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72" w:type="pct"/>
            <w:vMerge w:val="restart"/>
            <w:shd w:val="clear" w:color="auto" w:fill="auto"/>
            <w:noWrap/>
            <w:vAlign w:val="center"/>
          </w:tcPr>
          <w:p>
            <w:pPr>
              <w:jc w:val="center"/>
              <w:rPr>
                <w:rFonts w:eastAsia="等线" w:cs="Times New Roman"/>
                <w:color w:val="000000"/>
                <w:kern w:val="0"/>
                <w:szCs w:val="21"/>
              </w:rPr>
            </w:pPr>
            <w:bookmarkStart w:id="35" w:name="_Hlk135072649"/>
            <w:r>
              <w:rPr>
                <w:rFonts w:eastAsia="等线" w:cs="Times New Roman"/>
                <w:color w:val="000000"/>
                <w:kern w:val="0"/>
                <w:szCs w:val="21"/>
              </w:rPr>
              <w:t>4</w:t>
            </w:r>
          </w:p>
        </w:tc>
        <w:tc>
          <w:tcPr>
            <w:tcW w:w="410" w:type="pct"/>
            <w:vMerge w:val="restart"/>
            <w:shd w:val="clear" w:color="auto" w:fill="auto"/>
            <w:vAlign w:val="center"/>
          </w:tcPr>
          <w:p>
            <w:pPr>
              <w:jc w:val="center"/>
              <w:rPr>
                <w:rFonts w:eastAsia="等线" w:cs="Times New Roman"/>
                <w:color w:val="000000"/>
                <w:kern w:val="0"/>
                <w:szCs w:val="21"/>
              </w:rPr>
            </w:pPr>
            <w:bookmarkStart w:id="36" w:name="_Hlk135070405"/>
            <w:r>
              <w:rPr>
                <w:rFonts w:hint="eastAsia" w:ascii="宋体" w:hAnsi="宋体" w:cs="Times New Roman"/>
                <w:color w:val="000000"/>
                <w:kern w:val="0"/>
                <w:szCs w:val="21"/>
              </w:rPr>
              <w:t>同类型主体的承销经验</w:t>
            </w:r>
            <w:bookmarkEnd w:id="36"/>
          </w:p>
        </w:tc>
        <w:tc>
          <w:tcPr>
            <w:tcW w:w="425" w:type="pct"/>
            <w:vMerge w:val="restar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10</w:t>
            </w:r>
            <w:r>
              <w:rPr>
                <w:rFonts w:hint="eastAsia" w:ascii="宋体" w:hAnsi="宋体" w:cs="Times New Roman"/>
                <w:color w:val="000000"/>
                <w:kern w:val="0"/>
                <w:szCs w:val="21"/>
              </w:rPr>
              <w:t>分</w:t>
            </w: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投标人作为主承销商在</w:t>
            </w:r>
            <w:r>
              <w:rPr>
                <w:rFonts w:eastAsia="等线" w:cs="Times New Roman"/>
                <w:color w:val="000000"/>
                <w:kern w:val="0"/>
                <w:szCs w:val="21"/>
              </w:rPr>
              <w:t>2022</w:t>
            </w:r>
            <w:r>
              <w:rPr>
                <w:rFonts w:hint="eastAsia" w:ascii="宋体" w:hAnsi="宋体" w:cs="Times New Roman"/>
                <w:color w:val="000000"/>
                <w:kern w:val="0"/>
                <w:szCs w:val="21"/>
              </w:rPr>
              <w:t>年度（以发行起始日为准）在全国范围内承销的主体评级为</w:t>
            </w:r>
            <w:r>
              <w:rPr>
                <w:rFonts w:eastAsia="等线" w:cs="Times New Roman"/>
                <w:color w:val="000000"/>
                <w:kern w:val="0"/>
                <w:szCs w:val="21"/>
              </w:rPr>
              <w:t>AA</w:t>
            </w:r>
            <w:r>
              <w:rPr>
                <w:rFonts w:hint="eastAsia" w:ascii="宋体" w:hAnsi="宋体" w:cs="Times New Roman"/>
                <w:color w:val="000000"/>
                <w:kern w:val="0"/>
                <w:szCs w:val="21"/>
              </w:rPr>
              <w:t>的公司债承销规模占该投标人同期公司债总承销规模的比例评分：</w:t>
            </w:r>
          </w:p>
        </w:tc>
        <w:tc>
          <w:tcPr>
            <w:tcW w:w="609" w:type="pct"/>
            <w:vMerge w:val="restar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提供</w:t>
            </w:r>
            <w:r>
              <w:rPr>
                <w:rFonts w:eastAsia="等线" w:cs="Times New Roman"/>
                <w:color w:val="000000"/>
                <w:kern w:val="0"/>
                <w:szCs w:val="21"/>
              </w:rPr>
              <w:t>WIND</w:t>
            </w:r>
            <w:r>
              <w:rPr>
                <w:rFonts w:hint="eastAsia" w:ascii="宋体" w:hAnsi="宋体" w:cs="Times New Roman"/>
                <w:color w:val="000000"/>
                <w:kern w:val="0"/>
                <w:szCs w:val="21"/>
              </w:rPr>
              <w:t>页面查询截图、规模比例计算表并加盖投标人公章，以采购人查询</w:t>
            </w:r>
            <w:r>
              <w:rPr>
                <w:rFonts w:eastAsia="等线" w:cs="Times New Roman"/>
                <w:color w:val="000000"/>
                <w:kern w:val="0"/>
                <w:szCs w:val="21"/>
              </w:rPr>
              <w:t>WIND</w:t>
            </w:r>
            <w:r>
              <w:rPr>
                <w:rFonts w:hint="eastAsia" w:ascii="宋体" w:hAnsi="宋体" w:cs="Times New Roman"/>
                <w:color w:val="000000"/>
                <w:kern w:val="0"/>
                <w:szCs w:val="21"/>
              </w:rPr>
              <w:t>相关统计数据为准</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1</w:t>
            </w:r>
            <w:r>
              <w:rPr>
                <w:rFonts w:hint="eastAsia" w:ascii="宋体" w:hAnsi="宋体" w:cs="Times New Roman"/>
                <w:color w:val="000000"/>
                <w:kern w:val="0"/>
                <w:szCs w:val="21"/>
              </w:rPr>
              <w:t>）</w:t>
            </w:r>
            <w:r>
              <w:rPr>
                <w:rFonts w:eastAsia="等线" w:cs="Times New Roman"/>
                <w:color w:val="000000"/>
                <w:kern w:val="0"/>
                <w:szCs w:val="21"/>
              </w:rPr>
              <w:t>40.00%</w:t>
            </w:r>
            <w:r>
              <w:rPr>
                <w:rFonts w:hint="eastAsia" w:ascii="宋体" w:hAnsi="宋体" w:cs="Times New Roman"/>
                <w:color w:val="000000"/>
                <w:kern w:val="0"/>
                <w:szCs w:val="21"/>
              </w:rPr>
              <w:t>＜规模比例，得</w:t>
            </w:r>
            <w:r>
              <w:rPr>
                <w:rFonts w:eastAsia="等线" w:cs="Times New Roman"/>
                <w:color w:val="000000"/>
                <w:kern w:val="0"/>
                <w:szCs w:val="21"/>
              </w:rPr>
              <w:t>10</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2</w:t>
            </w:r>
            <w:r>
              <w:rPr>
                <w:rFonts w:hint="eastAsia" w:ascii="宋体" w:hAnsi="宋体" w:cs="Times New Roman"/>
                <w:color w:val="000000"/>
                <w:kern w:val="0"/>
                <w:szCs w:val="21"/>
              </w:rPr>
              <w:t>）</w:t>
            </w:r>
            <w:r>
              <w:rPr>
                <w:rFonts w:eastAsia="等线" w:cs="Times New Roman"/>
                <w:color w:val="000000"/>
                <w:kern w:val="0"/>
                <w:szCs w:val="21"/>
              </w:rPr>
              <w:t>30.00%</w:t>
            </w:r>
            <w:r>
              <w:rPr>
                <w:rFonts w:hint="eastAsia" w:ascii="宋体" w:hAnsi="宋体" w:cs="Times New Roman"/>
                <w:color w:val="000000"/>
                <w:kern w:val="0"/>
                <w:szCs w:val="21"/>
              </w:rPr>
              <w:t>＜规模比例≤</w:t>
            </w:r>
            <w:r>
              <w:rPr>
                <w:rFonts w:eastAsia="等线" w:cs="Times New Roman"/>
                <w:color w:val="000000"/>
                <w:kern w:val="0"/>
                <w:szCs w:val="21"/>
              </w:rPr>
              <w:t>40.00%</w:t>
            </w:r>
            <w:r>
              <w:rPr>
                <w:rFonts w:hint="eastAsia" w:ascii="宋体" w:hAnsi="宋体" w:cs="Times New Roman"/>
                <w:color w:val="000000"/>
                <w:kern w:val="0"/>
                <w:szCs w:val="21"/>
              </w:rPr>
              <w:t>，得</w:t>
            </w:r>
            <w:r>
              <w:rPr>
                <w:rFonts w:eastAsia="等线" w:cs="Times New Roman"/>
                <w:color w:val="000000"/>
                <w:kern w:val="0"/>
                <w:szCs w:val="21"/>
              </w:rPr>
              <w:t>5</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3</w:t>
            </w:r>
            <w:r>
              <w:rPr>
                <w:rFonts w:hint="eastAsia" w:ascii="宋体" w:hAnsi="宋体" w:cs="Times New Roman"/>
                <w:color w:val="000000"/>
                <w:kern w:val="0"/>
                <w:szCs w:val="21"/>
              </w:rPr>
              <w:t>）</w:t>
            </w:r>
            <w:r>
              <w:rPr>
                <w:rFonts w:eastAsia="等线" w:cs="Times New Roman"/>
                <w:color w:val="000000"/>
                <w:kern w:val="0"/>
                <w:szCs w:val="21"/>
              </w:rPr>
              <w:t>20.00%</w:t>
            </w:r>
            <w:r>
              <w:rPr>
                <w:rFonts w:hint="eastAsia" w:ascii="宋体" w:hAnsi="宋体" w:cs="Times New Roman"/>
                <w:color w:val="000000"/>
                <w:kern w:val="0"/>
                <w:szCs w:val="21"/>
              </w:rPr>
              <w:t>＜规模比例≤</w:t>
            </w:r>
            <w:r>
              <w:rPr>
                <w:rFonts w:eastAsia="等线" w:cs="Times New Roman"/>
                <w:color w:val="000000"/>
                <w:kern w:val="0"/>
                <w:szCs w:val="21"/>
              </w:rPr>
              <w:t>30.00%</w:t>
            </w:r>
            <w:r>
              <w:rPr>
                <w:rFonts w:hint="eastAsia" w:ascii="宋体" w:hAnsi="宋体" w:cs="Times New Roman"/>
                <w:color w:val="000000"/>
                <w:kern w:val="0"/>
                <w:szCs w:val="21"/>
              </w:rPr>
              <w:t>，得</w:t>
            </w:r>
            <w:r>
              <w:rPr>
                <w:rFonts w:eastAsia="等线" w:cs="Times New Roman"/>
                <w:color w:val="000000"/>
                <w:kern w:val="0"/>
                <w:szCs w:val="21"/>
              </w:rPr>
              <w:t>3</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4</w:t>
            </w:r>
            <w:r>
              <w:rPr>
                <w:rFonts w:hint="eastAsia" w:ascii="宋体" w:hAnsi="宋体" w:cs="Times New Roman"/>
                <w:color w:val="000000"/>
                <w:kern w:val="0"/>
                <w:szCs w:val="21"/>
              </w:rPr>
              <w:t>）</w:t>
            </w:r>
            <w:r>
              <w:rPr>
                <w:rFonts w:eastAsia="等线" w:cs="Times New Roman"/>
                <w:color w:val="000000"/>
                <w:kern w:val="0"/>
                <w:szCs w:val="21"/>
              </w:rPr>
              <w:t>10.00%&lt;</w:t>
            </w:r>
            <w:r>
              <w:rPr>
                <w:rFonts w:hint="eastAsia" w:ascii="宋体" w:hAnsi="宋体" w:cs="Times New Roman"/>
                <w:color w:val="000000"/>
                <w:kern w:val="0"/>
                <w:szCs w:val="21"/>
              </w:rPr>
              <w:t>规模比例≤</w:t>
            </w:r>
            <w:r>
              <w:rPr>
                <w:rFonts w:eastAsia="等线" w:cs="Times New Roman"/>
                <w:color w:val="000000"/>
                <w:kern w:val="0"/>
                <w:szCs w:val="21"/>
              </w:rPr>
              <w:t>20.00%</w:t>
            </w:r>
            <w:r>
              <w:rPr>
                <w:rFonts w:hint="eastAsia" w:ascii="宋体" w:hAnsi="宋体" w:cs="Times New Roman"/>
                <w:color w:val="000000"/>
                <w:kern w:val="0"/>
                <w:szCs w:val="21"/>
              </w:rPr>
              <w:t>，得</w:t>
            </w:r>
            <w:r>
              <w:rPr>
                <w:rFonts w:eastAsia="等线" w:cs="Times New Roman"/>
                <w:color w:val="000000"/>
                <w:kern w:val="0"/>
                <w:szCs w:val="21"/>
              </w:rPr>
              <w:t>1</w:t>
            </w:r>
            <w:r>
              <w:rPr>
                <w:rFonts w:hint="eastAsia" w:ascii="宋体" w:hAnsi="宋体" w:cs="Times New Roman"/>
                <w:color w:val="000000"/>
                <w:kern w:val="0"/>
                <w:szCs w:val="21"/>
              </w:rPr>
              <w:t>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w:t>
            </w:r>
            <w:r>
              <w:rPr>
                <w:rFonts w:eastAsia="等线" w:cs="Times New Roman"/>
                <w:color w:val="000000"/>
                <w:kern w:val="0"/>
                <w:szCs w:val="21"/>
              </w:rPr>
              <w:t>5</w:t>
            </w:r>
            <w:r>
              <w:rPr>
                <w:rFonts w:hint="eastAsia" w:ascii="宋体" w:hAnsi="宋体" w:cs="Times New Roman"/>
                <w:color w:val="000000"/>
                <w:kern w:val="0"/>
                <w:szCs w:val="21"/>
              </w:rPr>
              <w:t>）规模比例≤</w:t>
            </w:r>
            <w:r>
              <w:rPr>
                <w:rFonts w:eastAsia="等线" w:cs="Times New Roman"/>
                <w:color w:val="000000"/>
                <w:kern w:val="0"/>
                <w:szCs w:val="21"/>
              </w:rPr>
              <w:t>10.00%</w:t>
            </w:r>
            <w:r>
              <w:rPr>
                <w:rFonts w:hint="eastAsia" w:ascii="宋体" w:hAnsi="宋体" w:cs="Times New Roman"/>
                <w:color w:val="000000"/>
                <w:kern w:val="0"/>
                <w:szCs w:val="21"/>
              </w:rPr>
              <w:t>，不得分。</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r>
              <w:rPr>
                <w:rFonts w:eastAsia="等线" w:cs="Times New Roman"/>
                <w:color w:val="000000"/>
                <w:kern w:val="0"/>
                <w:szCs w:val="21"/>
              </w:rPr>
              <w:t>*</w:t>
            </w:r>
            <w:r>
              <w:rPr>
                <w:rFonts w:hint="eastAsia" w:ascii="宋体" w:hAnsi="宋体" w:cs="Times New Roman"/>
                <w:color w:val="000000"/>
                <w:kern w:val="0"/>
                <w:szCs w:val="21"/>
              </w:rPr>
              <w:t>规模比例</w:t>
            </w:r>
            <w:r>
              <w:rPr>
                <w:rFonts w:eastAsia="等线" w:cs="Times New Roman"/>
                <w:color w:val="000000"/>
                <w:kern w:val="0"/>
                <w:szCs w:val="21"/>
              </w:rPr>
              <w:t>=</w:t>
            </w:r>
            <w:r>
              <w:rPr>
                <w:rFonts w:hint="eastAsia" w:ascii="宋体" w:hAnsi="宋体" w:cs="Times New Roman"/>
                <w:color w:val="000000"/>
                <w:kern w:val="0"/>
                <w:szCs w:val="21"/>
              </w:rPr>
              <w:t>投标人</w:t>
            </w:r>
            <w:r>
              <w:rPr>
                <w:rFonts w:eastAsia="等线" w:cs="Times New Roman"/>
                <w:color w:val="000000"/>
                <w:kern w:val="0"/>
                <w:szCs w:val="21"/>
              </w:rPr>
              <w:t>2022</w:t>
            </w:r>
            <w:r>
              <w:rPr>
                <w:rFonts w:hint="eastAsia" w:ascii="宋体" w:hAnsi="宋体" w:cs="Times New Roman"/>
                <w:color w:val="000000"/>
                <w:kern w:val="0"/>
                <w:szCs w:val="21"/>
              </w:rPr>
              <w:t>年承销</w:t>
            </w:r>
            <w:r>
              <w:rPr>
                <w:rFonts w:eastAsia="等线" w:cs="Times New Roman"/>
                <w:color w:val="000000"/>
                <w:kern w:val="0"/>
                <w:szCs w:val="21"/>
              </w:rPr>
              <w:t>AA</w:t>
            </w:r>
            <w:r>
              <w:rPr>
                <w:rFonts w:hint="eastAsia" w:ascii="宋体" w:hAnsi="宋体" w:cs="Times New Roman"/>
                <w:color w:val="000000"/>
                <w:kern w:val="0"/>
                <w:szCs w:val="21"/>
              </w:rPr>
              <w:t>主体公司债发行总额</w:t>
            </w:r>
            <w:r>
              <w:rPr>
                <w:rFonts w:eastAsia="等线" w:cs="Times New Roman"/>
                <w:color w:val="000000"/>
                <w:kern w:val="0"/>
                <w:szCs w:val="21"/>
              </w:rPr>
              <w:t>/</w:t>
            </w:r>
            <w:r>
              <w:rPr>
                <w:rFonts w:hint="eastAsia" w:ascii="宋体" w:hAnsi="宋体" w:cs="Times New Roman"/>
                <w:color w:val="000000"/>
                <w:kern w:val="0"/>
                <w:szCs w:val="21"/>
              </w:rPr>
              <w:t>投标人</w:t>
            </w:r>
            <w:r>
              <w:rPr>
                <w:rFonts w:eastAsia="等线" w:cs="Times New Roman"/>
                <w:color w:val="000000"/>
                <w:kern w:val="0"/>
                <w:szCs w:val="21"/>
              </w:rPr>
              <w:t>2022</w:t>
            </w:r>
            <w:r>
              <w:rPr>
                <w:rFonts w:hint="eastAsia" w:ascii="宋体" w:hAnsi="宋体" w:cs="Times New Roman"/>
                <w:color w:val="000000"/>
                <w:kern w:val="0"/>
                <w:szCs w:val="21"/>
              </w:rPr>
              <w:t>年公司债承销总金额</w:t>
            </w:r>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272" w:type="pct"/>
            <w:vMerge w:val="continue"/>
            <w:vAlign w:val="center"/>
          </w:tcPr>
          <w:p>
            <w:pPr>
              <w:jc w:val="left"/>
              <w:rPr>
                <w:rFonts w:eastAsia="等线" w:cs="Times New Roman"/>
                <w:color w:val="000000"/>
                <w:kern w:val="0"/>
                <w:szCs w:val="21"/>
              </w:rPr>
            </w:pPr>
          </w:p>
        </w:tc>
        <w:tc>
          <w:tcPr>
            <w:tcW w:w="410" w:type="pct"/>
            <w:vMerge w:val="continue"/>
            <w:vAlign w:val="center"/>
          </w:tcPr>
          <w:p>
            <w:pPr>
              <w:jc w:val="left"/>
              <w:rPr>
                <w:rFonts w:eastAsia="等线" w:cs="Times New Roman"/>
                <w:color w:val="000000"/>
                <w:kern w:val="0"/>
                <w:szCs w:val="21"/>
              </w:rPr>
            </w:pPr>
          </w:p>
        </w:tc>
        <w:tc>
          <w:tcPr>
            <w:tcW w:w="425" w:type="pct"/>
            <w:vMerge w:val="continue"/>
            <w:vAlign w:val="center"/>
          </w:tcPr>
          <w:p>
            <w:pPr>
              <w:jc w:val="left"/>
              <w:rPr>
                <w:rFonts w:eastAsia="等线" w:cs="Times New Roman"/>
                <w:color w:val="000000"/>
                <w:kern w:val="0"/>
                <w:szCs w:val="21"/>
              </w:rPr>
            </w:pPr>
          </w:p>
        </w:tc>
        <w:tc>
          <w:tcPr>
            <w:tcW w:w="3284" w:type="pct"/>
            <w:shd w:val="clear" w:color="auto" w:fill="auto"/>
            <w:vAlign w:val="center"/>
          </w:tcPr>
          <w:p>
            <w:pPr>
              <w:jc w:val="left"/>
              <w:rPr>
                <w:rFonts w:eastAsia="等线" w:cs="Times New Roman"/>
                <w:color w:val="000000"/>
                <w:kern w:val="0"/>
                <w:szCs w:val="21"/>
              </w:rPr>
            </w:pPr>
            <w:bookmarkStart w:id="37" w:name="RANGE!D32"/>
            <w:r>
              <w:rPr>
                <w:rFonts w:hint="eastAsia" w:ascii="宋体" w:hAnsi="宋体" w:cs="Times New Roman"/>
                <w:color w:val="000000"/>
                <w:kern w:val="0"/>
                <w:szCs w:val="21"/>
              </w:rPr>
              <w:t>（数据来源：（</w:t>
            </w:r>
            <w:r>
              <w:rPr>
                <w:rFonts w:eastAsia="等线" w:cs="Times New Roman"/>
                <w:color w:val="000000"/>
                <w:kern w:val="0"/>
                <w:szCs w:val="21"/>
              </w:rPr>
              <w:t>1</w:t>
            </w:r>
            <w:r>
              <w:rPr>
                <w:rFonts w:hint="eastAsia" w:ascii="宋体" w:hAnsi="宋体" w:cs="Times New Roman"/>
                <w:color w:val="000000"/>
                <w:kern w:val="0"/>
                <w:szCs w:val="21"/>
              </w:rPr>
              <w:t>）投标人</w:t>
            </w:r>
            <w:r>
              <w:rPr>
                <w:rFonts w:eastAsia="等线" w:cs="Times New Roman"/>
                <w:color w:val="000000"/>
                <w:kern w:val="0"/>
                <w:szCs w:val="21"/>
              </w:rPr>
              <w:t>2022</w:t>
            </w:r>
            <w:r>
              <w:rPr>
                <w:rFonts w:hint="eastAsia" w:ascii="宋体" w:hAnsi="宋体" w:cs="Times New Roman"/>
                <w:color w:val="000000"/>
                <w:kern w:val="0"/>
                <w:szCs w:val="21"/>
              </w:rPr>
              <w:t>年公司债承销总金额：债券</w:t>
            </w:r>
            <w:r>
              <w:rPr>
                <w:rFonts w:eastAsia="等线" w:cs="Times New Roman"/>
                <w:color w:val="000000"/>
                <w:kern w:val="0"/>
                <w:szCs w:val="21"/>
              </w:rPr>
              <w:t>-</w:t>
            </w:r>
            <w:r>
              <w:rPr>
                <w:rFonts w:hint="eastAsia" w:ascii="宋体" w:hAnsi="宋体" w:cs="Times New Roman"/>
                <w:color w:val="000000"/>
                <w:kern w:val="0"/>
                <w:szCs w:val="21"/>
              </w:rPr>
              <w:t>专题统计</w:t>
            </w:r>
            <w:r>
              <w:rPr>
                <w:rFonts w:eastAsia="等线" w:cs="Times New Roman"/>
                <w:color w:val="000000"/>
                <w:kern w:val="0"/>
                <w:szCs w:val="21"/>
              </w:rPr>
              <w:t>-</w:t>
            </w:r>
            <w:r>
              <w:rPr>
                <w:rFonts w:hint="eastAsia" w:ascii="宋体" w:hAnsi="宋体" w:cs="Times New Roman"/>
                <w:color w:val="000000"/>
                <w:kern w:val="0"/>
                <w:szCs w:val="21"/>
              </w:rPr>
              <w:t>一级市场</w:t>
            </w:r>
            <w:r>
              <w:rPr>
                <w:rFonts w:eastAsia="等线" w:cs="Times New Roman"/>
                <w:color w:val="000000"/>
                <w:kern w:val="0"/>
                <w:szCs w:val="21"/>
              </w:rPr>
              <w:t>-</w:t>
            </w:r>
            <w:r>
              <w:rPr>
                <w:rFonts w:hint="eastAsia" w:ascii="宋体" w:hAnsi="宋体" w:cs="Times New Roman"/>
                <w:color w:val="000000"/>
                <w:kern w:val="0"/>
                <w:szCs w:val="21"/>
              </w:rPr>
              <w:t>承销统计</w:t>
            </w:r>
            <w:r>
              <w:rPr>
                <w:rFonts w:eastAsia="等线" w:cs="Times New Roman"/>
                <w:color w:val="000000"/>
                <w:kern w:val="0"/>
                <w:szCs w:val="21"/>
              </w:rPr>
              <w:t>-</w:t>
            </w:r>
            <w:r>
              <w:rPr>
                <w:rFonts w:hint="eastAsia" w:ascii="宋体" w:hAnsi="宋体" w:cs="Times New Roman"/>
                <w:color w:val="000000"/>
                <w:kern w:val="0"/>
                <w:szCs w:val="21"/>
              </w:rPr>
              <w:t>债券承销排名</w:t>
            </w:r>
            <w:r>
              <w:rPr>
                <w:rFonts w:eastAsia="等线" w:cs="Times New Roman"/>
                <w:color w:val="000000"/>
                <w:kern w:val="0"/>
                <w:szCs w:val="21"/>
              </w:rPr>
              <w:t>( Wind</w:t>
            </w:r>
            <w:r>
              <w:rPr>
                <w:rFonts w:hint="eastAsia" w:ascii="宋体" w:hAnsi="宋体" w:cs="Times New Roman"/>
                <w:color w:val="000000"/>
                <w:kern w:val="0"/>
                <w:szCs w:val="21"/>
              </w:rPr>
              <w:t>口径</w:t>
            </w:r>
            <w:r>
              <w:rPr>
                <w:rFonts w:eastAsia="等线" w:cs="Times New Roman"/>
                <w:color w:val="000000"/>
                <w:kern w:val="0"/>
                <w:szCs w:val="21"/>
              </w:rPr>
              <w:t>)——</w:t>
            </w:r>
            <w:r>
              <w:rPr>
                <w:rFonts w:hint="eastAsia" w:ascii="宋体" w:hAnsi="宋体" w:cs="Times New Roman"/>
                <w:color w:val="000000"/>
                <w:kern w:val="0"/>
                <w:szCs w:val="21"/>
              </w:rPr>
              <w:t>任意区间：</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日；机构类型：证券；债券分类：公司债；上市地点：全部市场；勾选联主实际比例；（</w:t>
            </w:r>
            <w:r>
              <w:rPr>
                <w:rFonts w:eastAsia="等线" w:cs="Times New Roman"/>
                <w:color w:val="000000"/>
                <w:kern w:val="0"/>
                <w:szCs w:val="21"/>
              </w:rPr>
              <w:t>2</w:t>
            </w:r>
            <w:r>
              <w:rPr>
                <w:rFonts w:hint="eastAsia" w:ascii="宋体" w:hAnsi="宋体" w:cs="Times New Roman"/>
                <w:color w:val="000000"/>
                <w:kern w:val="0"/>
                <w:szCs w:val="21"/>
              </w:rPr>
              <w:t>）投标人</w:t>
            </w:r>
            <w:r>
              <w:rPr>
                <w:rFonts w:eastAsia="等线" w:cs="Times New Roman"/>
                <w:color w:val="000000"/>
                <w:kern w:val="0"/>
                <w:szCs w:val="21"/>
              </w:rPr>
              <w:t>2022</w:t>
            </w:r>
            <w:r>
              <w:rPr>
                <w:rFonts w:hint="eastAsia" w:ascii="宋体" w:hAnsi="宋体" w:cs="Times New Roman"/>
                <w:color w:val="000000"/>
                <w:kern w:val="0"/>
                <w:szCs w:val="21"/>
              </w:rPr>
              <w:t>年承销</w:t>
            </w:r>
            <w:r>
              <w:rPr>
                <w:rFonts w:eastAsia="等线" w:cs="Times New Roman"/>
                <w:color w:val="000000"/>
                <w:kern w:val="0"/>
                <w:szCs w:val="21"/>
              </w:rPr>
              <w:t>AA</w:t>
            </w:r>
            <w:r>
              <w:rPr>
                <w:rFonts w:hint="eastAsia" w:ascii="宋体" w:hAnsi="宋体" w:cs="Times New Roman"/>
                <w:color w:val="000000"/>
                <w:kern w:val="0"/>
                <w:szCs w:val="21"/>
              </w:rPr>
              <w:t>主体公司债发行总额：债券</w:t>
            </w:r>
            <w:r>
              <w:rPr>
                <w:rFonts w:eastAsia="等线" w:cs="Times New Roman"/>
                <w:color w:val="000000"/>
                <w:kern w:val="0"/>
                <w:szCs w:val="21"/>
              </w:rPr>
              <w:t>-</w:t>
            </w:r>
            <w:r>
              <w:rPr>
                <w:rFonts w:hint="eastAsia" w:ascii="宋体" w:hAnsi="宋体" w:cs="Times New Roman"/>
                <w:color w:val="000000"/>
                <w:kern w:val="0"/>
                <w:szCs w:val="21"/>
              </w:rPr>
              <w:t>专题统计</w:t>
            </w:r>
            <w:r>
              <w:rPr>
                <w:rFonts w:eastAsia="等线" w:cs="Times New Roman"/>
                <w:color w:val="000000"/>
                <w:kern w:val="0"/>
                <w:szCs w:val="21"/>
              </w:rPr>
              <w:t>-</w:t>
            </w:r>
            <w:r>
              <w:rPr>
                <w:rFonts w:hint="eastAsia" w:ascii="宋体" w:hAnsi="宋体" w:cs="Times New Roman"/>
                <w:color w:val="000000"/>
                <w:kern w:val="0"/>
                <w:szCs w:val="21"/>
              </w:rPr>
              <w:t>一级市场</w:t>
            </w:r>
            <w:r>
              <w:rPr>
                <w:rFonts w:eastAsia="等线" w:cs="Times New Roman"/>
                <w:color w:val="000000"/>
                <w:kern w:val="0"/>
                <w:szCs w:val="21"/>
              </w:rPr>
              <w:t>-</w:t>
            </w:r>
            <w:r>
              <w:rPr>
                <w:rFonts w:hint="eastAsia" w:ascii="宋体" w:hAnsi="宋体" w:cs="Times New Roman"/>
                <w:color w:val="000000"/>
                <w:kern w:val="0"/>
                <w:szCs w:val="21"/>
              </w:rPr>
              <w:t>承销统计</w:t>
            </w:r>
            <w:r>
              <w:rPr>
                <w:rFonts w:eastAsia="等线" w:cs="Times New Roman"/>
                <w:color w:val="000000"/>
                <w:kern w:val="0"/>
                <w:szCs w:val="21"/>
              </w:rPr>
              <w:t>-</w:t>
            </w:r>
            <w:r>
              <w:rPr>
                <w:rFonts w:hint="eastAsia" w:ascii="宋体" w:hAnsi="宋体" w:cs="Times New Roman"/>
                <w:color w:val="000000"/>
                <w:kern w:val="0"/>
                <w:szCs w:val="21"/>
              </w:rPr>
              <w:t>债券承销排名</w:t>
            </w:r>
            <w:r>
              <w:rPr>
                <w:rFonts w:eastAsia="等线" w:cs="Times New Roman"/>
                <w:color w:val="000000"/>
                <w:kern w:val="0"/>
                <w:szCs w:val="21"/>
              </w:rPr>
              <w:t>( Wind</w:t>
            </w:r>
            <w:r>
              <w:rPr>
                <w:rFonts w:hint="eastAsia" w:ascii="宋体" w:hAnsi="宋体" w:cs="Times New Roman"/>
                <w:color w:val="000000"/>
                <w:kern w:val="0"/>
                <w:szCs w:val="21"/>
              </w:rPr>
              <w:t>口径</w:t>
            </w:r>
            <w:r>
              <w:rPr>
                <w:rFonts w:eastAsia="等线" w:cs="Times New Roman"/>
                <w:color w:val="000000"/>
                <w:kern w:val="0"/>
                <w:szCs w:val="21"/>
              </w:rPr>
              <w:t>) ——</w:t>
            </w:r>
            <w:r>
              <w:rPr>
                <w:rFonts w:hint="eastAsia" w:ascii="宋体" w:hAnsi="宋体" w:cs="Times New Roman"/>
                <w:color w:val="000000"/>
                <w:kern w:val="0"/>
                <w:szCs w:val="21"/>
              </w:rPr>
              <w:t>任意区间：</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w:t>
            </w:r>
            <w:r>
              <w:rPr>
                <w:rFonts w:hint="eastAsia" w:ascii="宋体" w:hAnsi="宋体" w:cs="Times New Roman"/>
                <w:color w:val="000000"/>
                <w:kern w:val="0"/>
                <w:szCs w:val="21"/>
              </w:rPr>
              <w:t>月</w:t>
            </w:r>
            <w:r>
              <w:rPr>
                <w:rFonts w:eastAsia="等线" w:cs="Times New Roman"/>
                <w:color w:val="000000"/>
                <w:kern w:val="0"/>
                <w:szCs w:val="21"/>
              </w:rPr>
              <w:t>1</w:t>
            </w:r>
            <w:r>
              <w:rPr>
                <w:rFonts w:hint="eastAsia" w:ascii="宋体" w:hAnsi="宋体" w:cs="Times New Roman"/>
                <w:color w:val="000000"/>
                <w:kern w:val="0"/>
                <w:szCs w:val="21"/>
              </w:rPr>
              <w:t>日</w:t>
            </w:r>
            <w:r>
              <w:rPr>
                <w:rFonts w:eastAsia="等线" w:cs="Times New Roman"/>
                <w:color w:val="000000"/>
                <w:kern w:val="0"/>
                <w:szCs w:val="21"/>
              </w:rPr>
              <w:t>-2022</w:t>
            </w:r>
            <w:r>
              <w:rPr>
                <w:rFonts w:hint="eastAsia" w:ascii="宋体" w:hAnsi="宋体" w:cs="Times New Roman"/>
                <w:color w:val="000000"/>
                <w:kern w:val="0"/>
                <w:szCs w:val="21"/>
              </w:rPr>
              <w:t>年</w:t>
            </w:r>
            <w:r>
              <w:rPr>
                <w:rFonts w:eastAsia="等线" w:cs="Times New Roman"/>
                <w:color w:val="000000"/>
                <w:kern w:val="0"/>
                <w:szCs w:val="21"/>
              </w:rPr>
              <w:t>12</w:t>
            </w:r>
            <w:r>
              <w:rPr>
                <w:rFonts w:hint="eastAsia" w:ascii="宋体" w:hAnsi="宋体" w:cs="Times New Roman"/>
                <w:color w:val="000000"/>
                <w:kern w:val="0"/>
                <w:szCs w:val="21"/>
              </w:rPr>
              <w:t>月</w:t>
            </w:r>
            <w:r>
              <w:rPr>
                <w:rFonts w:eastAsia="等线" w:cs="Times New Roman"/>
                <w:color w:val="000000"/>
                <w:kern w:val="0"/>
                <w:szCs w:val="21"/>
              </w:rPr>
              <w:t>31</w:t>
            </w:r>
            <w:r>
              <w:rPr>
                <w:rFonts w:hint="eastAsia" w:ascii="宋体" w:hAnsi="宋体" w:cs="Times New Roman"/>
                <w:color w:val="000000"/>
                <w:kern w:val="0"/>
                <w:szCs w:val="21"/>
              </w:rPr>
              <w:t>日；机构类型：证券；债券分类：公司债；上市地点：全部市场；勾选联主实际比例，在投标人对应承销明细中筛选发行主体评级</w:t>
            </w:r>
            <w:r>
              <w:rPr>
                <w:rFonts w:eastAsia="等线" w:cs="Times New Roman"/>
                <w:color w:val="000000"/>
                <w:kern w:val="0"/>
                <w:szCs w:val="21"/>
              </w:rPr>
              <w:t>AA</w:t>
            </w:r>
            <w:r>
              <w:rPr>
                <w:rFonts w:hint="eastAsia" w:ascii="宋体" w:hAnsi="宋体" w:cs="Times New Roman"/>
                <w:color w:val="000000"/>
                <w:kern w:val="0"/>
                <w:szCs w:val="21"/>
              </w:rPr>
              <w:t>的债券，计算对应的实际承销金额。）</w:t>
            </w:r>
            <w:bookmarkEnd w:id="37"/>
          </w:p>
        </w:tc>
        <w:tc>
          <w:tcPr>
            <w:tcW w:w="609" w:type="pct"/>
            <w:vMerge w:val="continue"/>
            <w:vAlign w:val="center"/>
          </w:tcPr>
          <w:p>
            <w:pPr>
              <w:jc w:val="left"/>
              <w:rPr>
                <w:rFonts w:eastAsia="等线"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272" w:type="pc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5</w:t>
            </w:r>
          </w:p>
        </w:tc>
        <w:tc>
          <w:tcPr>
            <w:tcW w:w="410" w:type="pc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本次债券承销能力</w:t>
            </w:r>
          </w:p>
        </w:tc>
        <w:tc>
          <w:tcPr>
            <w:tcW w:w="425" w:type="pc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5</w:t>
            </w:r>
            <w:r>
              <w:rPr>
                <w:rFonts w:hint="eastAsia" w:ascii="宋体" w:hAnsi="宋体" w:cs="Times New Roman"/>
                <w:color w:val="000000"/>
                <w:kern w:val="0"/>
                <w:szCs w:val="21"/>
              </w:rPr>
              <w:t>分</w:t>
            </w: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投标人提供</w:t>
            </w:r>
            <w:r>
              <w:rPr>
                <w:rFonts w:eastAsia="等线" w:cs="Times New Roman"/>
                <w:color w:val="000000"/>
                <w:kern w:val="0"/>
                <w:szCs w:val="21"/>
              </w:rPr>
              <w:t>3</w:t>
            </w:r>
            <w:r>
              <w:rPr>
                <w:rFonts w:hint="eastAsia" w:ascii="宋体" w:hAnsi="宋体" w:cs="Times New Roman"/>
                <w:color w:val="000000"/>
                <w:kern w:val="0"/>
                <w:szCs w:val="21"/>
              </w:rPr>
              <w:t>家及以上债券投资机构对本次债券出具拟投资认购意向函得</w:t>
            </w:r>
            <w:r>
              <w:rPr>
                <w:rFonts w:eastAsia="等线" w:cs="Times New Roman"/>
                <w:color w:val="000000"/>
                <w:kern w:val="0"/>
                <w:szCs w:val="21"/>
              </w:rPr>
              <w:t>5</w:t>
            </w:r>
            <w:r>
              <w:rPr>
                <w:rFonts w:hint="eastAsia" w:ascii="宋体" w:hAnsi="宋体" w:cs="Times New Roman"/>
                <w:color w:val="000000"/>
                <w:kern w:val="0"/>
                <w:szCs w:val="21"/>
              </w:rPr>
              <w:t>分，取得</w:t>
            </w:r>
            <w:r>
              <w:rPr>
                <w:rFonts w:eastAsia="等线" w:cs="Times New Roman"/>
                <w:color w:val="000000"/>
                <w:kern w:val="0"/>
                <w:szCs w:val="21"/>
              </w:rPr>
              <w:t>2</w:t>
            </w:r>
            <w:r>
              <w:rPr>
                <w:rFonts w:hint="eastAsia" w:ascii="宋体" w:hAnsi="宋体" w:cs="Times New Roman"/>
                <w:color w:val="000000"/>
                <w:kern w:val="0"/>
                <w:szCs w:val="21"/>
              </w:rPr>
              <w:t>家认购意向函得</w:t>
            </w:r>
            <w:r>
              <w:rPr>
                <w:rFonts w:eastAsia="等线" w:cs="Times New Roman"/>
                <w:color w:val="000000"/>
                <w:kern w:val="0"/>
                <w:szCs w:val="21"/>
              </w:rPr>
              <w:t>3</w:t>
            </w:r>
            <w:r>
              <w:rPr>
                <w:rFonts w:hint="eastAsia" w:ascii="宋体" w:hAnsi="宋体" w:cs="Times New Roman"/>
                <w:color w:val="000000"/>
                <w:kern w:val="0"/>
                <w:szCs w:val="21"/>
              </w:rPr>
              <w:t>分，取得</w:t>
            </w:r>
            <w:r>
              <w:rPr>
                <w:rFonts w:eastAsia="等线" w:cs="Times New Roman"/>
                <w:color w:val="000000"/>
                <w:kern w:val="0"/>
                <w:szCs w:val="21"/>
              </w:rPr>
              <w:t>1</w:t>
            </w:r>
            <w:r>
              <w:rPr>
                <w:rFonts w:hint="eastAsia" w:ascii="宋体" w:hAnsi="宋体" w:cs="Times New Roman"/>
                <w:color w:val="000000"/>
                <w:kern w:val="0"/>
                <w:szCs w:val="21"/>
              </w:rPr>
              <w:t>家认购意向函得</w:t>
            </w:r>
            <w:r>
              <w:rPr>
                <w:rFonts w:eastAsia="等线" w:cs="Times New Roman"/>
                <w:color w:val="000000"/>
                <w:kern w:val="0"/>
                <w:szCs w:val="21"/>
              </w:rPr>
              <w:t>1</w:t>
            </w:r>
            <w:r>
              <w:rPr>
                <w:rFonts w:hint="eastAsia" w:ascii="宋体" w:hAnsi="宋体" w:cs="Times New Roman"/>
                <w:color w:val="000000"/>
                <w:kern w:val="0"/>
                <w:szCs w:val="21"/>
              </w:rPr>
              <w:t>分，未取得不得分（债券投资机构需为独立法人主体）</w:t>
            </w:r>
          </w:p>
        </w:tc>
        <w:tc>
          <w:tcPr>
            <w:tcW w:w="609" w:type="pc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提供债券投资机构对本次债券出具拟投资意向函并加盖投资机构公章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72" w:type="pc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6</w:t>
            </w:r>
          </w:p>
        </w:tc>
        <w:tc>
          <w:tcPr>
            <w:tcW w:w="410" w:type="pc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证券公司评级情况</w:t>
            </w:r>
          </w:p>
        </w:tc>
        <w:tc>
          <w:tcPr>
            <w:tcW w:w="425" w:type="pc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5</w:t>
            </w:r>
            <w:r>
              <w:rPr>
                <w:rFonts w:hint="eastAsia" w:ascii="宋体" w:hAnsi="宋体" w:cs="Times New Roman"/>
                <w:color w:val="000000"/>
                <w:kern w:val="0"/>
                <w:szCs w:val="21"/>
              </w:rPr>
              <w:t>分</w:t>
            </w: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投标人最新的主体评级，最新主体评级为</w:t>
            </w:r>
            <w:r>
              <w:rPr>
                <w:rFonts w:eastAsia="等线" w:cs="Times New Roman"/>
                <w:color w:val="000000"/>
                <w:kern w:val="0"/>
                <w:szCs w:val="21"/>
              </w:rPr>
              <w:t>AAA</w:t>
            </w:r>
            <w:r>
              <w:rPr>
                <w:rFonts w:hint="eastAsia" w:ascii="宋体" w:hAnsi="宋体" w:cs="Times New Roman"/>
                <w:color w:val="000000"/>
                <w:kern w:val="0"/>
                <w:szCs w:val="21"/>
              </w:rPr>
              <w:t>的得</w:t>
            </w:r>
            <w:r>
              <w:rPr>
                <w:rFonts w:eastAsia="等线" w:cs="Times New Roman"/>
                <w:color w:val="000000"/>
                <w:kern w:val="0"/>
                <w:szCs w:val="21"/>
              </w:rPr>
              <w:t>5</w:t>
            </w:r>
            <w:r>
              <w:rPr>
                <w:rFonts w:hint="eastAsia" w:ascii="宋体" w:hAnsi="宋体" w:cs="Times New Roman"/>
                <w:color w:val="000000"/>
                <w:kern w:val="0"/>
                <w:szCs w:val="21"/>
              </w:rPr>
              <w:t>分，</w:t>
            </w:r>
            <w:r>
              <w:rPr>
                <w:rFonts w:eastAsia="等线" w:cs="Times New Roman"/>
                <w:color w:val="000000"/>
                <w:kern w:val="0"/>
                <w:szCs w:val="21"/>
              </w:rPr>
              <w:t>AA+</w:t>
            </w:r>
            <w:r>
              <w:rPr>
                <w:rFonts w:hint="eastAsia" w:ascii="宋体" w:hAnsi="宋体" w:cs="Times New Roman"/>
                <w:color w:val="000000"/>
                <w:kern w:val="0"/>
                <w:szCs w:val="21"/>
              </w:rPr>
              <w:t>的得</w:t>
            </w:r>
            <w:r>
              <w:rPr>
                <w:rFonts w:eastAsia="等线" w:cs="Times New Roman"/>
                <w:color w:val="000000"/>
                <w:kern w:val="0"/>
                <w:szCs w:val="21"/>
              </w:rPr>
              <w:t>3</w:t>
            </w:r>
            <w:r>
              <w:rPr>
                <w:rFonts w:hint="eastAsia" w:ascii="宋体" w:hAnsi="宋体" w:cs="Times New Roman"/>
                <w:color w:val="000000"/>
                <w:kern w:val="0"/>
                <w:szCs w:val="21"/>
              </w:rPr>
              <w:t>分，</w:t>
            </w:r>
            <w:r>
              <w:rPr>
                <w:rFonts w:eastAsia="等线" w:cs="Times New Roman"/>
                <w:color w:val="000000"/>
                <w:kern w:val="0"/>
                <w:szCs w:val="21"/>
              </w:rPr>
              <w:t>AA</w:t>
            </w:r>
            <w:r>
              <w:rPr>
                <w:rFonts w:hint="eastAsia" w:ascii="宋体" w:hAnsi="宋体" w:cs="Times New Roman"/>
                <w:color w:val="000000"/>
                <w:kern w:val="0"/>
                <w:szCs w:val="21"/>
              </w:rPr>
              <w:t>及其他情况不得分。（提供最新评级报告主体评级截图并加盖投标人公章，附入投标文件中，否则不得分）</w:t>
            </w:r>
            <w:r>
              <w:rPr>
                <w:rFonts w:eastAsia="等线" w:cs="Times New Roman"/>
                <w:color w:val="000000"/>
                <w:kern w:val="0"/>
                <w:szCs w:val="21"/>
              </w:rPr>
              <w:t> </w:t>
            </w:r>
          </w:p>
        </w:tc>
        <w:tc>
          <w:tcPr>
            <w:tcW w:w="609" w:type="pc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提供投标人最新主体评级报告并加盖投标人公章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72" w:type="pc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7</w:t>
            </w:r>
          </w:p>
        </w:tc>
        <w:tc>
          <w:tcPr>
            <w:tcW w:w="410" w:type="pct"/>
            <w:shd w:val="clear" w:color="auto" w:fill="auto"/>
            <w:vAlign w:val="center"/>
          </w:tcPr>
          <w:p>
            <w:pPr>
              <w:jc w:val="center"/>
              <w:rPr>
                <w:rFonts w:cs="Times New Roman"/>
                <w:color w:val="000000"/>
                <w:kern w:val="0"/>
                <w:szCs w:val="21"/>
              </w:rPr>
            </w:pPr>
            <w:r>
              <w:rPr>
                <w:rFonts w:hint="eastAsia" w:ascii="宋体" w:hAnsi="宋体" w:cs="Times New Roman"/>
                <w:color w:val="000000"/>
                <w:kern w:val="0"/>
                <w:szCs w:val="21"/>
              </w:rPr>
              <w:t>本次服务发行方案及本地化服务</w:t>
            </w:r>
          </w:p>
        </w:tc>
        <w:tc>
          <w:tcPr>
            <w:tcW w:w="425" w:type="pc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10</w:t>
            </w:r>
            <w:r>
              <w:rPr>
                <w:rFonts w:hint="eastAsia" w:ascii="宋体" w:hAnsi="宋体" w:cs="Times New Roman"/>
                <w:color w:val="000000"/>
                <w:kern w:val="0"/>
                <w:szCs w:val="21"/>
              </w:rPr>
              <w:t>分</w:t>
            </w:r>
          </w:p>
        </w:tc>
        <w:tc>
          <w:tcPr>
            <w:tcW w:w="3284" w:type="pct"/>
            <w:shd w:val="clear" w:color="auto" w:fill="auto"/>
            <w:vAlign w:val="center"/>
          </w:tcPr>
          <w:p>
            <w:pPr>
              <w:numPr>
                <w:ilvl w:val="0"/>
                <w:numId w:val="5"/>
              </w:numPr>
              <w:jc w:val="left"/>
              <w:rPr>
                <w:rFonts w:ascii="宋体" w:hAnsi="宋体" w:cs="Times New Roman"/>
                <w:color w:val="000000"/>
                <w:kern w:val="0"/>
                <w:szCs w:val="21"/>
              </w:rPr>
            </w:pPr>
            <w:r>
              <w:rPr>
                <w:rFonts w:hint="eastAsia" w:ascii="宋体" w:hAnsi="宋体" w:cs="Times New Roman"/>
                <w:color w:val="000000"/>
                <w:kern w:val="0"/>
                <w:szCs w:val="21"/>
              </w:rPr>
              <w:t>本条根据发行方案设计进行评分，发行方案侧重于项目具体的实施计划设计，并且对项目全过程中可能产生的问题提出切实可行的应对及解决措施，设计完备的发行方案，重点包括产品要素设计、项目时间安排、募投项目策划、募集资金使用及增信方案设计等。上述方案要点设计考虑全面、分析到位、设计妥当的得</w:t>
            </w:r>
            <w:r>
              <w:rPr>
                <w:rFonts w:eastAsia="等线" w:cs="Times New Roman"/>
                <w:color w:val="000000"/>
                <w:kern w:val="0"/>
                <w:szCs w:val="21"/>
              </w:rPr>
              <w:t>6-8</w:t>
            </w:r>
            <w:r>
              <w:rPr>
                <w:rFonts w:hint="eastAsia" w:ascii="宋体" w:hAnsi="宋体" w:cs="Times New Roman"/>
                <w:color w:val="000000"/>
                <w:kern w:val="0"/>
                <w:szCs w:val="21"/>
              </w:rPr>
              <w:t>分；方案设计较为周到，具备一定可行性得</w:t>
            </w:r>
            <w:r>
              <w:rPr>
                <w:rFonts w:hint="eastAsia" w:eastAsia="等线" w:cs="Times New Roman"/>
                <w:color w:val="000000"/>
                <w:kern w:val="0"/>
                <w:szCs w:val="21"/>
              </w:rPr>
              <w:t>3</w:t>
            </w:r>
            <w:r>
              <w:rPr>
                <w:rFonts w:eastAsia="等线" w:cs="Times New Roman"/>
                <w:color w:val="000000"/>
                <w:kern w:val="0"/>
                <w:szCs w:val="21"/>
              </w:rPr>
              <w:t>-5</w:t>
            </w:r>
            <w:r>
              <w:rPr>
                <w:rFonts w:hint="eastAsia" w:ascii="宋体" w:hAnsi="宋体" w:cs="Times New Roman"/>
                <w:color w:val="000000"/>
                <w:kern w:val="0"/>
                <w:szCs w:val="21"/>
              </w:rPr>
              <w:t>分；方案设计一般的得</w:t>
            </w:r>
            <w:r>
              <w:rPr>
                <w:rFonts w:hint="eastAsia" w:eastAsia="等线" w:cs="Times New Roman"/>
                <w:color w:val="000000"/>
                <w:kern w:val="0"/>
                <w:szCs w:val="21"/>
              </w:rPr>
              <w:t>0-2</w:t>
            </w:r>
            <w:r>
              <w:rPr>
                <w:rFonts w:hint="eastAsia" w:ascii="宋体" w:hAnsi="宋体" w:cs="Times New Roman"/>
                <w:color w:val="000000"/>
                <w:kern w:val="0"/>
                <w:szCs w:val="21"/>
              </w:rPr>
              <w:t>分。</w:t>
            </w:r>
          </w:p>
          <w:p>
            <w:pPr>
              <w:numPr>
                <w:ilvl w:val="0"/>
                <w:numId w:val="5"/>
              </w:numPr>
              <w:jc w:val="left"/>
              <w:rPr>
                <w:rFonts w:eastAsia="等线" w:cs="Times New Roman"/>
                <w:color w:val="000000"/>
                <w:kern w:val="0"/>
                <w:szCs w:val="21"/>
              </w:rPr>
            </w:pPr>
            <w:r>
              <w:rPr>
                <w:rFonts w:hint="eastAsia" w:ascii="宋体" w:hAnsi="宋体" w:cs="Times New Roman"/>
                <w:color w:val="000000"/>
                <w:kern w:val="0"/>
                <w:szCs w:val="21"/>
              </w:rPr>
              <w:t>根据投标人本地服务机构的分布情况，由专家进行综合打分0-</w:t>
            </w:r>
            <w:r>
              <w:rPr>
                <w:rFonts w:ascii="宋体" w:hAnsi="宋体" w:cs="Times New Roman"/>
                <w:color w:val="000000"/>
                <w:kern w:val="0"/>
                <w:szCs w:val="21"/>
              </w:rPr>
              <w:t>2</w:t>
            </w:r>
            <w:r>
              <w:rPr>
                <w:rFonts w:hint="eastAsia" w:ascii="宋体" w:hAnsi="宋体" w:cs="Times New Roman"/>
                <w:color w:val="000000"/>
                <w:kern w:val="0"/>
                <w:szCs w:val="21"/>
              </w:rPr>
              <w:t>分。注：提供服务机构的介绍资料及营业执照。本地服务能力包括不限于投标人在温州地区设立分公司、设立营业部等。</w:t>
            </w:r>
          </w:p>
        </w:tc>
        <w:tc>
          <w:tcPr>
            <w:tcW w:w="609" w:type="pc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提供本次债券具体发行方案及相关证明文件并加盖投标人公章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2" w:type="pct"/>
            <w:shd w:val="clear" w:color="auto" w:fill="auto"/>
            <w:noWrap/>
            <w:vAlign w:val="center"/>
          </w:tcPr>
          <w:p>
            <w:pPr>
              <w:jc w:val="center"/>
              <w:rPr>
                <w:rFonts w:eastAsia="等线" w:cs="Times New Roman"/>
                <w:color w:val="000000"/>
                <w:kern w:val="0"/>
                <w:szCs w:val="21"/>
              </w:rPr>
            </w:pPr>
            <w:r>
              <w:rPr>
                <w:rFonts w:eastAsia="等线" w:cs="Times New Roman"/>
                <w:color w:val="000000"/>
                <w:kern w:val="0"/>
                <w:szCs w:val="21"/>
              </w:rPr>
              <w:t>8</w:t>
            </w:r>
          </w:p>
        </w:tc>
        <w:tc>
          <w:tcPr>
            <w:tcW w:w="410" w:type="pc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项目团队</w:t>
            </w:r>
          </w:p>
        </w:tc>
        <w:tc>
          <w:tcPr>
            <w:tcW w:w="425" w:type="pc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5</w:t>
            </w:r>
            <w:r>
              <w:rPr>
                <w:rFonts w:hint="eastAsia" w:ascii="宋体" w:hAnsi="宋体" w:cs="Times New Roman"/>
                <w:color w:val="000000"/>
                <w:kern w:val="0"/>
                <w:szCs w:val="21"/>
              </w:rPr>
              <w:t>分</w:t>
            </w:r>
          </w:p>
        </w:tc>
        <w:tc>
          <w:tcPr>
            <w:tcW w:w="3284" w:type="pct"/>
            <w:shd w:val="clear" w:color="auto" w:fill="auto"/>
            <w:vAlign w:val="center"/>
          </w:tcPr>
          <w:p>
            <w:pPr>
              <w:jc w:val="left"/>
              <w:rPr>
                <w:rFonts w:eastAsia="等线" w:cs="Times New Roman"/>
                <w:color w:val="000000"/>
                <w:kern w:val="0"/>
                <w:szCs w:val="21"/>
              </w:rPr>
            </w:pPr>
            <w:r>
              <w:rPr>
                <w:rFonts w:hint="eastAsia" w:ascii="宋体" w:hAnsi="宋体" w:cs="Times New Roman"/>
                <w:color w:val="000000"/>
                <w:kern w:val="0"/>
                <w:szCs w:val="21"/>
              </w:rPr>
              <w:t>根据项目负责人简历、能力、工作经验，项目团队人员配置齐全、合理情况、综合能力情况、团队成员稳定性、常驻人员数量及常驻时间情况由专家评分。完全符合</w:t>
            </w:r>
            <w:r>
              <w:rPr>
                <w:rFonts w:eastAsia="等线" w:cs="Times New Roman"/>
                <w:color w:val="000000"/>
                <w:kern w:val="0"/>
                <w:szCs w:val="21"/>
              </w:rPr>
              <w:t>5</w:t>
            </w:r>
            <w:r>
              <w:rPr>
                <w:rFonts w:hint="eastAsia" w:ascii="宋体" w:hAnsi="宋体" w:cs="Times New Roman"/>
                <w:color w:val="000000"/>
                <w:kern w:val="0"/>
                <w:szCs w:val="21"/>
              </w:rPr>
              <w:t>分，基本符合</w:t>
            </w:r>
            <w:r>
              <w:rPr>
                <w:rFonts w:eastAsia="等线" w:cs="Times New Roman"/>
                <w:color w:val="000000"/>
                <w:kern w:val="0"/>
                <w:szCs w:val="21"/>
              </w:rPr>
              <w:t>2-3</w:t>
            </w:r>
            <w:r>
              <w:rPr>
                <w:rFonts w:hint="eastAsia" w:ascii="宋体" w:hAnsi="宋体" w:cs="Times New Roman"/>
                <w:color w:val="000000"/>
                <w:kern w:val="0"/>
                <w:szCs w:val="21"/>
              </w:rPr>
              <w:t>分，一般符合</w:t>
            </w:r>
            <w:r>
              <w:rPr>
                <w:rFonts w:eastAsia="等线" w:cs="Times New Roman"/>
                <w:color w:val="000000"/>
                <w:kern w:val="0"/>
                <w:szCs w:val="21"/>
              </w:rPr>
              <w:t>0-1</w:t>
            </w:r>
            <w:r>
              <w:rPr>
                <w:rFonts w:hint="eastAsia" w:ascii="宋体" w:hAnsi="宋体" w:cs="Times New Roman"/>
                <w:color w:val="000000"/>
                <w:kern w:val="0"/>
                <w:szCs w:val="21"/>
              </w:rPr>
              <w:t>分。</w:t>
            </w:r>
            <w:r>
              <w:rPr>
                <w:rFonts w:eastAsia="等线" w:cs="Times New Roman"/>
                <w:color w:val="000000"/>
                <w:kern w:val="0"/>
                <w:szCs w:val="21"/>
              </w:rPr>
              <w:t> </w:t>
            </w:r>
          </w:p>
        </w:tc>
        <w:tc>
          <w:tcPr>
            <w:tcW w:w="609" w:type="pct"/>
            <w:shd w:val="clear" w:color="auto" w:fill="auto"/>
            <w:vAlign w:val="center"/>
          </w:tcPr>
          <w:p>
            <w:pPr>
              <w:jc w:val="center"/>
              <w:rPr>
                <w:rFonts w:eastAsia="等线" w:cs="Times New Roman"/>
                <w:color w:val="000000"/>
                <w:kern w:val="0"/>
                <w:szCs w:val="21"/>
              </w:rPr>
            </w:pPr>
            <w:r>
              <w:rPr>
                <w:rFonts w:hint="eastAsia" w:ascii="宋体" w:hAnsi="宋体" w:cs="Times New Roman"/>
                <w:color w:val="000000"/>
                <w:kern w:val="0"/>
                <w:szCs w:val="21"/>
              </w:rPr>
              <w:t>提供本次债券项目团队构成及团队成员的相关基本情况、证明材料并加盖投标人公章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2" w:type="pct"/>
            <w:shd w:val="clear" w:color="auto" w:fill="auto"/>
            <w:noWrap/>
            <w:vAlign w:val="center"/>
          </w:tcPr>
          <w:p>
            <w:pPr>
              <w:jc w:val="left"/>
              <w:rPr>
                <w:rFonts w:eastAsia="等线" w:cs="Times New Roman"/>
                <w:color w:val="000000"/>
                <w:kern w:val="0"/>
                <w:szCs w:val="21"/>
              </w:rPr>
            </w:pPr>
            <w:r>
              <w:rPr>
                <w:rFonts w:eastAsia="等线" w:cs="Times New Roman"/>
                <w:color w:val="000000"/>
                <w:kern w:val="0"/>
                <w:szCs w:val="21"/>
              </w:rPr>
              <w:t>　</w:t>
            </w:r>
          </w:p>
        </w:tc>
        <w:tc>
          <w:tcPr>
            <w:tcW w:w="410" w:type="pct"/>
            <w:shd w:val="clear" w:color="auto" w:fill="auto"/>
            <w:vAlign w:val="center"/>
          </w:tcPr>
          <w:p>
            <w:pPr>
              <w:jc w:val="center"/>
              <w:rPr>
                <w:rFonts w:eastAsia="等线" w:cs="Times New Roman"/>
                <w:b/>
                <w:bCs/>
                <w:color w:val="000000"/>
                <w:kern w:val="0"/>
                <w:szCs w:val="21"/>
              </w:rPr>
            </w:pPr>
            <w:r>
              <w:rPr>
                <w:rFonts w:hint="eastAsia" w:ascii="宋体" w:hAnsi="宋体" w:cs="Times New Roman"/>
                <w:b/>
                <w:bCs/>
                <w:color w:val="000000"/>
                <w:kern w:val="0"/>
                <w:szCs w:val="21"/>
              </w:rPr>
              <w:t>合计</w:t>
            </w:r>
          </w:p>
        </w:tc>
        <w:tc>
          <w:tcPr>
            <w:tcW w:w="425" w:type="pct"/>
            <w:shd w:val="clear" w:color="auto" w:fill="auto"/>
            <w:vAlign w:val="center"/>
          </w:tcPr>
          <w:p>
            <w:pPr>
              <w:jc w:val="center"/>
              <w:rPr>
                <w:rFonts w:eastAsia="等线" w:cs="Times New Roman"/>
                <w:b/>
                <w:bCs/>
                <w:color w:val="000000"/>
                <w:kern w:val="0"/>
                <w:szCs w:val="21"/>
              </w:rPr>
            </w:pPr>
            <w:r>
              <w:rPr>
                <w:rFonts w:eastAsia="等线" w:cs="Times New Roman"/>
                <w:b/>
                <w:bCs/>
                <w:color w:val="000000"/>
                <w:kern w:val="0"/>
                <w:szCs w:val="21"/>
              </w:rPr>
              <w:t>80</w:t>
            </w:r>
            <w:r>
              <w:rPr>
                <w:rFonts w:hint="eastAsia" w:ascii="宋体" w:hAnsi="宋体" w:cs="Times New Roman"/>
                <w:b/>
                <w:bCs/>
                <w:color w:val="000000"/>
                <w:kern w:val="0"/>
                <w:szCs w:val="21"/>
              </w:rPr>
              <w:t>分</w:t>
            </w:r>
          </w:p>
        </w:tc>
        <w:tc>
          <w:tcPr>
            <w:tcW w:w="3284" w:type="pct"/>
            <w:shd w:val="clear" w:color="auto" w:fill="auto"/>
            <w:vAlign w:val="center"/>
          </w:tcPr>
          <w:p>
            <w:pPr>
              <w:jc w:val="left"/>
              <w:rPr>
                <w:rFonts w:eastAsia="等线" w:cs="Times New Roman"/>
                <w:b/>
                <w:bCs/>
                <w:color w:val="000000"/>
                <w:kern w:val="0"/>
                <w:szCs w:val="21"/>
              </w:rPr>
            </w:pPr>
            <w:r>
              <w:rPr>
                <w:rFonts w:eastAsia="等线" w:cs="Times New Roman"/>
                <w:b/>
                <w:bCs/>
                <w:color w:val="000000"/>
                <w:kern w:val="0"/>
                <w:szCs w:val="21"/>
              </w:rPr>
              <w:t>　</w:t>
            </w:r>
          </w:p>
        </w:tc>
        <w:tc>
          <w:tcPr>
            <w:tcW w:w="609" w:type="pct"/>
            <w:shd w:val="clear" w:color="auto" w:fill="auto"/>
            <w:vAlign w:val="center"/>
          </w:tcPr>
          <w:p>
            <w:pPr>
              <w:jc w:val="center"/>
              <w:rPr>
                <w:rFonts w:eastAsia="等线" w:cs="Times New Roman"/>
                <w:color w:val="000000"/>
                <w:kern w:val="0"/>
                <w:szCs w:val="21"/>
              </w:rPr>
            </w:pPr>
            <w:r>
              <w:rPr>
                <w:rFonts w:eastAsia="等线" w:cs="Times New Roman"/>
                <w:color w:val="000000"/>
                <w:kern w:val="0"/>
                <w:szCs w:val="21"/>
              </w:rPr>
              <w:t>　</w:t>
            </w:r>
          </w:p>
        </w:tc>
      </w:tr>
    </w:tbl>
    <w:p>
      <w:pPr>
        <w:pStyle w:val="12"/>
        <w:ind w:left="0" w:firstLine="0" w:firstLineChars="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hint="eastAsia" w:ascii="Times New Roman" w:hAnsi="Times New Roman" w:cs="Times New Roman" w:eastAsiaTheme="minorEastAsia"/>
          <w:color w:val="000000"/>
          <w:kern w:val="0"/>
          <w:sz w:val="21"/>
          <w:szCs w:val="21"/>
        </w:rPr>
        <w:t>上表内公司债</w:t>
      </w:r>
      <w:r>
        <w:rPr>
          <w:rFonts w:ascii="Times New Roman" w:hAnsi="Times New Roman" w:cs="Times New Roman" w:eastAsiaTheme="minorEastAsia"/>
          <w:color w:val="000000"/>
          <w:kern w:val="0"/>
          <w:sz w:val="21"/>
          <w:szCs w:val="21"/>
        </w:rPr>
        <w:t>仅包括交易所审核发行的公司债券，不含可交债、可转债</w:t>
      </w:r>
      <w:r>
        <w:rPr>
          <w:rFonts w:hint="eastAsia" w:ascii="Times New Roman" w:hAnsi="Times New Roman" w:cs="Times New Roman" w:eastAsiaTheme="minorEastAsia"/>
          <w:color w:val="000000"/>
          <w:kern w:val="0"/>
          <w:sz w:val="21"/>
          <w:szCs w:val="21"/>
        </w:rPr>
        <w:t>；2）上表内主承销商口径均为包含联席主承销商或联席主承销商比例。</w:t>
      </w:r>
    </w:p>
    <w:p>
      <w:pPr>
        <w:pStyle w:val="2"/>
        <w:spacing w:after="0" w:line="360" w:lineRule="auto"/>
        <w:ind w:left="0" w:leftChars="0" w:firstLine="0"/>
        <w:rPr>
          <w:rFonts w:cs="Times New Roman"/>
        </w:rPr>
      </w:pPr>
      <w:r>
        <w:rPr>
          <w:rFonts w:cs="Times New Roman"/>
        </w:rPr>
        <w:t>注：1.投标文件中提供了复印件，而中标后无法提供相应原件的：（1）采购人有权拒绝与中标方签订合同，并追究其缔约过失责任；（2）违法违规的报监管部门查处；构成犯罪的依法追究刑事责任。</w:t>
      </w:r>
    </w:p>
    <w:p>
      <w:pPr>
        <w:pStyle w:val="2"/>
        <w:spacing w:after="0" w:line="360" w:lineRule="auto"/>
        <w:ind w:left="0" w:leftChars="0" w:firstLineChars="200"/>
        <w:rPr>
          <w:rFonts w:cs="Times New Roman"/>
          <w:sz w:val="22"/>
          <w:szCs w:val="22"/>
        </w:rPr>
      </w:pPr>
      <w:r>
        <w:rPr>
          <w:rFonts w:cs="Times New Roman"/>
        </w:rPr>
        <w:t>2.所有的证书及检测报告必须在有效期内，不在有效期内的不得分。</w:t>
      </w:r>
    </w:p>
    <w:p>
      <w:pPr>
        <w:pStyle w:val="2"/>
        <w:spacing w:after="0" w:line="360" w:lineRule="auto"/>
        <w:ind w:left="0" w:leftChars="0" w:firstLine="0"/>
        <w:rPr>
          <w:rFonts w:cs="Times New Roman"/>
        </w:rPr>
      </w:pPr>
      <w:r>
        <w:rPr>
          <w:rFonts w:cs="Times New Roman"/>
        </w:rPr>
        <w:t>三、说明</w:t>
      </w:r>
    </w:p>
    <w:p>
      <w:pPr>
        <w:pStyle w:val="2"/>
        <w:spacing w:after="0" w:line="360" w:lineRule="auto"/>
        <w:ind w:left="0" w:leftChars="0" w:firstLineChars="200"/>
        <w:rPr>
          <w:rFonts w:cs="Times New Roman"/>
        </w:rPr>
      </w:pPr>
      <w:r>
        <w:rPr>
          <w:rFonts w:cs="Times New Roman"/>
        </w:rPr>
        <w:t>1、每个供应商最终得分=技术资信部分分值（所有评标委员会成员打分的算术平均值）＋商务报价部分分值。</w:t>
      </w:r>
    </w:p>
    <w:p>
      <w:pPr>
        <w:pStyle w:val="2"/>
        <w:spacing w:after="0" w:line="360" w:lineRule="auto"/>
        <w:ind w:left="0" w:leftChars="0" w:firstLineChars="200"/>
        <w:rPr>
          <w:rFonts w:cs="Times New Roman"/>
        </w:rPr>
      </w:pPr>
      <w:r>
        <w:rPr>
          <w:rFonts w:cs="Times New Roman"/>
        </w:rPr>
        <w:t>2、技术资信标和商务报价标合计分值均由高到低的顺序推荐一名中标候选供应商名单，并提交书面评审报告。</w:t>
      </w:r>
    </w:p>
    <w:p>
      <w:pPr>
        <w:pStyle w:val="2"/>
        <w:spacing w:after="0" w:line="360" w:lineRule="auto"/>
        <w:ind w:left="0" w:leftChars="0" w:firstLineChars="200"/>
        <w:rPr>
          <w:rFonts w:cs="Times New Roman"/>
        </w:rPr>
      </w:pPr>
      <w:r>
        <w:rPr>
          <w:rFonts w:cs="Times New Roman"/>
        </w:rPr>
        <w:t>3、所有分值计算保留小数点后二位，小数点后三位四舍五入。</w:t>
      </w:r>
    </w:p>
    <w:p>
      <w:pPr>
        <w:pStyle w:val="2"/>
        <w:spacing w:after="0" w:line="360" w:lineRule="auto"/>
        <w:ind w:left="0" w:leftChars="0" w:firstLineChars="200"/>
        <w:rPr>
          <w:rFonts w:cs="Times New Roman"/>
        </w:rPr>
      </w:pPr>
      <w:r>
        <w:rPr>
          <w:rFonts w:cs="Times New Roman"/>
        </w:rPr>
        <w:t>4、开评标过程中遇到特殊情况，由评标委员会遵循公开、公正原则，采取投票方式按照少数服从多数原则决定。</w:t>
      </w:r>
    </w:p>
    <w:p>
      <w:pPr>
        <w:pStyle w:val="2"/>
        <w:spacing w:after="0" w:line="360" w:lineRule="auto"/>
        <w:ind w:left="0" w:leftChars="0" w:firstLine="0"/>
        <w:rPr>
          <w:rFonts w:cs="Times New Roman"/>
        </w:rPr>
      </w:pPr>
      <w:r>
        <w:rPr>
          <w:rFonts w:cs="Times New Roman"/>
        </w:rPr>
        <w:t>参见本采购文件第三部分：“供应商须知”  中的相关内容，未尽事宜按有关法律规定处理。</w:t>
      </w:r>
    </w:p>
    <w:p>
      <w:pPr>
        <w:jc w:val="left"/>
        <w:textAlignment w:val="auto"/>
        <w:rPr>
          <w:rFonts w:cs="Times New Roman"/>
          <w:szCs w:val="21"/>
        </w:rPr>
      </w:pPr>
    </w:p>
    <w:sectPr>
      <w:headerReference r:id="rId11" w:type="default"/>
      <w:footerReference r:id="rId12" w:type="default"/>
      <w:pgSz w:w="11907" w:h="16840"/>
      <w:pgMar w:top="1440" w:right="1474" w:bottom="1440" w:left="1503"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Style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19"/>
      </w:tabs>
      <w:rPr>
        <w:rStyle w:val="27"/>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720"/>
      <w:rPr>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4"/>
                              <w:rFonts w:ascii="宋体"/>
                            </w:rPr>
                          </w:pPr>
                          <w:r>
                            <w:rPr>
                              <w:rFonts w:ascii="宋体"/>
                            </w:rPr>
                            <w:fldChar w:fldCharType="begin"/>
                          </w:r>
                          <w:r>
                            <w:rPr>
                              <w:rStyle w:val="24"/>
                              <w:rFonts w:ascii="宋体"/>
                            </w:rPr>
                            <w:instrText xml:space="preserve">PAGE  </w:instrText>
                          </w:r>
                          <w:r>
                            <w:rPr>
                              <w:rFonts w:ascii="宋体"/>
                            </w:rPr>
                            <w:fldChar w:fldCharType="separate"/>
                          </w:r>
                          <w:r>
                            <w:rPr>
                              <w:rStyle w:val="24"/>
                              <w:rFonts w:ascii="宋体"/>
                            </w:rPr>
                            <w:t>52</w:t>
                          </w:r>
                          <w:r>
                            <w:rPr>
                              <w:rFonts w:asci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4h37LIAQAAnQMAAA4AAAAAAAAAAQAgAAAAHgEAAGRycy9lMm9Eb2Mu&#10;eG1sUEsFBgAAAAAGAAYAWQEAAFgFAAAAAA==&#10;">
              <v:fill on="f" focussize="0,0"/>
              <v:stroke on="f"/>
              <v:imagedata o:title=""/>
              <o:lock v:ext="edit" aspectratio="f"/>
              <v:textbox inset="0mm,0mm,0mm,0mm" style="mso-fit-shape-to-text:t;">
                <w:txbxContent>
                  <w:p>
                    <w:pPr>
                      <w:pStyle w:val="15"/>
                      <w:rPr>
                        <w:rStyle w:val="24"/>
                        <w:rFonts w:ascii="宋体"/>
                      </w:rPr>
                    </w:pPr>
                    <w:r>
                      <w:rPr>
                        <w:rFonts w:ascii="宋体"/>
                      </w:rPr>
                      <w:fldChar w:fldCharType="begin"/>
                    </w:r>
                    <w:r>
                      <w:rPr>
                        <w:rStyle w:val="24"/>
                        <w:rFonts w:ascii="宋体"/>
                      </w:rPr>
                      <w:instrText xml:space="preserve">PAGE  </w:instrText>
                    </w:r>
                    <w:r>
                      <w:rPr>
                        <w:rFonts w:ascii="宋体"/>
                      </w:rPr>
                      <w:fldChar w:fldCharType="separate"/>
                    </w:r>
                    <w:r>
                      <w:rPr>
                        <w:rStyle w:val="24"/>
                        <w:rFonts w:ascii="宋体"/>
                      </w:rPr>
                      <w:t>52</w:t>
                    </w:r>
                    <w:r>
                      <w:rPr>
                        <w:rFonts w:ascii="宋体"/>
                      </w:rP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Style w:val="27"/>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Style w:val="27"/>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Style w:val="27"/>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sz w:val="21"/>
        <w:szCs w:val="21"/>
      </w:rPr>
    </w:pPr>
  </w:p>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Style w:val="27"/>
        <w:rFonts w:ascii="Cambria" w:hAnsi="Cambr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624"/>
        </w:tabs>
        <w:ind w:left="624" w:hanging="624"/>
      </w:pPr>
      <w:rPr>
        <w:rFonts w:hint="default" w:ascii="Arial" w:hAnsi="Arial" w:eastAsia="宋体"/>
      </w:rPr>
    </w:lvl>
    <w:lvl w:ilvl="1" w:tentative="0">
      <w:start w:val="1"/>
      <w:numFmt w:val="decimal"/>
      <w:pStyle w:val="44"/>
      <w:lvlText w:val="%1.%2"/>
      <w:lvlJc w:val="left"/>
      <w:pPr>
        <w:tabs>
          <w:tab w:val="left" w:pos="624"/>
        </w:tabs>
        <w:ind w:left="624" w:hanging="624"/>
      </w:pPr>
      <w:rPr>
        <w:rFonts w:hint="default" w:ascii="Times New Roman" w:hAnsi="Times New Roman" w:eastAsia="宋体"/>
        <w:sz w:val="24"/>
      </w:rPr>
    </w:lvl>
    <w:lvl w:ilvl="2" w:tentative="0">
      <w:start w:val="1"/>
      <w:numFmt w:val="decimal"/>
      <w:lvlText w:val="(%3)"/>
      <w:lvlJc w:val="left"/>
      <w:pPr>
        <w:tabs>
          <w:tab w:val="left" w:pos="624"/>
        </w:tabs>
        <w:ind w:left="624" w:hanging="624"/>
      </w:pPr>
      <w:rPr>
        <w:rFonts w:hint="default" w:ascii="Arial" w:hAnsi="Arial" w:eastAsia="宋体"/>
        <w:sz w:val="24"/>
      </w:rPr>
    </w:lvl>
    <w:lvl w:ilvl="3" w:tentative="0">
      <w:start w:val="1"/>
      <w:numFmt w:val="decimal"/>
      <w:lvlText w:val="%1.%2.%4"/>
      <w:lvlJc w:val="left"/>
      <w:pPr>
        <w:tabs>
          <w:tab w:val="left" w:pos="1361"/>
        </w:tabs>
        <w:ind w:left="1361" w:hanging="737"/>
      </w:pPr>
      <w:rPr>
        <w:rFonts w:hint="default" w:ascii="Times New Roman" w:hAnsi="Times New Roman" w:eastAsia="宋体"/>
        <w:sz w:val="24"/>
      </w:rPr>
    </w:lvl>
    <w:lvl w:ilvl="4" w:tentative="0">
      <w:start w:val="1"/>
      <w:numFmt w:val="lowerLetter"/>
      <w:lvlText w:val="(%5)"/>
      <w:lvlJc w:val="left"/>
      <w:pPr>
        <w:tabs>
          <w:tab w:val="left" w:pos="1361"/>
        </w:tabs>
        <w:ind w:left="1361" w:hanging="737"/>
      </w:pPr>
      <w:rPr>
        <w:rFonts w:hint="default" w:ascii="Arial" w:hAnsi="Arial" w:eastAsia="宋体"/>
      </w:rPr>
    </w:lvl>
    <w:lvl w:ilvl="5" w:tentative="0">
      <w:start w:val="1"/>
      <w:numFmt w:val="lowerRoman"/>
      <w:lvlText w:val="(%6)"/>
      <w:lvlJc w:val="left"/>
      <w:pPr>
        <w:tabs>
          <w:tab w:val="left" w:pos="2041"/>
        </w:tabs>
        <w:ind w:left="2041" w:hanging="680"/>
      </w:pPr>
      <w:rPr>
        <w:rFonts w:hint="default" w:ascii="Arial" w:hAnsi="Arial" w:eastAsia="宋体"/>
      </w:rPr>
    </w:lvl>
    <w:lvl w:ilvl="6" w:tentative="0">
      <w:start w:val="1"/>
      <w:numFmt w:val="upperLetter"/>
      <w:lvlText w:val="(%7)"/>
      <w:lvlJc w:val="left"/>
      <w:pPr>
        <w:tabs>
          <w:tab w:val="left" w:pos="2041"/>
        </w:tabs>
        <w:ind w:left="2041" w:hanging="680"/>
      </w:pPr>
      <w:rPr>
        <w:rFonts w:hint="default" w:ascii="Arial" w:hAnsi="Arial" w:eastAsia="宋体"/>
      </w:rPr>
    </w:lvl>
    <w:lvl w:ilvl="7" w:tentative="0">
      <w:start w:val="1"/>
      <w:numFmt w:val="upperLetter"/>
      <w:lvlText w:val="(%8)"/>
      <w:lvlJc w:val="left"/>
      <w:pPr>
        <w:tabs>
          <w:tab w:val="left" w:pos="2722"/>
        </w:tabs>
        <w:ind w:left="2722" w:hanging="681"/>
      </w:pPr>
      <w:rPr>
        <w:rFonts w:hint="default" w:ascii="Arial" w:hAnsi="Arial" w:eastAsia="宋体"/>
      </w:rPr>
    </w:lvl>
    <w:lvl w:ilvl="8" w:tentative="0">
      <w:start w:val="1"/>
      <w:numFmt w:val="none"/>
      <w:lvlText w:val=""/>
      <w:lvlJc w:val="left"/>
      <w:pPr>
        <w:tabs>
          <w:tab w:val="left" w:pos="4320"/>
        </w:tabs>
        <w:ind w:left="4320" w:hanging="1440"/>
      </w:pPr>
      <w:rPr>
        <w:rFonts w:hint="default"/>
      </w:rPr>
    </w:lvl>
  </w:abstractNum>
  <w:abstractNum w:abstractNumId="1">
    <w:nsid w:val="04EC436A"/>
    <w:multiLevelType w:val="singleLevel"/>
    <w:tmpl w:val="04EC436A"/>
    <w:lvl w:ilvl="0" w:tentative="0">
      <w:start w:val="1"/>
      <w:numFmt w:val="chineseCounting"/>
      <w:suff w:val="nothing"/>
      <w:lvlText w:val="%1、"/>
      <w:lvlJc w:val="left"/>
      <w:rPr>
        <w:rFonts w:hint="eastAsia"/>
      </w:rPr>
    </w:lvl>
  </w:abstractNum>
  <w:abstractNum w:abstractNumId="2">
    <w:nsid w:val="3CFBCD40"/>
    <w:multiLevelType w:val="singleLevel"/>
    <w:tmpl w:val="3CFBCD40"/>
    <w:lvl w:ilvl="0" w:tentative="0">
      <w:start w:val="2"/>
      <w:numFmt w:val="chineseCounting"/>
      <w:suff w:val="space"/>
      <w:lvlText w:val="第%1部分"/>
      <w:lvlJc w:val="left"/>
      <w:pPr>
        <w:textAlignment w:val="baseline"/>
      </w:pPr>
    </w:lvl>
  </w:abstractNum>
  <w:abstractNum w:abstractNumId="3">
    <w:nsid w:val="41ECAAF4"/>
    <w:multiLevelType w:val="singleLevel"/>
    <w:tmpl w:val="41ECAAF4"/>
    <w:lvl w:ilvl="0" w:tentative="0">
      <w:start w:val="1"/>
      <w:numFmt w:val="decimal"/>
      <w:suff w:val="nothing"/>
      <w:lvlText w:val="%1、"/>
      <w:lvlJc w:val="left"/>
    </w:lvl>
  </w:abstractNum>
  <w:abstractNum w:abstractNumId="4">
    <w:nsid w:val="70AE2C0F"/>
    <w:multiLevelType w:val="singleLevel"/>
    <w:tmpl w:val="70AE2C0F"/>
    <w:lvl w:ilvl="0" w:tentative="0">
      <w:start w:val="4"/>
      <w:numFmt w:val="decimal"/>
      <w:suff w:val="space"/>
      <w:lvlText w:val="%1."/>
      <w:lvlJc w:val="left"/>
      <w:pPr>
        <w:textAlignment w:val="baseline"/>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wZDBmOGNiYjU1ZGIxYWYxNGVkZjkyMzg4OTJmYmQifQ=="/>
  </w:docVars>
  <w:rsids>
    <w:rsidRoot w:val="213E3DC3"/>
    <w:rsid w:val="0000124D"/>
    <w:rsid w:val="0000712B"/>
    <w:rsid w:val="00037EF2"/>
    <w:rsid w:val="00047987"/>
    <w:rsid w:val="00083F7F"/>
    <w:rsid w:val="0009150D"/>
    <w:rsid w:val="000D41BB"/>
    <w:rsid w:val="001028FD"/>
    <w:rsid w:val="001E5E05"/>
    <w:rsid w:val="00302C80"/>
    <w:rsid w:val="003679DF"/>
    <w:rsid w:val="00393143"/>
    <w:rsid w:val="003A5BAC"/>
    <w:rsid w:val="00417674"/>
    <w:rsid w:val="00435762"/>
    <w:rsid w:val="00476936"/>
    <w:rsid w:val="004D0456"/>
    <w:rsid w:val="00577C3C"/>
    <w:rsid w:val="00591CF2"/>
    <w:rsid w:val="00592F99"/>
    <w:rsid w:val="00665BD0"/>
    <w:rsid w:val="006A5EED"/>
    <w:rsid w:val="006F2451"/>
    <w:rsid w:val="0073200A"/>
    <w:rsid w:val="00822B63"/>
    <w:rsid w:val="00856022"/>
    <w:rsid w:val="008B1FD5"/>
    <w:rsid w:val="00951A3B"/>
    <w:rsid w:val="00A447C2"/>
    <w:rsid w:val="00A71408"/>
    <w:rsid w:val="00A82B04"/>
    <w:rsid w:val="00AA3224"/>
    <w:rsid w:val="00AF270E"/>
    <w:rsid w:val="00AF2B8E"/>
    <w:rsid w:val="00B35C83"/>
    <w:rsid w:val="00B812BC"/>
    <w:rsid w:val="00B81437"/>
    <w:rsid w:val="00B86694"/>
    <w:rsid w:val="00BB4E09"/>
    <w:rsid w:val="00BB7B5B"/>
    <w:rsid w:val="00BD196E"/>
    <w:rsid w:val="00C20AC1"/>
    <w:rsid w:val="00C20EF6"/>
    <w:rsid w:val="00C44D72"/>
    <w:rsid w:val="00CD7FCB"/>
    <w:rsid w:val="00DD5003"/>
    <w:rsid w:val="00DE315F"/>
    <w:rsid w:val="00E157BB"/>
    <w:rsid w:val="00E21FB3"/>
    <w:rsid w:val="00E30C9B"/>
    <w:rsid w:val="00E70851"/>
    <w:rsid w:val="00F56423"/>
    <w:rsid w:val="00FA656C"/>
    <w:rsid w:val="00FE33C8"/>
    <w:rsid w:val="07545581"/>
    <w:rsid w:val="09016A2F"/>
    <w:rsid w:val="14957185"/>
    <w:rsid w:val="151631BB"/>
    <w:rsid w:val="1FFB2DF5"/>
    <w:rsid w:val="213E3DC3"/>
    <w:rsid w:val="304C0078"/>
    <w:rsid w:val="30D13305"/>
    <w:rsid w:val="317D119D"/>
    <w:rsid w:val="331E1BF3"/>
    <w:rsid w:val="37F72FF2"/>
    <w:rsid w:val="4BCE6568"/>
    <w:rsid w:val="5B215B4C"/>
    <w:rsid w:val="63CF7D41"/>
    <w:rsid w:val="644E2C59"/>
    <w:rsid w:val="667133E9"/>
    <w:rsid w:val="67A3695C"/>
    <w:rsid w:val="6F61635A"/>
    <w:rsid w:val="704E6D42"/>
    <w:rsid w:val="747D56CB"/>
    <w:rsid w:val="7986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5">
    <w:name w:val="heading 1"/>
    <w:basedOn w:val="1"/>
    <w:next w:val="1"/>
    <w:qFormat/>
    <w:uiPriority w:val="0"/>
    <w:pPr>
      <w:keepNext/>
      <w:jc w:val="center"/>
      <w:outlineLvl w:val="0"/>
    </w:pPr>
    <w:rPr>
      <w:sz w:val="28"/>
    </w:rPr>
  </w:style>
  <w:style w:type="paragraph" w:styleId="6">
    <w:name w:val="heading 2"/>
    <w:basedOn w:val="1"/>
    <w:next w:val="1"/>
    <w:qFormat/>
    <w:uiPriority w:val="0"/>
    <w:pPr>
      <w:keepNext/>
      <w:keepLines/>
      <w:spacing w:line="360" w:lineRule="auto"/>
      <w:ind w:firstLine="354" w:firstLineChars="147"/>
      <w:outlineLvl w:val="1"/>
    </w:pPr>
    <w:rPr>
      <w:rFonts w:ascii="宋体" w:hAnsi="宋体"/>
      <w:b/>
      <w:bCs/>
      <w:color w:val="000000"/>
      <w:kern w:val="0"/>
      <w:sz w:val="24"/>
      <w:lang w:val="zh-CN"/>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rPr>
      <w:szCs w:val="21"/>
    </w:rPr>
  </w:style>
  <w:style w:type="paragraph" w:styleId="3">
    <w:name w:val="Body Text Indent"/>
    <w:basedOn w:val="1"/>
    <w:next w:val="2"/>
    <w:qFormat/>
    <w:uiPriority w:val="0"/>
    <w:pPr>
      <w:spacing w:after="120"/>
      <w:ind w:left="420" w:leftChars="200"/>
    </w:pPr>
  </w:style>
  <w:style w:type="paragraph" w:customStyle="1" w:styleId="4">
    <w:name w:val="xl53"/>
    <w:basedOn w:val="1"/>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paragraph" w:styleId="8">
    <w:name w:val="Normal Indent"/>
    <w:basedOn w:val="1"/>
    <w:qFormat/>
    <w:uiPriority w:val="0"/>
    <w:pPr>
      <w:ind w:firstLine="420"/>
    </w:pPr>
  </w:style>
  <w:style w:type="paragraph" w:styleId="9">
    <w:name w:val="annotation text"/>
    <w:basedOn w:val="1"/>
    <w:link w:val="42"/>
    <w:qFormat/>
    <w:uiPriority w:val="0"/>
    <w:pPr>
      <w:jc w:val="left"/>
    </w:pPr>
  </w:style>
  <w:style w:type="paragraph" w:styleId="10">
    <w:name w:val="Body Text"/>
    <w:basedOn w:val="1"/>
    <w:next w:val="11"/>
    <w:qFormat/>
    <w:uiPriority w:val="0"/>
    <w:pPr>
      <w:spacing w:after="120"/>
    </w:pPr>
  </w:style>
  <w:style w:type="paragraph" w:styleId="11">
    <w:name w:val="Body Text First Indent"/>
    <w:basedOn w:val="10"/>
    <w:next w:val="12"/>
    <w:link w:val="46"/>
    <w:qFormat/>
    <w:uiPriority w:val="0"/>
    <w:pPr>
      <w:ind w:firstLine="420" w:firstLineChars="100"/>
    </w:pPr>
  </w:style>
  <w:style w:type="paragraph" w:styleId="12">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13">
    <w:name w:val="Plain Text"/>
    <w:basedOn w:val="1"/>
    <w:next w:val="14"/>
    <w:qFormat/>
    <w:uiPriority w:val="0"/>
    <w:rPr>
      <w:rFonts w:ascii="宋体" w:hAnsi="Courier New"/>
    </w:rPr>
  </w:style>
  <w:style w:type="paragraph" w:styleId="14">
    <w:name w:val="toc 2"/>
    <w:basedOn w:val="1"/>
    <w:next w:val="1"/>
    <w:semiHidden/>
    <w:qFormat/>
    <w:uiPriority w:val="0"/>
    <w:pPr>
      <w:ind w:left="420" w:leftChars="200"/>
    </w:pPr>
    <w:rPr>
      <w:szCs w:val="24"/>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val="0"/>
      <w:spacing w:before="120" w:after="120"/>
      <w:jc w:val="left"/>
    </w:pPr>
    <w:rPr>
      <w:rFonts w:ascii="仿宋_GB2312" w:eastAsia="仿宋_GB2312" w:cs="Times New Roman"/>
      <w:b/>
      <w:caps/>
      <w:sz w:val="20"/>
    </w:rPr>
  </w:style>
  <w:style w:type="paragraph" w:styleId="18">
    <w:name w:val="Normal (Web)"/>
    <w:basedOn w:val="1"/>
    <w:qFormat/>
    <w:uiPriority w:val="99"/>
    <w:pPr>
      <w:spacing w:before="100" w:beforeAutospacing="1" w:after="100" w:afterAutospacing="1"/>
      <w:jc w:val="left"/>
    </w:pPr>
    <w:rPr>
      <w:rFonts w:hint="eastAsia" w:ascii="宋体" w:hAnsi="宋体"/>
      <w:kern w:val="0"/>
      <w:sz w:val="24"/>
    </w:rPr>
  </w:style>
  <w:style w:type="paragraph" w:styleId="19">
    <w:name w:val="annotation subject"/>
    <w:basedOn w:val="9"/>
    <w:next w:val="9"/>
    <w:link w:val="43"/>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rFonts w:eastAsia="宋体" w:cs="Times New Roman"/>
      <w:b/>
      <w:bCs/>
      <w:kern w:val="2"/>
      <w:sz w:val="21"/>
      <w:szCs w:val="24"/>
      <w:lang w:val="en-US" w:eastAsia="zh-CN" w:bidi="ar-SA"/>
    </w:rPr>
  </w:style>
  <w:style w:type="character" w:styleId="24">
    <w:name w:val="page number"/>
    <w:basedOn w:val="22"/>
    <w:qFormat/>
    <w:uiPriority w:val="0"/>
  </w:style>
  <w:style w:type="character" w:styleId="25">
    <w:name w:val="FollowedHyperlink"/>
    <w:basedOn w:val="22"/>
    <w:qFormat/>
    <w:uiPriority w:val="0"/>
    <w:rPr>
      <w:color w:val="333333"/>
      <w:u w:val="none"/>
    </w:rPr>
  </w:style>
  <w:style w:type="character" w:styleId="26">
    <w:name w:val="annotation reference"/>
    <w:basedOn w:val="22"/>
    <w:qFormat/>
    <w:uiPriority w:val="0"/>
    <w:rPr>
      <w:sz w:val="21"/>
      <w:szCs w:val="21"/>
    </w:rPr>
  </w:style>
  <w:style w:type="character" w:customStyle="1" w:styleId="27">
    <w:name w:val="NormalCharacter"/>
    <w:qFormat/>
    <w:uiPriority w:val="0"/>
    <w:rPr>
      <w:rFonts w:ascii="Times New Roman" w:hAnsi="Times New Roman" w:eastAsia="宋体" w:cstheme="minorBidi"/>
      <w:kern w:val="2"/>
      <w:sz w:val="21"/>
      <w:lang w:val="en-US" w:eastAsia="zh-CN" w:bidi="ar-SA"/>
    </w:rPr>
  </w:style>
  <w:style w:type="paragraph" w:customStyle="1" w:styleId="28">
    <w:name w:val="HtmlNormal"/>
    <w:basedOn w:val="1"/>
    <w:qFormat/>
    <w:uiPriority w:val="0"/>
    <w:pPr>
      <w:spacing w:after="50"/>
      <w:jc w:val="left"/>
    </w:pPr>
    <w:rPr>
      <w:kern w:val="0"/>
      <w:sz w:val="24"/>
      <w:szCs w:val="24"/>
    </w:rPr>
  </w:style>
  <w:style w:type="paragraph" w:customStyle="1" w:styleId="29">
    <w:name w:val="UserStyle_70"/>
    <w:basedOn w:val="30"/>
    <w:next w:val="32"/>
    <w:qFormat/>
    <w:uiPriority w:val="0"/>
    <w:pPr>
      <w:spacing w:line="420" w:lineRule="atLeast"/>
      <w:jc w:val="left"/>
    </w:pPr>
    <w:rPr>
      <w:kern w:val="0"/>
    </w:rPr>
  </w:style>
  <w:style w:type="paragraph" w:customStyle="1" w:styleId="30">
    <w:name w:val="PlainText"/>
    <w:basedOn w:val="1"/>
    <w:next w:val="31"/>
    <w:qFormat/>
    <w:uiPriority w:val="0"/>
    <w:rPr>
      <w:rFonts w:ascii="宋体" w:hAnsi="Courier New"/>
    </w:rPr>
  </w:style>
  <w:style w:type="paragraph" w:customStyle="1" w:styleId="31">
    <w:name w:val="TOC2"/>
    <w:basedOn w:val="1"/>
    <w:next w:val="1"/>
    <w:semiHidden/>
    <w:qFormat/>
    <w:uiPriority w:val="0"/>
    <w:pPr>
      <w:ind w:left="420" w:leftChars="200"/>
    </w:pPr>
    <w:rPr>
      <w:szCs w:val="24"/>
    </w:rPr>
  </w:style>
  <w:style w:type="paragraph" w:customStyle="1" w:styleId="32">
    <w:name w:val="BodyText"/>
    <w:basedOn w:val="1"/>
    <w:next w:val="33"/>
    <w:qFormat/>
    <w:uiPriority w:val="0"/>
    <w:pPr>
      <w:spacing w:after="120"/>
    </w:pPr>
  </w:style>
  <w:style w:type="paragraph" w:customStyle="1" w:styleId="33">
    <w:name w:val="BodyText1I"/>
    <w:basedOn w:val="32"/>
    <w:next w:val="34"/>
    <w:qFormat/>
    <w:uiPriority w:val="0"/>
    <w:pPr>
      <w:ind w:firstLine="420" w:firstLineChars="100"/>
    </w:pPr>
    <w:rPr>
      <w:rFonts w:ascii="Calibri" w:hAnsi="Calibri"/>
      <w:szCs w:val="24"/>
    </w:rPr>
  </w:style>
  <w:style w:type="paragraph" w:customStyle="1" w:styleId="34">
    <w:name w:val="TOC6"/>
    <w:basedOn w:val="1"/>
    <w:next w:val="1"/>
    <w:qFormat/>
    <w:uiPriority w:val="0"/>
    <w:pPr>
      <w:spacing w:line="360" w:lineRule="auto"/>
      <w:ind w:left="1200" w:firstLine="200" w:firstLineChars="200"/>
      <w:jc w:val="left"/>
    </w:pPr>
    <w:rPr>
      <w:rFonts w:ascii="Calibri" w:hAnsi="Calibri"/>
      <w:sz w:val="18"/>
      <w:szCs w:val="18"/>
    </w:rPr>
  </w:style>
  <w:style w:type="paragraph" w:customStyle="1" w:styleId="35">
    <w:name w:val="Heading1"/>
    <w:basedOn w:val="1"/>
    <w:next w:val="36"/>
    <w:qFormat/>
    <w:uiPriority w:val="0"/>
    <w:pPr>
      <w:keepNext/>
      <w:keepLines/>
      <w:tabs>
        <w:tab w:val="left" w:pos="432"/>
      </w:tabs>
      <w:spacing w:before="360" w:after="360" w:line="360" w:lineRule="auto"/>
      <w:jc w:val="left"/>
    </w:pPr>
    <w:rPr>
      <w:rFonts w:ascii="黑体" w:eastAsia="黑体"/>
      <w:spacing w:val="24"/>
      <w:kern w:val="44"/>
      <w:sz w:val="32"/>
    </w:rPr>
  </w:style>
  <w:style w:type="paragraph" w:customStyle="1" w:styleId="36">
    <w:name w:val="NormalIndent"/>
    <w:basedOn w:val="1"/>
    <w:qFormat/>
    <w:uiPriority w:val="0"/>
    <w:pPr>
      <w:ind w:firstLine="420" w:firstLineChars="200"/>
    </w:pPr>
  </w:style>
  <w:style w:type="paragraph" w:customStyle="1" w:styleId="37">
    <w:name w:val="UserStyle_78"/>
    <w:basedOn w:val="1"/>
    <w:qFormat/>
    <w:uiPriority w:val="0"/>
    <w:pPr>
      <w:ind w:firstLine="200" w:firstLineChars="200"/>
    </w:pPr>
    <w:rPr>
      <w:rFonts w:ascii="Calibri" w:hAnsi="Calibri"/>
    </w:rPr>
  </w:style>
  <w:style w:type="paragraph" w:customStyle="1" w:styleId="38">
    <w:name w:val="zxb3"/>
    <w:basedOn w:val="7"/>
    <w:qFormat/>
    <w:uiPriority w:val="0"/>
    <w:pPr>
      <w:spacing w:beforeLines="50" w:afterLines="50" w:line="360" w:lineRule="auto"/>
      <w:ind w:left="1069" w:hanging="1069"/>
    </w:pPr>
    <w:rPr>
      <w:rFonts w:ascii="黑体" w:hAnsi="黑体" w:eastAsia="黑体"/>
      <w:b w:val="0"/>
      <w:bCs w:val="0"/>
      <w:color w:val="000000"/>
      <w:sz w:val="30"/>
      <w:szCs w:val="30"/>
      <w:lang w:val="zh-CN"/>
    </w:rPr>
  </w:style>
  <w:style w:type="paragraph" w:customStyle="1" w:styleId="39">
    <w:name w:val="BodyTextIndent"/>
    <w:basedOn w:val="1"/>
    <w:qFormat/>
    <w:uiPriority w:val="0"/>
    <w:pPr>
      <w:spacing w:after="120"/>
      <w:ind w:left="420" w:leftChars="200"/>
    </w:pPr>
  </w:style>
  <w:style w:type="paragraph" w:customStyle="1" w:styleId="40">
    <w:name w:val="保留正文"/>
    <w:basedOn w:val="10"/>
    <w:qFormat/>
    <w:uiPriority w:val="0"/>
    <w:pPr>
      <w:keepNext/>
      <w:spacing w:after="160"/>
    </w:pPr>
  </w:style>
  <w:style w:type="paragraph" w:customStyle="1" w:styleId="41">
    <w:name w:val="修订1"/>
    <w:hidden/>
    <w:semiHidden/>
    <w:qFormat/>
    <w:uiPriority w:val="99"/>
    <w:rPr>
      <w:rFonts w:ascii="Times New Roman" w:hAnsi="Times New Roman" w:eastAsia="宋体" w:cstheme="minorBidi"/>
      <w:kern w:val="2"/>
      <w:sz w:val="21"/>
      <w:lang w:val="en-US" w:eastAsia="zh-CN" w:bidi="ar-SA"/>
    </w:rPr>
  </w:style>
  <w:style w:type="character" w:customStyle="1" w:styleId="42">
    <w:name w:val="批注文字 字符"/>
    <w:basedOn w:val="22"/>
    <w:link w:val="9"/>
    <w:qFormat/>
    <w:uiPriority w:val="0"/>
    <w:rPr>
      <w:rFonts w:cstheme="minorBidi"/>
      <w:kern w:val="2"/>
      <w:sz w:val="21"/>
    </w:rPr>
  </w:style>
  <w:style w:type="character" w:customStyle="1" w:styleId="43">
    <w:name w:val="批注主题 字符"/>
    <w:basedOn w:val="42"/>
    <w:link w:val="19"/>
    <w:qFormat/>
    <w:uiPriority w:val="0"/>
    <w:rPr>
      <w:rFonts w:cstheme="minorBidi"/>
      <w:b/>
      <w:bCs/>
      <w:kern w:val="2"/>
      <w:sz w:val="21"/>
    </w:rPr>
  </w:style>
  <w:style w:type="paragraph" w:customStyle="1" w:styleId="44">
    <w:name w:val="Level 2"/>
    <w:basedOn w:val="1"/>
    <w:next w:val="1"/>
    <w:unhideWhenUsed/>
    <w:qFormat/>
    <w:uiPriority w:val="0"/>
    <w:pPr>
      <w:numPr>
        <w:ilvl w:val="1"/>
        <w:numId w:val="1"/>
      </w:numPr>
      <w:spacing w:line="360" w:lineRule="auto"/>
      <w:outlineLvl w:val="1"/>
    </w:pPr>
    <w:rPr>
      <w:rFonts w:ascii="Arial" w:hAnsi="Arial"/>
      <w:w w:val="105"/>
      <w:kern w:val="20"/>
      <w:sz w:val="24"/>
      <w:lang w:eastAsia="en-US"/>
    </w:rPr>
  </w:style>
  <w:style w:type="paragraph" w:customStyle="1" w:styleId="45">
    <w:name w:val="修订2"/>
    <w:hidden/>
    <w:semiHidden/>
    <w:qFormat/>
    <w:uiPriority w:val="99"/>
    <w:rPr>
      <w:rFonts w:ascii="Times New Roman" w:hAnsi="Times New Roman" w:eastAsia="宋体" w:cstheme="minorBidi"/>
      <w:kern w:val="2"/>
      <w:sz w:val="21"/>
      <w:lang w:val="en-US" w:eastAsia="zh-CN" w:bidi="ar-SA"/>
    </w:rPr>
  </w:style>
  <w:style w:type="character" w:customStyle="1" w:styleId="46">
    <w:name w:val="正文文本首行缩进 字符"/>
    <w:basedOn w:val="22"/>
    <w:link w:val="11"/>
    <w:qFormat/>
    <w:uiPriority w:val="0"/>
    <w:rPr>
      <w:rFonts w:cstheme="minorBidi"/>
      <w:kern w:val="2"/>
      <w:sz w:val="21"/>
    </w:rPr>
  </w:style>
  <w:style w:type="paragraph" w:customStyle="1" w:styleId="47">
    <w:name w:val="Revision"/>
    <w:hidden/>
    <w:semiHidden/>
    <w:qFormat/>
    <w:uiPriority w:val="99"/>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135E6-C3BB-4403-AD6A-55FBCF436D45}">
  <ds:schemaRefs/>
</ds:datastoreItem>
</file>

<file path=docProps/app.xml><?xml version="1.0" encoding="utf-8"?>
<Properties xmlns="http://schemas.openxmlformats.org/officeDocument/2006/extended-properties" xmlns:vt="http://schemas.openxmlformats.org/officeDocument/2006/docPropsVTypes">
  <Template>Normal</Template>
  <Pages>47</Pages>
  <Words>24451</Words>
  <Characters>25762</Characters>
  <Lines>199</Lines>
  <Paragraphs>56</Paragraphs>
  <TotalTime>9</TotalTime>
  <ScaleCrop>false</ScaleCrop>
  <LinksUpToDate>false</LinksUpToDate>
  <CharactersWithSpaces>26619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2023-05-15T11:59:00Z</dcterms:created>
  <dc:creator>x_b</dc:creator>
  <cp:lastModifiedBy>Jack</cp:lastModifiedBy>
  <cp:lastPrinted>2022-08-15T22:55:00Z</cp:lastPrinted>
  <dcterms:modified xsi:type="dcterms:W3CDTF">2023-05-23T07:21:31Z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BDAAA6F1DB464B6E84A20E6EA0FC08C2</vt:lpwstr>
  </property>
</Properties>
</file>